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0000FF"/>
        </w:rPr>
        <w:t>NextDecade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GASC GP,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16,881,565.00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16,881,565.00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16,881,565.00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General Atlantic Partners,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16,881,565.00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16,881,565.00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16,881,565.00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GAP Holdings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16,881,565.00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16,881,565.00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16,881,565.00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Atlantic Park UGP,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16,881,565.00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16,881,565.00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16,881,565.00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Atlantic Park Strategic Capital Fund II GP,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16,881,565.00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16,881,565.00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0099"/>
          </w:cols>
          <w:pgMar w:left="360" w:top="11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t>16,881,565.00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Atlantic Park Strategic Capital Master Fund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355" w:right="1440" w:bottom="156"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8,495,310.00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8,495,310.00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8,495,310.00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355" w:right="1440" w:bottom="156"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099"/>
          </w:cols>
          <w:pgMar w:left="360" w:top="355" w:right="1440" w:bottom="156" w:gutter="0" w:footer="0" w:header="0"/>
          <w:type w:val="continuous"/>
        </w:sect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0099"/>
          </w:cols>
          <w:pgMar w:left="360" w:top="355" w:right="1440" w:bottom="156" w:gutter="0" w:footer="0" w:header="0"/>
          <w:type w:val="continuous"/>
        </w:sectPr>
      </w:pPr>
    </w:p>
    <w:bookmarkStart w:id="5" w:name="page6"/>
    <w:bookmarkEnd w:id="5"/>
    <w:p>
      <w:pPr>
        <w:ind w:left="1120" w:hanging="1112"/>
        <w:spacing w:after="0"/>
        <w:tabs>
          <w:tab w:leader="none" w:pos="11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Atlantic Park Strategic Capital Parallel Master Fund II, L.P.</w:t>
      </w:r>
    </w:p>
    <w:p>
      <w:pPr>
        <w:spacing w:after="0" w:line="44"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8,386,255.00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8,386,255.00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8,386,255.00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APSC II Holdco 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BERMUDA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318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5"/>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31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318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8,495,310.00</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3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31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3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00" w:type="dxa"/>
            <w:vAlign w:val="bottom"/>
            <w:vMerge w:val="continue"/>
          </w:tcPr>
          <w:p>
            <w:pPr>
              <w:spacing w:after="0"/>
              <w:rPr>
                <w:sz w:val="8"/>
                <w:szCs w:val="8"/>
                <w:color w:val="auto"/>
              </w:rPr>
            </w:pPr>
          </w:p>
        </w:tc>
        <w:tc>
          <w:tcPr>
            <w:tcW w:w="3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099"/>
          </w:cols>
          <w:pgMar w:left="360" w:top="111" w:right="1440" w:bottom="0" w:gutter="0" w:footer="0" w:header="0"/>
          <w:type w:val="continuous"/>
        </w:sectPr>
      </w:pPr>
    </w:p>
    <w:bookmarkStart w:id="6" w:name="page7"/>
    <w:bookmarkEnd w:id="6"/>
    <w:p>
      <w:pPr>
        <w:ind w:left="140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Shared Dispositive</w:t>
      </w:r>
    </w:p>
    <w:p>
      <w:pPr>
        <w:ind w:left="116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8,495,310.00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8,495,310.00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3.0 %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APSC II Holdco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8,386,255.00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8,386,255.00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8,386,255.00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060" w:space="60"/>
            <w:col w:w="8979"/>
          </w:cols>
          <w:pgMar w:left="360" w:top="355" w:right="1440" w:bottom="0" w:gutter="0" w:footer="0" w:header="0"/>
          <w:type w:val="continuous"/>
        </w:sectPr>
      </w:pPr>
    </w:p>
    <w:bookmarkStart w:id="7" w:name="page8"/>
    <w:bookmarkEnd w:id="7"/>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NextDecade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1000 LOUISIANA STREET, SUITE 3300, HOUSTON, TX 77002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This Statement is being filed on behalf of each of the following persons (collectively, the "Reporting Persons"): (i)</w:t>
      </w:r>
    </w:p>
    <w:p>
      <w:pPr>
        <w:spacing w:after="0" w:line="14" w:lineRule="exact"/>
        <w:rPr>
          <w:sz w:val="20"/>
          <w:szCs w:val="20"/>
          <w:color w:val="auto"/>
        </w:rPr>
      </w:pPr>
    </w:p>
    <w:p>
      <w:pPr>
        <w:ind w:left="920" w:hanging="912"/>
        <w:spacing w:after="0" w:line="196" w:lineRule="auto"/>
        <w:tabs>
          <w:tab w:leader="none" w:pos="920" w:val="left"/>
        </w:tabs>
        <w:numPr>
          <w:ilvl w:val="0"/>
          <w:numId w:val="1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GASC GP, LLC ("GASC GP") (ii) General Atlantic Partners, L.P. ("GAP LP") (iii) GAP Holdings GP, LLC ("GAP Holdings GP") (iv) Atlantic Park UGP, LLC ("AP UGP") (v) Atlantic Park Strategic Capital Fund II GP, L.P. ("Atlantic Park II") (vi) Atlantic Park Strategic Capital Master Fund II, L.P. ("AP Master Fund II") (vii) Atlantic Park Strategic Capital Parallel Master Fund II, L.P. ("AP Parallel Fund II") (viii) APSC II Holdco I, L.P. ("APSC II Holdco I"); and (ix) APSC II Holdco II, L.P. ("APSC II Holdco II").</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20" w:hanging="912"/>
        <w:spacing w:after="0" w:line="193" w:lineRule="auto"/>
        <w:tabs>
          <w:tab w:leader="none" w:pos="920" w:val="left"/>
        </w:tabs>
        <w:numPr>
          <w:ilvl w:val="0"/>
          <w:numId w:val="1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address of GASC GP, GAP LP and GAP Holdings GP is c/o General Atlantic Service Company, L.P., 55 East 52nd Street, 33rd Floor, New York, NY 10055. The address of APSC Holdco I, APSC Holdco II, AP Parallel Fund II, AP Master Fund II, Atlantic Park II and AP UGP is c/o General Atlantic Credit, 55 East 52nd St, 33rd Floor, New York, NY 10055.</w:t>
      </w:r>
    </w:p>
    <w:p>
      <w:pPr>
        <w:sectPr>
          <w:pgSz w:w="11900" w:h="16886" w:orient="portrait"/>
          <w:cols w:equalWidth="0" w:num="1">
            <w:col w:w="11120"/>
          </w:cols>
          <w:pgMar w:left="360" w:top="567" w:right="419" w:bottom="0" w:gutter="0" w:footer="0" w:header="0"/>
        </w:sect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(4) of each Reporting Person's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86" w:orient="portrait"/>
          <w:cols w:equalWidth="0" w:num="2">
            <w:col w:w="620" w:space="300"/>
            <w:col w:w="10200"/>
          </w:cols>
          <w:pgMar w:left="360" w:top="567" w:right="419" w:bottom="0" w:gutter="0" w:footer="0" w:header="0"/>
          <w:type w:val="continuous"/>
        </w:sect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March 24, 2025, the Reporting Persons owned the following number of shares of Common Stock, par value</w:t>
      </w:r>
    </w:p>
    <w:p>
      <w:pPr>
        <w:spacing w:after="0" w:line="14" w:lineRule="exact"/>
        <w:rPr>
          <w:rFonts w:ascii="Times New Roman" w:cs="Times New Roman" w:eastAsia="Times New Roman" w:hAnsi="Times New Roman"/>
          <w:sz w:val="22"/>
          <w:szCs w:val="22"/>
          <w:color w:val="auto"/>
        </w:rPr>
      </w:pPr>
    </w:p>
    <w:p>
      <w:pPr>
        <w:ind w:left="920" w:right="20"/>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$0.0001 per share (the "common stock"), of NextDecade Corporation (the "Company"): (i) GASC GP, LLC owned of record no shares of common stock or 0.0% of the issued and outstanding shares of common stock. (ii) GAP LP owned of record no shares of common stock or 0.0% of the issued and outstanding shares of common stock. (iii) GAP Holdings GP owned of record no shares of common stock or 0.0% of the issued and outstanding shares of common stock. (iv) AP UGP owned of record no shares of common stock or 0.0% of the issued and outstanding shares of common stock. (v) Atlantic Park II owned of record no shares of common stock or 0.0% of the issued and outstanding shares of common stock. (vi) AP Master Fund II owned of record no shares of common stock or 0.0% of the issued and outstanding shares of common stock. (vii) AP Parallel Fund II owned of record no shares of common</w:t>
      </w:r>
    </w:p>
    <w:p>
      <w:pPr>
        <w:sectPr>
          <w:pgSz w:w="11900" w:h="16886" w:orient="portrait"/>
          <w:cols w:equalWidth="0" w:num="1">
            <w:col w:w="11120"/>
          </w:cols>
          <w:pgMar w:left="360" w:top="567" w:right="419" w:bottom="0" w:gutter="0" w:footer="0" w:header="0"/>
          <w:type w:val="continuous"/>
        </w:sectPr>
      </w:pPr>
    </w:p>
    <w:bookmarkStart w:id="8" w:name="page9"/>
    <w:bookmarkEnd w:id="8"/>
    <w:p>
      <w:pPr>
        <w:spacing w:after="0" w:line="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stock or 0.0% of the issued and outstanding shares of common stock. (viii) APSC II Holdco I owned of record</w:t>
      </w:r>
    </w:p>
    <w:p>
      <w:pPr>
        <w:spacing w:after="0" w:line="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8,495,310 shares of common stock or 3.0% of the issued and outstanding shares of common stock. (ix) APSC II</w:t>
      </w:r>
    </w:p>
    <w:p>
      <w:pPr>
        <w:ind w:left="920"/>
        <w:spacing w:after="0" w:line="230" w:lineRule="auto"/>
        <w:rPr>
          <w:sz w:val="20"/>
          <w:szCs w:val="20"/>
          <w:color w:val="auto"/>
        </w:rPr>
      </w:pPr>
      <w:r>
        <w:rPr>
          <w:rFonts w:ascii="Times New Roman" w:cs="Times New Roman" w:eastAsia="Times New Roman" w:hAnsi="Times New Roman"/>
          <w:sz w:val="22"/>
          <w:szCs w:val="22"/>
          <w:color w:val="auto"/>
        </w:rPr>
        <w:t>Holdco II owned of record 8,386,255 shares of common stock or 3.0% of the issued and outstanding shares of</w:t>
      </w:r>
    </w:p>
    <w:p>
      <w:pPr>
        <w:ind w:left="920"/>
        <w:spacing w:after="0" w:line="231" w:lineRule="auto"/>
        <w:rPr>
          <w:sz w:val="20"/>
          <w:szCs w:val="20"/>
          <w:color w:val="auto"/>
        </w:rPr>
      </w:pPr>
      <w:r>
        <w:rPr>
          <w:rFonts w:ascii="Times New Roman" w:cs="Times New Roman" w:eastAsia="Times New Roman" w:hAnsi="Times New Roman"/>
          <w:sz w:val="22"/>
          <w:szCs w:val="22"/>
          <w:color w:val="auto"/>
        </w:rPr>
        <w:t>common stock. The limited partner of APSC II Holdco I that shares beneficial ownership of the shares of common</w:t>
      </w:r>
    </w:p>
    <w:p>
      <w:pPr>
        <w:ind w:left="920"/>
        <w:spacing w:after="0"/>
        <w:rPr>
          <w:sz w:val="20"/>
          <w:szCs w:val="20"/>
          <w:color w:val="auto"/>
        </w:rPr>
      </w:pPr>
      <w:r>
        <w:rPr>
          <w:rFonts w:ascii="Times New Roman" w:cs="Times New Roman" w:eastAsia="Times New Roman" w:hAnsi="Times New Roman"/>
          <w:sz w:val="21"/>
          <w:szCs w:val="21"/>
          <w:color w:val="auto"/>
        </w:rPr>
        <w:t>stock held by APSC II Holdco I is AP Master Fund II. The limited partner of APSC II Holdco II that shares beneficial</w:t>
      </w:r>
    </w:p>
    <w:p>
      <w:pPr>
        <w:ind w:left="920"/>
        <w:spacing w:after="0" w:line="231" w:lineRule="auto"/>
        <w:rPr>
          <w:sz w:val="20"/>
          <w:szCs w:val="20"/>
          <w:color w:val="auto"/>
        </w:rPr>
      </w:pPr>
      <w:r>
        <w:rPr>
          <w:rFonts w:ascii="Times New Roman" w:cs="Times New Roman" w:eastAsia="Times New Roman" w:hAnsi="Times New Roman"/>
          <w:sz w:val="22"/>
          <w:szCs w:val="22"/>
          <w:color w:val="auto"/>
        </w:rPr>
        <w:t>ownership of the shares of common stock held by APSC II Holdco II is AP Parallel Fund II. The general partner of</w:t>
      </w:r>
    </w:p>
    <w:p>
      <w:pPr>
        <w:ind w:left="920"/>
        <w:spacing w:after="0" w:line="231" w:lineRule="auto"/>
        <w:rPr>
          <w:sz w:val="20"/>
          <w:szCs w:val="20"/>
          <w:color w:val="auto"/>
        </w:rPr>
      </w:pPr>
      <w:r>
        <w:rPr>
          <w:rFonts w:ascii="Times New Roman" w:cs="Times New Roman" w:eastAsia="Times New Roman" w:hAnsi="Times New Roman"/>
          <w:sz w:val="22"/>
          <w:szCs w:val="22"/>
          <w:color w:val="auto"/>
        </w:rPr>
        <w:t>APSC II Holdco I, APSC II Holdco II, AP Master Fund II and AP Parallel Fund II is Atlantic Park II. The General</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Partner of Atlantic Park II is AP UGP. GAP Holdings GP is the sole member of AP UGP. GAP LP is the sole member</w:t>
      </w:r>
    </w:p>
    <w:p>
      <w:pPr>
        <w:ind w:left="920"/>
        <w:spacing w:after="0" w:line="231" w:lineRule="auto"/>
        <w:rPr>
          <w:sz w:val="20"/>
          <w:szCs w:val="20"/>
          <w:color w:val="auto"/>
        </w:rPr>
      </w:pPr>
      <w:r>
        <w:rPr>
          <w:rFonts w:ascii="Times New Roman" w:cs="Times New Roman" w:eastAsia="Times New Roman" w:hAnsi="Times New Roman"/>
          <w:sz w:val="22"/>
          <w:szCs w:val="22"/>
          <w:color w:val="auto"/>
        </w:rPr>
        <w:t>of GAP Holdings GP. The general partner of GAP LP is GASC GP, LLC which is controlled by the Partnership</w:t>
      </w:r>
    </w:p>
    <w:p>
      <w:pPr>
        <w:ind w:left="920"/>
        <w:spacing w:after="0" w:line="231" w:lineRule="auto"/>
        <w:rPr>
          <w:sz w:val="20"/>
          <w:szCs w:val="20"/>
          <w:color w:val="auto"/>
        </w:rPr>
      </w:pPr>
      <w:r>
        <w:rPr>
          <w:rFonts w:ascii="Times New Roman" w:cs="Times New Roman" w:eastAsia="Times New Roman" w:hAnsi="Times New Roman"/>
          <w:sz w:val="22"/>
          <w:szCs w:val="22"/>
          <w:color w:val="auto"/>
        </w:rPr>
        <w:t>Committee of GASC MGP, LLC (the "Partnership Committee"). By virtue of the foregoing, the Reporting Persons</w:t>
      </w:r>
    </w:p>
    <w:p>
      <w:pPr>
        <w:ind w:left="920"/>
        <w:spacing w:after="0" w:line="231" w:lineRule="auto"/>
        <w:rPr>
          <w:sz w:val="20"/>
          <w:szCs w:val="20"/>
          <w:color w:val="auto"/>
        </w:rPr>
      </w:pPr>
      <w:r>
        <w:rPr>
          <w:rFonts w:ascii="Times New Roman" w:cs="Times New Roman" w:eastAsia="Times New Roman" w:hAnsi="Times New Roman"/>
          <w:sz w:val="22"/>
          <w:szCs w:val="22"/>
          <w:color w:val="auto"/>
        </w:rPr>
        <w:t>may be deemed to share voting power and the power to direct the disposition of the shares that each owns of record.</w:t>
      </w:r>
    </w:p>
    <w:p>
      <w:pPr>
        <w:ind w:left="920"/>
        <w:spacing w:after="0" w:line="230" w:lineRule="auto"/>
        <w:rPr>
          <w:sz w:val="20"/>
          <w:szCs w:val="20"/>
          <w:color w:val="auto"/>
        </w:rPr>
      </w:pPr>
      <w:r>
        <w:rPr>
          <w:rFonts w:ascii="Times New Roman" w:cs="Times New Roman" w:eastAsia="Times New Roman" w:hAnsi="Times New Roman"/>
          <w:sz w:val="22"/>
          <w:szCs w:val="22"/>
          <w:color w:val="auto"/>
        </w:rPr>
        <w:t>As of the date hereof, there are six members of the Partnership Committee. Each of the members of the Partnership</w:t>
      </w:r>
    </w:p>
    <w:p>
      <w:pPr>
        <w:ind w:left="920"/>
        <w:spacing w:after="0" w:line="231" w:lineRule="auto"/>
        <w:rPr>
          <w:sz w:val="20"/>
          <w:szCs w:val="20"/>
          <w:color w:val="auto"/>
        </w:rPr>
      </w:pPr>
      <w:r>
        <w:rPr>
          <w:rFonts w:ascii="Times New Roman" w:cs="Times New Roman" w:eastAsia="Times New Roman" w:hAnsi="Times New Roman"/>
          <w:sz w:val="22"/>
          <w:szCs w:val="22"/>
          <w:color w:val="auto"/>
        </w:rPr>
        <w:t>Committee disclaims ownership of the shares of common stock reported herein except to the extent he has a</w:t>
      </w:r>
    </w:p>
    <w:p>
      <w:pPr>
        <w:ind w:left="920"/>
        <w:spacing w:after="0" w:line="230" w:lineRule="auto"/>
        <w:rPr>
          <w:sz w:val="20"/>
          <w:szCs w:val="20"/>
          <w:color w:val="auto"/>
        </w:rPr>
      </w:pPr>
      <w:r>
        <w:rPr>
          <w:rFonts w:ascii="Times New Roman" w:cs="Times New Roman" w:eastAsia="Times New Roman" w:hAnsi="Times New Roman"/>
          <w:sz w:val="22"/>
          <w:szCs w:val="22"/>
          <w:color w:val="auto"/>
        </w:rPr>
        <w:t>pecuniary interest therein. The name, the address and the citizenship of each of the members of the Partnership</w:t>
      </w:r>
    </w:p>
    <w:p>
      <w:pPr>
        <w:ind w:left="920"/>
        <w:spacing w:after="0" w:line="231" w:lineRule="auto"/>
        <w:rPr>
          <w:sz w:val="20"/>
          <w:szCs w:val="20"/>
          <w:color w:val="auto"/>
        </w:rPr>
      </w:pPr>
      <w:r>
        <w:rPr>
          <w:rFonts w:ascii="Times New Roman" w:cs="Times New Roman" w:eastAsia="Times New Roman" w:hAnsi="Times New Roman"/>
          <w:sz w:val="22"/>
          <w:szCs w:val="22"/>
          <w:color w:val="auto"/>
        </w:rPr>
        <w:t>Committee as of the date hereof is attached hereto as Schedule A and is hereby incorporated by reference. Amount</w:t>
      </w:r>
    </w:p>
    <w:p>
      <w:pPr>
        <w:ind w:left="920"/>
        <w:spacing w:after="0"/>
        <w:rPr>
          <w:sz w:val="20"/>
          <w:szCs w:val="20"/>
          <w:color w:val="auto"/>
        </w:rPr>
      </w:pPr>
      <w:r>
        <w:rPr>
          <w:rFonts w:ascii="Times New Roman" w:cs="Times New Roman" w:eastAsia="Times New Roman" w:hAnsi="Times New Roman"/>
          <w:sz w:val="21"/>
          <w:szCs w:val="21"/>
          <w:color w:val="auto"/>
        </w:rPr>
        <w:t>Beneficially Owned: By virtue of the relationship described above, each of the Reporting Persons may be deemed to</w:t>
      </w:r>
    </w:p>
    <w:p>
      <w:pPr>
        <w:ind w:left="920"/>
        <w:spacing w:after="0" w:line="231" w:lineRule="auto"/>
        <w:rPr>
          <w:sz w:val="20"/>
          <w:szCs w:val="20"/>
          <w:color w:val="auto"/>
        </w:rPr>
      </w:pPr>
      <w:r>
        <w:rPr>
          <w:rFonts w:ascii="Times New Roman" w:cs="Times New Roman" w:eastAsia="Times New Roman" w:hAnsi="Times New Roman"/>
          <w:sz w:val="22"/>
          <w:szCs w:val="22"/>
          <w:color w:val="auto"/>
        </w:rPr>
        <w:t>beneficially own the shares of common stock indicated on row (9) on such Reporting Person's cover page included</w:t>
      </w:r>
    </w:p>
    <w:p>
      <w:pPr>
        <w:ind w:left="920"/>
        <w:spacing w:after="0" w:line="231" w:lineRule="auto"/>
        <w:rPr>
          <w:sz w:val="20"/>
          <w:szCs w:val="20"/>
          <w:color w:val="auto"/>
        </w:rPr>
      </w:pPr>
      <w:r>
        <w:rPr>
          <w:rFonts w:ascii="Times New Roman" w:cs="Times New Roman" w:eastAsia="Times New Roman" w:hAnsi="Times New Roman"/>
          <w:sz w:val="22"/>
          <w:szCs w:val="22"/>
          <w:color w:val="auto"/>
        </w:rPr>
        <w:t>herein. APSC II Holdco I will have the right to acquire 8,495,310 common shares upon the conversion of</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$80,705,443 principal amount of convertible loans at an exchange price of $9.50 per share (the "Convertible Loans")</w:t>
      </w:r>
    </w:p>
    <w:p>
      <w:pPr>
        <w:ind w:left="920"/>
        <w:spacing w:after="0" w:line="231" w:lineRule="auto"/>
        <w:rPr>
          <w:sz w:val="20"/>
          <w:szCs w:val="20"/>
          <w:color w:val="auto"/>
        </w:rPr>
      </w:pPr>
      <w:r>
        <w:rPr>
          <w:rFonts w:ascii="Times New Roman" w:cs="Times New Roman" w:eastAsia="Times New Roman" w:hAnsi="Times New Roman"/>
          <w:sz w:val="22"/>
          <w:szCs w:val="22"/>
          <w:color w:val="auto"/>
        </w:rPr>
        <w:t>on or after May 16, 2026. APSC II Holdco II directly holds 8,386,255 warrants which are currently exercisable to</w:t>
      </w:r>
    </w:p>
    <w:p>
      <w:pPr>
        <w:ind w:left="920"/>
        <w:spacing w:after="0" w:line="231" w:lineRule="auto"/>
        <w:rPr>
          <w:sz w:val="20"/>
          <w:szCs w:val="20"/>
          <w:color w:val="auto"/>
        </w:rPr>
      </w:pPr>
      <w:r>
        <w:rPr>
          <w:rFonts w:ascii="Times New Roman" w:cs="Times New Roman" w:eastAsia="Times New Roman" w:hAnsi="Times New Roman"/>
          <w:sz w:val="22"/>
          <w:szCs w:val="22"/>
          <w:color w:val="auto"/>
        </w:rPr>
        <w:t>acquire 3,579,499 shares of common stock currently exercisable at an exercise price of $7.15 per share (subject to</w:t>
      </w:r>
    </w:p>
    <w:p>
      <w:pPr>
        <w:ind w:left="920"/>
        <w:spacing w:after="0" w:line="231" w:lineRule="auto"/>
        <w:rPr>
          <w:sz w:val="20"/>
          <w:szCs w:val="20"/>
          <w:color w:val="auto"/>
        </w:rPr>
      </w:pPr>
      <w:r>
        <w:rPr>
          <w:rFonts w:ascii="Times New Roman" w:cs="Times New Roman" w:eastAsia="Times New Roman" w:hAnsi="Times New Roman"/>
          <w:sz w:val="22"/>
          <w:szCs w:val="22"/>
          <w:color w:val="auto"/>
        </w:rPr>
        <w:t>adjustment), 3,579,499 shares of common stock at an exercise price of $9.30 per share (subject to adjustment) and</w:t>
      </w:r>
    </w:p>
    <w:p>
      <w:pPr>
        <w:ind w:left="920"/>
        <w:spacing w:after="0"/>
        <w:rPr>
          <w:sz w:val="20"/>
          <w:szCs w:val="20"/>
          <w:color w:val="auto"/>
        </w:rPr>
      </w:pPr>
      <w:r>
        <w:rPr>
          <w:rFonts w:ascii="Times New Roman" w:cs="Times New Roman" w:eastAsia="Times New Roman" w:hAnsi="Times New Roman"/>
          <w:sz w:val="22"/>
          <w:szCs w:val="22"/>
          <w:color w:val="auto"/>
        </w:rPr>
        <w:t>1,227,527 shares of common stock at an exercise price of $9.30 per share (subject to adjustment) (the "Warrants").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percentages used herein are calculated based upon on an aggregate of 281,811,630 shares of common stock,</w:t>
      </w:r>
    </w:p>
    <w:p>
      <w:pPr>
        <w:spacing w:after="0" w:line="14" w:lineRule="exact"/>
        <w:rPr>
          <w:sz w:val="20"/>
          <w:szCs w:val="20"/>
          <w:color w:val="auto"/>
        </w:rPr>
      </w:pPr>
    </w:p>
    <w:p>
      <w:pPr>
        <w:ind w:left="920" w:right="140" w:hanging="912"/>
        <w:spacing w:after="0" w:line="234" w:lineRule="auto"/>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consisting of (i) 264,930,065 shares of common stock reported by the Company to be outstanding as of February 20, 2026 reflected in the Company's Annual Report on Form 10-K filed with the U.S. Securities and Exchange Commission on March 2, 2026, (ii) 8,495,310 shares of common stock issuable upon the conversion of the Convertible Loans and (iii) 8,386,255 issuable upon the exercise of the Warrants. %</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2"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color w:val="auto"/>
        </w:rPr>
        <w:t>Each of the Reporting Persons may be deemed to have the sole power to direct the voting of the shares of common stock indicated on Row (5) of each such Reporting Person's cover page included herein.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Each of the Reporting Persons may be deemed to share the power to direct the voting of the shares of common stock indicated on Row (6) of each such Reporting Person's cover page included herein.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620"/>
        <w:spacing w:after="0" w:line="258" w:lineRule="auto"/>
        <w:rPr>
          <w:sz w:val="20"/>
          <w:szCs w:val="20"/>
          <w:color w:val="auto"/>
        </w:rPr>
      </w:pPr>
      <w:r>
        <w:rPr>
          <w:rFonts w:ascii="Times New Roman" w:cs="Times New Roman" w:eastAsia="Times New Roman" w:hAnsi="Times New Roman"/>
          <w:sz w:val="22"/>
          <w:szCs w:val="22"/>
          <w:color w:val="auto"/>
        </w:rPr>
        <w:t>Each of the Reporting Persons may be deemed to have the sole power to direct the dispositions of the shares of common stock indicated on Row (7) of each such Reporting Person's cover page included herein.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Each of the Reporting Persons may be deemed to share the power to direct the dispositions of the shares of common stock indicated on Row (8) of each such Reporting Person's cover page included herein.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62" w:orient="portrait"/>
          <w:cols w:equalWidth="0" w:num="2">
            <w:col w:w="620" w:space="300"/>
            <w:col w:w="10220"/>
          </w:cols>
          <w:pgMar w:left="360" w:top="111" w:right="399" w:bottom="0" w:gutter="0" w:footer="0" w:header="0"/>
          <w:type w:val="continuous"/>
        </w:sect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ectPr>
          <w:pgSz w:w="11900" w:h="16862"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See Item 2, which states the identity of the members of the group filing this Schedule 13G.</w:t>
      </w:r>
    </w:p>
    <w:p>
      <w:pPr>
        <w:sectPr>
          <w:pgSz w:w="11900" w:h="16862" w:orient="portrait"/>
          <w:cols w:equalWidth="0" w:num="1">
            <w:col w:w="11140"/>
          </w:cols>
          <w:pgMar w:left="360" w:top="111" w:right="399" w:bottom="0" w:gutter="0" w:footer="0" w:header="0"/>
          <w:type w:val="continuous"/>
        </w:sectPr>
      </w:pPr>
    </w:p>
    <w:bookmarkStart w:id="9" w:name="page10"/>
    <w:bookmarkEnd w:id="9"/>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GASC GP, LLC</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Gosk</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Michael Gosk, Managing Director</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03/24/2026</w:t>
      </w:r>
    </w:p>
    <w:p>
      <w:pPr>
        <w:spacing w:after="0" w:line="15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General Atlantic Partners,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Gosk</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Michael Gosk, Managing Director of GASC GP,</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03/24/2026</w:t>
      </w:r>
    </w:p>
    <w:p>
      <w:pPr>
        <w:spacing w:after="0" w:line="15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GAP Holdings GP,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Gosk</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Michael Gosk, Managing Director of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Atlantic Partners, L.P., its sole 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03/24/2026</w:t>
      </w:r>
    </w:p>
    <w:p>
      <w:pPr>
        <w:spacing w:after="0" w:line="152"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Atlantic Park UGP, LLC</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George Fan</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George Fan, Authorized Signatory</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03/24/2026</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Atlantic Park Strategic Capital Fund II GP,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George Fan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George Fan, Authorized Signatory of Atlantic</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Park UGP, 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03/24/2026</w:t>
      </w:r>
    </w:p>
    <w:p>
      <w:pPr>
        <w:spacing w:after="0" w:line="15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Atlantic Park Strategic Capital Master Fund 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George Fan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George Fan, Authorized Signatory of Atlantic</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Park UGP, 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03/24/2026</w:t>
      </w:r>
    </w:p>
    <w:p>
      <w:pPr>
        <w:spacing w:after="0" w:line="15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color w:val="auto"/>
        </w:rPr>
        <w:t>Atlantic Park Strategic Capital Parallel Master Fund 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George Fan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George Fan, Authorized Signatory of Atlantic</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Park UGP, 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03/24/2026</w:t>
      </w:r>
    </w:p>
    <w:p>
      <w:pPr>
        <w:spacing w:after="0" w:line="15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APSC II Holdco 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George Fan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George Fan, Authorized Signatory of Atlantic</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Park UGP, LLC, the GP of Atlantic Park Strategic</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Capital Fund II GP, L.P., its GP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03/24/2026</w:t>
      </w:r>
    </w:p>
    <w:p>
      <w:pPr>
        <w:sectPr>
          <w:pgSz w:w="11900" w:h="16838" w:orient="portrait"/>
          <w:cols w:equalWidth="0" w:num="1">
            <w:col w:w="11140"/>
          </w:cols>
          <w:pgMar w:left="360" w:top="139" w:right="399" w:bottom="0" w:gutter="0" w:footer="0" w:header="0"/>
        </w:sectPr>
      </w:pPr>
    </w:p>
    <w:bookmarkStart w:id="10" w:name="page11"/>
    <w:bookmarkEnd w:id="10"/>
    <w:p>
      <w:pPr>
        <w:ind w:left="2260"/>
        <w:spacing w:after="0"/>
        <w:rPr>
          <w:sz w:val="20"/>
          <w:szCs w:val="20"/>
          <w:color w:val="auto"/>
        </w:rPr>
      </w:pPr>
      <w:r>
        <w:rPr>
          <w:rFonts w:ascii="Times New Roman" w:cs="Times New Roman" w:eastAsia="Times New Roman" w:hAnsi="Times New Roman"/>
          <w:sz w:val="22"/>
          <w:szCs w:val="22"/>
          <w:color w:val="auto"/>
        </w:rPr>
        <w:t>APSC II Holdco II, L.P.</w:t>
      </w:r>
    </w:p>
    <w:p>
      <w:pPr>
        <w:spacing w:after="0" w:line="153"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George Fan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George Fan, Authorized Signatory of Atlantic</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Name/Title: Park UGP, LLC, the GP of Atlantic Park Strategic</w:t>
      </w:r>
    </w:p>
    <w:p>
      <w:pPr>
        <w:ind w:left="6740"/>
        <w:spacing w:after="0"/>
        <w:rPr>
          <w:sz w:val="20"/>
          <w:szCs w:val="20"/>
          <w:color w:val="auto"/>
        </w:rPr>
      </w:pPr>
      <w:r>
        <w:rPr>
          <w:rFonts w:ascii="Times New Roman" w:cs="Times New Roman" w:eastAsia="Times New Roman" w:hAnsi="Times New Roman"/>
          <w:sz w:val="22"/>
          <w:szCs w:val="22"/>
          <w:color w:val="auto"/>
        </w:rPr>
        <w:t>Capital Fund II GP, L.P., its GP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03/24/2026</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1 - Joint Filing Agreement as required by Rule 13d-1(k)(1) under the Securities Exchange Act of 1934, as amended.</w:t>
      </w:r>
    </w:p>
    <w:p>
      <w:pPr>
        <w:sectPr>
          <w:pgSz w:w="11900" w:h="16838" w:orient="portrait"/>
          <w:cols w:equalWidth="0" w:num="1">
            <w:col w:w="11080"/>
          </w:cols>
          <w:pgMar w:left="360" w:top="112" w:right="4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Members of the Partnership Committee (as of the date hereof)</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9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8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34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191"/>
        </w:trPr>
        <w:tc>
          <w:tcPr>
            <w:tcW w:w="2980" w:type="dxa"/>
            <w:vAlign w:val="bottom"/>
            <w:tcBorders>
              <w:left w:val="single" w:sz="8" w:color="auto"/>
              <w:right w:val="single" w:sz="8" w:color="auto"/>
            </w:tcBorders>
            <w:shd w:val="clear" w:color="auto" w:fill="C6F4F9"/>
          </w:tcPr>
          <w:p>
            <w:pPr>
              <w:ind w:left="20"/>
              <w:spacing w:after="0" w:line="191" w:lineRule="exact"/>
              <w:rPr>
                <w:sz w:val="20"/>
                <w:szCs w:val="20"/>
                <w:color w:val="auto"/>
              </w:rPr>
            </w:pPr>
            <w:r>
              <w:rPr>
                <w:rFonts w:ascii="Times New Roman" w:cs="Times New Roman" w:eastAsia="Times New Roman" w:hAnsi="Times New Roman"/>
                <w:sz w:val="18"/>
                <w:szCs w:val="18"/>
                <w:color w:val="auto"/>
              </w:rPr>
              <w:t>William E. Ford</w:t>
            </w:r>
          </w:p>
        </w:tc>
        <w:tc>
          <w:tcPr>
            <w:tcW w:w="4860" w:type="dxa"/>
            <w:vAlign w:val="bottom"/>
            <w:tcBorders>
              <w:right w:val="single" w:sz="8" w:color="auto"/>
            </w:tcBorders>
            <w:shd w:val="clear" w:color="auto" w:fill="C6F4F9"/>
          </w:tcPr>
          <w:p>
            <w:pPr>
              <w:spacing w:after="0" w:line="191" w:lineRule="exact"/>
              <w:rPr>
                <w:sz w:val="20"/>
                <w:szCs w:val="20"/>
                <w:color w:val="auto"/>
              </w:rPr>
            </w:pPr>
            <w:r>
              <w:rPr>
                <w:rFonts w:ascii="Times New Roman" w:cs="Times New Roman" w:eastAsia="Times New Roman" w:hAnsi="Times New Roman"/>
                <w:sz w:val="18"/>
                <w:szCs w:val="18"/>
                <w:color w:val="auto"/>
              </w:rPr>
              <w:t>55 East 52nd Street</w:t>
            </w:r>
          </w:p>
        </w:tc>
        <w:tc>
          <w:tcPr>
            <w:tcW w:w="3400" w:type="dxa"/>
            <w:vAlign w:val="bottom"/>
            <w:tcBorders>
              <w:right w:val="single" w:sz="8" w:color="auto"/>
            </w:tcBorders>
            <w:shd w:val="clear" w:color="auto" w:fill="C6F4F9"/>
          </w:tcPr>
          <w:p>
            <w:pPr>
              <w:spacing w:after="0" w:line="191" w:lineRule="exact"/>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2980" w:type="dxa"/>
            <w:vAlign w:val="bottom"/>
            <w:tcBorders>
              <w:left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4860" w:type="dxa"/>
            <w:vAlign w:val="bottom"/>
            <w:tcBorders>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33rd Floor</w:t>
            </w:r>
          </w:p>
        </w:tc>
        <w:tc>
          <w:tcPr>
            <w:tcW w:w="3400" w:type="dxa"/>
            <w:vAlign w:val="bottom"/>
            <w:tcBorders>
              <w:right w:val="single" w:sz="8" w:color="auto"/>
            </w:tcBorders>
            <w:shd w:val="clear" w:color="auto" w:fill="C6F4F9"/>
          </w:tcPr>
          <w:p>
            <w:pPr>
              <w:spacing w:after="0"/>
              <w:rPr>
                <w:sz w:val="18"/>
                <w:szCs w:val="18"/>
                <w:color w:val="auto"/>
              </w:rPr>
            </w:pPr>
          </w:p>
        </w:tc>
      </w:tr>
      <w:tr>
        <w:trPr>
          <w:trHeight w:val="234"/>
        </w:trPr>
        <w:tc>
          <w:tcPr>
            <w:tcW w:w="2980" w:type="dxa"/>
            <w:vAlign w:val="bottom"/>
            <w:tcBorders>
              <w:left w:val="single" w:sz="8" w:color="auto"/>
              <w:bottom w:val="single" w:sz="8" w:color="auto"/>
              <w:right w:val="single" w:sz="8" w:color="auto"/>
            </w:tcBorders>
            <w:shd w:val="clear" w:color="auto" w:fill="C6F4F9"/>
          </w:tcPr>
          <w:p>
            <w:pPr>
              <w:spacing w:after="0"/>
              <w:rPr>
                <w:sz w:val="20"/>
                <w:szCs w:val="20"/>
                <w:color w:val="auto"/>
              </w:rPr>
            </w:pPr>
          </w:p>
        </w:tc>
        <w:tc>
          <w:tcPr>
            <w:tcW w:w="486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New York, New York 10055</w:t>
            </w:r>
          </w:p>
        </w:tc>
        <w:tc>
          <w:tcPr>
            <w:tcW w:w="3400" w:type="dxa"/>
            <w:vAlign w:val="bottom"/>
            <w:tcBorders>
              <w:bottom w:val="single" w:sz="8" w:color="auto"/>
              <w:right w:val="single" w:sz="8" w:color="auto"/>
            </w:tcBorders>
            <w:shd w:val="clear" w:color="auto" w:fill="C6F4F9"/>
          </w:tcPr>
          <w:p>
            <w:pPr>
              <w:spacing w:after="0"/>
              <w:rPr>
                <w:sz w:val="20"/>
                <w:szCs w:val="20"/>
                <w:color w:val="auto"/>
              </w:rPr>
            </w:pPr>
          </w:p>
        </w:tc>
      </w:tr>
      <w:tr>
        <w:trPr>
          <w:trHeight w:val="191"/>
        </w:trPr>
        <w:tc>
          <w:tcPr>
            <w:tcW w:w="29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Torbjorn Caesar</w:t>
            </w:r>
          </w:p>
        </w:tc>
        <w:tc>
          <w:tcPr>
            <w:tcW w:w="48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Royal Park, 29, Avenue de la Porte-Neuve</w:t>
            </w:r>
          </w:p>
        </w:tc>
        <w:tc>
          <w:tcPr>
            <w:tcW w:w="34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Sweden and United Kingdom</w:t>
            </w:r>
          </w:p>
        </w:tc>
      </w:tr>
      <w:tr>
        <w:trPr>
          <w:trHeight w:val="234"/>
        </w:trPr>
        <w:tc>
          <w:tcPr>
            <w:tcW w:w="2980" w:type="dxa"/>
            <w:vAlign w:val="bottom"/>
            <w:tcBorders>
              <w:left w:val="single" w:sz="8" w:color="auto"/>
              <w:bottom w:val="single" w:sz="8" w:color="auto"/>
              <w:right w:val="single" w:sz="8" w:color="auto"/>
            </w:tcBorders>
          </w:tcPr>
          <w:p>
            <w:pPr>
              <w:spacing w:after="0"/>
              <w:rPr>
                <w:sz w:val="20"/>
                <w:szCs w:val="20"/>
                <w:color w:val="auto"/>
              </w:rPr>
            </w:pPr>
          </w:p>
        </w:tc>
        <w:tc>
          <w:tcPr>
            <w:tcW w:w="4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L-2227 Luxembourg</w:t>
            </w:r>
          </w:p>
        </w:tc>
        <w:tc>
          <w:tcPr>
            <w:tcW w:w="3400" w:type="dxa"/>
            <w:vAlign w:val="bottom"/>
            <w:tcBorders>
              <w:bottom w:val="single" w:sz="8" w:color="auto"/>
              <w:right w:val="single" w:sz="8" w:color="auto"/>
            </w:tcBorders>
          </w:tcPr>
          <w:p>
            <w:pPr>
              <w:spacing w:after="0"/>
              <w:rPr>
                <w:sz w:val="20"/>
                <w:szCs w:val="20"/>
                <w:color w:val="auto"/>
              </w:rPr>
            </w:pPr>
          </w:p>
        </w:tc>
      </w:tr>
      <w:tr>
        <w:trPr>
          <w:trHeight w:val="191"/>
        </w:trPr>
        <w:tc>
          <w:tcPr>
            <w:tcW w:w="2980" w:type="dxa"/>
            <w:vAlign w:val="bottom"/>
            <w:tcBorders>
              <w:left w:val="single" w:sz="8" w:color="auto"/>
              <w:right w:val="single" w:sz="8" w:color="auto"/>
            </w:tcBorders>
            <w:shd w:val="clear" w:color="auto" w:fill="C6F4F9"/>
          </w:tcPr>
          <w:p>
            <w:pPr>
              <w:ind w:left="20"/>
              <w:spacing w:after="0" w:line="191" w:lineRule="exact"/>
              <w:rPr>
                <w:sz w:val="20"/>
                <w:szCs w:val="20"/>
                <w:color w:val="auto"/>
              </w:rPr>
            </w:pPr>
            <w:r>
              <w:rPr>
                <w:rFonts w:ascii="Times New Roman" w:cs="Times New Roman" w:eastAsia="Times New Roman" w:hAnsi="Times New Roman"/>
                <w:sz w:val="18"/>
                <w:szCs w:val="18"/>
                <w:color w:val="auto"/>
              </w:rPr>
              <w:t>Gabriel Caillaux</w:t>
            </w:r>
          </w:p>
        </w:tc>
        <w:tc>
          <w:tcPr>
            <w:tcW w:w="4860" w:type="dxa"/>
            <w:vAlign w:val="bottom"/>
            <w:tcBorders>
              <w:right w:val="single" w:sz="8" w:color="auto"/>
            </w:tcBorders>
            <w:shd w:val="clear" w:color="auto" w:fill="C6F4F9"/>
          </w:tcPr>
          <w:p>
            <w:pPr>
              <w:spacing w:after="0" w:line="191" w:lineRule="exact"/>
              <w:rPr>
                <w:sz w:val="20"/>
                <w:szCs w:val="20"/>
                <w:color w:val="auto"/>
              </w:rPr>
            </w:pPr>
            <w:r>
              <w:rPr>
                <w:rFonts w:ascii="Times New Roman" w:cs="Times New Roman" w:eastAsia="Times New Roman" w:hAnsi="Times New Roman"/>
                <w:sz w:val="18"/>
                <w:szCs w:val="18"/>
                <w:color w:val="auto"/>
              </w:rPr>
              <w:t>23 Savile Row</w:t>
            </w:r>
          </w:p>
        </w:tc>
        <w:tc>
          <w:tcPr>
            <w:tcW w:w="3400" w:type="dxa"/>
            <w:vAlign w:val="bottom"/>
            <w:tcBorders>
              <w:right w:val="single" w:sz="8" w:color="auto"/>
            </w:tcBorders>
            <w:shd w:val="clear" w:color="auto" w:fill="C6F4F9"/>
          </w:tcPr>
          <w:p>
            <w:pPr>
              <w:spacing w:after="0" w:line="191" w:lineRule="exact"/>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2980" w:type="dxa"/>
            <w:vAlign w:val="bottom"/>
            <w:tcBorders>
              <w:left w:val="single" w:sz="8" w:color="auto"/>
              <w:right w:val="single" w:sz="8" w:color="auto"/>
            </w:tcBorders>
            <w:shd w:val="clear" w:color="auto" w:fill="C6F4F9"/>
          </w:tcPr>
          <w:p>
            <w:pPr>
              <w:spacing w:after="0"/>
              <w:rPr>
                <w:sz w:val="18"/>
                <w:szCs w:val="18"/>
                <w:color w:val="auto"/>
              </w:rPr>
            </w:pPr>
          </w:p>
        </w:tc>
        <w:tc>
          <w:tcPr>
            <w:tcW w:w="4860" w:type="dxa"/>
            <w:vAlign w:val="bottom"/>
            <w:tcBorders>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London W1S 2ET</w:t>
            </w:r>
          </w:p>
        </w:tc>
        <w:tc>
          <w:tcPr>
            <w:tcW w:w="3400" w:type="dxa"/>
            <w:vAlign w:val="bottom"/>
            <w:tcBorders>
              <w:right w:val="single" w:sz="8" w:color="auto"/>
            </w:tcBorders>
            <w:shd w:val="clear" w:color="auto" w:fill="C6F4F9"/>
          </w:tcPr>
          <w:p>
            <w:pPr>
              <w:spacing w:after="0"/>
              <w:rPr>
                <w:sz w:val="18"/>
                <w:szCs w:val="18"/>
                <w:color w:val="auto"/>
              </w:rPr>
            </w:pPr>
          </w:p>
        </w:tc>
      </w:tr>
      <w:tr>
        <w:trPr>
          <w:trHeight w:val="234"/>
        </w:trPr>
        <w:tc>
          <w:tcPr>
            <w:tcW w:w="2980" w:type="dxa"/>
            <w:vAlign w:val="bottom"/>
            <w:tcBorders>
              <w:left w:val="single" w:sz="8" w:color="auto"/>
              <w:bottom w:val="single" w:sz="8" w:color="auto"/>
              <w:right w:val="single" w:sz="8" w:color="auto"/>
            </w:tcBorders>
            <w:shd w:val="clear" w:color="auto" w:fill="C6F4F9"/>
          </w:tcPr>
          <w:p>
            <w:pPr>
              <w:spacing w:after="0"/>
              <w:rPr>
                <w:sz w:val="20"/>
                <w:szCs w:val="20"/>
                <w:color w:val="auto"/>
              </w:rPr>
            </w:pPr>
          </w:p>
        </w:tc>
        <w:tc>
          <w:tcPr>
            <w:tcW w:w="486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3400" w:type="dxa"/>
            <w:vAlign w:val="bottom"/>
            <w:tcBorders>
              <w:bottom w:val="single" w:sz="8" w:color="auto"/>
              <w:right w:val="single" w:sz="8" w:color="auto"/>
            </w:tcBorders>
            <w:shd w:val="clear" w:color="auto" w:fill="C6F4F9"/>
          </w:tcPr>
          <w:p>
            <w:pPr>
              <w:spacing w:after="0"/>
              <w:rPr>
                <w:sz w:val="20"/>
                <w:szCs w:val="20"/>
                <w:color w:val="auto"/>
              </w:rPr>
            </w:pPr>
          </w:p>
        </w:tc>
      </w:tr>
      <w:tr>
        <w:trPr>
          <w:trHeight w:val="191"/>
        </w:trPr>
        <w:tc>
          <w:tcPr>
            <w:tcW w:w="29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Martín Escobari</w:t>
            </w:r>
          </w:p>
        </w:tc>
        <w:tc>
          <w:tcPr>
            <w:tcW w:w="48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55 East 52nd Street</w:t>
            </w:r>
          </w:p>
        </w:tc>
        <w:tc>
          <w:tcPr>
            <w:tcW w:w="34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Bolivia and Brazil</w:t>
            </w:r>
          </w:p>
        </w:tc>
      </w:tr>
      <w:tr>
        <w:trPr>
          <w:trHeight w:val="216"/>
        </w:trPr>
        <w:tc>
          <w:tcPr>
            <w:tcW w:w="2980" w:type="dxa"/>
            <w:vAlign w:val="bottom"/>
            <w:tcBorders>
              <w:left w:val="single" w:sz="8" w:color="auto"/>
              <w:right w:val="single" w:sz="8" w:color="auto"/>
            </w:tcBorders>
          </w:tcPr>
          <w:p>
            <w:pPr>
              <w:spacing w:after="0"/>
              <w:rPr>
                <w:sz w:val="18"/>
                <w:szCs w:val="18"/>
                <w:color w:val="auto"/>
              </w:rPr>
            </w:pPr>
          </w:p>
        </w:tc>
        <w:tc>
          <w:tcPr>
            <w:tcW w:w="4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33rd Floor</w:t>
            </w:r>
          </w:p>
        </w:tc>
        <w:tc>
          <w:tcPr>
            <w:tcW w:w="3400" w:type="dxa"/>
            <w:vAlign w:val="bottom"/>
            <w:tcBorders>
              <w:right w:val="single" w:sz="8" w:color="auto"/>
            </w:tcBorders>
          </w:tcPr>
          <w:p>
            <w:pPr>
              <w:spacing w:after="0"/>
              <w:rPr>
                <w:sz w:val="18"/>
                <w:szCs w:val="18"/>
                <w:color w:val="auto"/>
              </w:rPr>
            </w:pPr>
          </w:p>
        </w:tc>
      </w:tr>
      <w:tr>
        <w:trPr>
          <w:trHeight w:val="234"/>
        </w:trPr>
        <w:tc>
          <w:tcPr>
            <w:tcW w:w="2980" w:type="dxa"/>
            <w:vAlign w:val="bottom"/>
            <w:tcBorders>
              <w:left w:val="single" w:sz="8" w:color="auto"/>
              <w:bottom w:val="single" w:sz="8" w:color="auto"/>
              <w:right w:val="single" w:sz="8" w:color="auto"/>
            </w:tcBorders>
          </w:tcPr>
          <w:p>
            <w:pPr>
              <w:spacing w:after="0"/>
              <w:rPr>
                <w:sz w:val="20"/>
                <w:szCs w:val="20"/>
                <w:color w:val="auto"/>
              </w:rPr>
            </w:pPr>
          </w:p>
        </w:tc>
        <w:tc>
          <w:tcPr>
            <w:tcW w:w="4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York, New York 10055</w:t>
            </w:r>
          </w:p>
        </w:tc>
        <w:tc>
          <w:tcPr>
            <w:tcW w:w="3400" w:type="dxa"/>
            <w:vAlign w:val="bottom"/>
            <w:tcBorders>
              <w:bottom w:val="single" w:sz="8" w:color="auto"/>
              <w:right w:val="single" w:sz="8" w:color="auto"/>
            </w:tcBorders>
          </w:tcPr>
          <w:p>
            <w:pPr>
              <w:spacing w:after="0"/>
              <w:rPr>
                <w:sz w:val="20"/>
                <w:szCs w:val="20"/>
                <w:color w:val="auto"/>
              </w:rPr>
            </w:pPr>
          </w:p>
        </w:tc>
      </w:tr>
      <w:tr>
        <w:trPr>
          <w:trHeight w:val="191"/>
        </w:trPr>
        <w:tc>
          <w:tcPr>
            <w:tcW w:w="2980" w:type="dxa"/>
            <w:vAlign w:val="bottom"/>
            <w:tcBorders>
              <w:left w:val="single" w:sz="8" w:color="auto"/>
              <w:right w:val="single" w:sz="8" w:color="auto"/>
            </w:tcBorders>
            <w:shd w:val="clear" w:color="auto" w:fill="C6F4F9"/>
          </w:tcPr>
          <w:p>
            <w:pPr>
              <w:ind w:left="20"/>
              <w:spacing w:after="0" w:line="191" w:lineRule="exact"/>
              <w:rPr>
                <w:sz w:val="20"/>
                <w:szCs w:val="20"/>
                <w:color w:val="auto"/>
              </w:rPr>
            </w:pPr>
            <w:r>
              <w:rPr>
                <w:rFonts w:ascii="Times New Roman" w:cs="Times New Roman" w:eastAsia="Times New Roman" w:hAnsi="Times New Roman"/>
                <w:sz w:val="18"/>
                <w:szCs w:val="18"/>
                <w:color w:val="auto"/>
              </w:rPr>
              <w:t>David Hodgson</w:t>
            </w:r>
          </w:p>
        </w:tc>
        <w:tc>
          <w:tcPr>
            <w:tcW w:w="4860" w:type="dxa"/>
            <w:vAlign w:val="bottom"/>
            <w:tcBorders>
              <w:right w:val="single" w:sz="8" w:color="auto"/>
            </w:tcBorders>
            <w:shd w:val="clear" w:color="auto" w:fill="C6F4F9"/>
          </w:tcPr>
          <w:p>
            <w:pPr>
              <w:spacing w:after="0" w:line="191" w:lineRule="exact"/>
              <w:rPr>
                <w:sz w:val="20"/>
                <w:szCs w:val="20"/>
                <w:color w:val="auto"/>
              </w:rPr>
            </w:pPr>
            <w:r>
              <w:rPr>
                <w:rFonts w:ascii="Times New Roman" w:cs="Times New Roman" w:eastAsia="Times New Roman" w:hAnsi="Times New Roman"/>
                <w:sz w:val="18"/>
                <w:szCs w:val="18"/>
                <w:color w:val="auto"/>
              </w:rPr>
              <w:t>55 East 52nd Street</w:t>
            </w:r>
          </w:p>
        </w:tc>
        <w:tc>
          <w:tcPr>
            <w:tcW w:w="3400" w:type="dxa"/>
            <w:vAlign w:val="bottom"/>
            <w:tcBorders>
              <w:right w:val="single" w:sz="8" w:color="auto"/>
            </w:tcBorders>
            <w:shd w:val="clear" w:color="auto" w:fill="C6F4F9"/>
          </w:tcPr>
          <w:p>
            <w:pPr>
              <w:spacing w:after="0" w:line="191" w:lineRule="exact"/>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2980" w:type="dxa"/>
            <w:vAlign w:val="bottom"/>
            <w:tcBorders>
              <w:left w:val="single" w:sz="8" w:color="auto"/>
              <w:right w:val="single" w:sz="8" w:color="auto"/>
            </w:tcBorders>
            <w:shd w:val="clear" w:color="auto" w:fill="C6F4F9"/>
          </w:tcPr>
          <w:p>
            <w:pPr>
              <w:spacing w:after="0"/>
              <w:rPr>
                <w:sz w:val="18"/>
                <w:szCs w:val="18"/>
                <w:color w:val="auto"/>
              </w:rPr>
            </w:pPr>
          </w:p>
        </w:tc>
        <w:tc>
          <w:tcPr>
            <w:tcW w:w="4860" w:type="dxa"/>
            <w:vAlign w:val="bottom"/>
            <w:tcBorders>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33rd Floor</w:t>
            </w:r>
          </w:p>
        </w:tc>
        <w:tc>
          <w:tcPr>
            <w:tcW w:w="3400" w:type="dxa"/>
            <w:vAlign w:val="bottom"/>
            <w:tcBorders>
              <w:right w:val="single" w:sz="8" w:color="auto"/>
            </w:tcBorders>
            <w:shd w:val="clear" w:color="auto" w:fill="C6F4F9"/>
          </w:tcPr>
          <w:p>
            <w:pPr>
              <w:spacing w:after="0"/>
              <w:rPr>
                <w:sz w:val="18"/>
                <w:szCs w:val="18"/>
                <w:color w:val="auto"/>
              </w:rPr>
            </w:pPr>
          </w:p>
        </w:tc>
      </w:tr>
      <w:tr>
        <w:trPr>
          <w:trHeight w:val="234"/>
        </w:trPr>
        <w:tc>
          <w:tcPr>
            <w:tcW w:w="2980" w:type="dxa"/>
            <w:vAlign w:val="bottom"/>
            <w:tcBorders>
              <w:left w:val="single" w:sz="8" w:color="auto"/>
              <w:bottom w:val="single" w:sz="8" w:color="auto"/>
              <w:right w:val="single" w:sz="8" w:color="auto"/>
            </w:tcBorders>
            <w:shd w:val="clear" w:color="auto" w:fill="C6F4F9"/>
          </w:tcPr>
          <w:p>
            <w:pPr>
              <w:spacing w:after="0"/>
              <w:rPr>
                <w:sz w:val="20"/>
                <w:szCs w:val="20"/>
                <w:color w:val="auto"/>
              </w:rPr>
            </w:pPr>
          </w:p>
        </w:tc>
        <w:tc>
          <w:tcPr>
            <w:tcW w:w="486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New York, New York 10055</w:t>
            </w:r>
          </w:p>
        </w:tc>
        <w:tc>
          <w:tcPr>
            <w:tcW w:w="3400" w:type="dxa"/>
            <w:vAlign w:val="bottom"/>
            <w:tcBorders>
              <w:bottom w:val="single" w:sz="8" w:color="auto"/>
              <w:right w:val="single" w:sz="8" w:color="auto"/>
            </w:tcBorders>
            <w:shd w:val="clear" w:color="auto" w:fill="C6F4F9"/>
          </w:tcPr>
          <w:p>
            <w:pPr>
              <w:spacing w:after="0"/>
              <w:rPr>
                <w:sz w:val="20"/>
                <w:szCs w:val="20"/>
                <w:color w:val="auto"/>
              </w:rPr>
            </w:pPr>
          </w:p>
        </w:tc>
      </w:tr>
      <w:tr>
        <w:trPr>
          <w:trHeight w:val="191"/>
        </w:trPr>
        <w:tc>
          <w:tcPr>
            <w:tcW w:w="29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Christopher Lanning</w:t>
            </w:r>
          </w:p>
        </w:tc>
        <w:tc>
          <w:tcPr>
            <w:tcW w:w="48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55 East 52nd Street</w:t>
            </w:r>
          </w:p>
        </w:tc>
        <w:tc>
          <w:tcPr>
            <w:tcW w:w="34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2980" w:type="dxa"/>
            <w:vAlign w:val="bottom"/>
            <w:tcBorders>
              <w:left w:val="single" w:sz="8" w:color="auto"/>
              <w:right w:val="single" w:sz="8" w:color="auto"/>
            </w:tcBorders>
          </w:tcPr>
          <w:p>
            <w:pPr>
              <w:spacing w:after="0"/>
              <w:rPr>
                <w:sz w:val="18"/>
                <w:szCs w:val="18"/>
                <w:color w:val="auto"/>
              </w:rPr>
            </w:pPr>
          </w:p>
        </w:tc>
        <w:tc>
          <w:tcPr>
            <w:tcW w:w="4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33rd Floor</w:t>
            </w:r>
          </w:p>
        </w:tc>
        <w:tc>
          <w:tcPr>
            <w:tcW w:w="3400" w:type="dxa"/>
            <w:vAlign w:val="bottom"/>
            <w:tcBorders>
              <w:right w:val="single" w:sz="8" w:color="auto"/>
            </w:tcBorders>
          </w:tcPr>
          <w:p>
            <w:pPr>
              <w:spacing w:after="0"/>
              <w:rPr>
                <w:sz w:val="18"/>
                <w:szCs w:val="18"/>
                <w:color w:val="auto"/>
              </w:rPr>
            </w:pPr>
          </w:p>
        </w:tc>
      </w:tr>
      <w:tr>
        <w:trPr>
          <w:trHeight w:val="234"/>
        </w:trPr>
        <w:tc>
          <w:tcPr>
            <w:tcW w:w="2980" w:type="dxa"/>
            <w:vAlign w:val="bottom"/>
            <w:tcBorders>
              <w:left w:val="single" w:sz="8" w:color="auto"/>
              <w:bottom w:val="single" w:sz="8" w:color="auto"/>
              <w:right w:val="single" w:sz="8" w:color="auto"/>
            </w:tcBorders>
          </w:tcPr>
          <w:p>
            <w:pPr>
              <w:spacing w:after="0"/>
              <w:rPr>
                <w:sz w:val="20"/>
                <w:szCs w:val="20"/>
                <w:color w:val="auto"/>
              </w:rPr>
            </w:pPr>
          </w:p>
        </w:tc>
        <w:tc>
          <w:tcPr>
            <w:tcW w:w="4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York, New York 10055</w:t>
            </w:r>
          </w:p>
        </w:tc>
        <w:tc>
          <w:tcPr>
            <w:tcW w:w="3400" w:type="dxa"/>
            <w:vAlign w:val="bottom"/>
            <w:tcBorders>
              <w:bottom w:val="single" w:sz="8" w:color="auto"/>
              <w:right w:val="single" w:sz="8" w:color="auto"/>
            </w:tcBorders>
          </w:tcPr>
          <w:p>
            <w:pPr>
              <w:spacing w:after="0"/>
              <w:rPr>
                <w:sz w:val="20"/>
                <w:szCs w:val="20"/>
                <w:color w:val="auto"/>
              </w:rPr>
            </w:pPr>
          </w:p>
        </w:tc>
      </w:tr>
      <w:tr>
        <w:trPr>
          <w:trHeight w:val="973"/>
        </w:trPr>
        <w:tc>
          <w:tcPr>
            <w:tcW w:w="29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1</w:t>
      </w:r>
    </w:p>
    <w:p>
      <w:pPr>
        <w:spacing w:after="0" w:line="19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JOINT ACQUISITION STATEMENT</w:t>
      </w:r>
    </w:p>
    <w:p>
      <w:pPr>
        <w:spacing w:after="0" w:line="1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PURSUANT TO RULE 13D-1(k)(1)</w:t>
      </w:r>
    </w:p>
    <w:p>
      <w:pPr>
        <w:spacing w:after="0" w:line="180" w:lineRule="exact"/>
        <w:rPr>
          <w:sz w:val="20"/>
          <w:szCs w:val="20"/>
          <w:color w:val="auto"/>
        </w:rPr>
      </w:pPr>
    </w:p>
    <w:p>
      <w:pPr>
        <w:ind w:right="20" w:firstLine="648"/>
        <w:spacing w:after="0" w:line="242" w:lineRule="auto"/>
        <w:rPr>
          <w:sz w:val="20"/>
          <w:szCs w:val="20"/>
          <w:color w:val="auto"/>
        </w:rPr>
      </w:pPr>
      <w:r>
        <w:rPr>
          <w:rFonts w:ascii="Arial" w:cs="Arial" w:eastAsia="Arial" w:hAnsi="Arial"/>
          <w:sz w:val="18"/>
          <w:szCs w:val="18"/>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her or it contained herein, but shall not be responsible for the completeness and accuracy of the information concerning the other entities or persons, except to the extent that he, she or it knows or has reason to believe that such information is accurate.</w:t>
      </w:r>
    </w:p>
    <w:p>
      <w:pPr>
        <w:spacing w:after="0" w:line="368"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GASC GP, LLC</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Signature: /s/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17780</wp:posOffset>
            </wp:positionV>
            <wp:extent cx="20828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21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Name/Title:Michael Gosk, Managing Director</w:t>
      </w:r>
    </w:p>
    <w:p>
      <w:pPr>
        <w:spacing w:after="0" w:line="225" w:lineRule="exact"/>
        <w:rPr>
          <w:sz w:val="20"/>
          <w:szCs w:val="20"/>
          <w:color w:val="auto"/>
        </w:rPr>
      </w:pPr>
    </w:p>
    <w:p>
      <w:pPr>
        <w:ind w:left="5940"/>
        <w:spacing w:after="0"/>
        <w:tabs>
          <w:tab w:leader="none" w:pos="68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3/24/2026</w:t>
      </w:r>
    </w:p>
    <w:p>
      <w:pPr>
        <w:spacing w:after="0" w:line="200" w:lineRule="exact"/>
        <w:rPr>
          <w:sz w:val="20"/>
          <w:szCs w:val="20"/>
          <w:color w:val="auto"/>
        </w:rPr>
      </w:pPr>
    </w:p>
    <w:p>
      <w:pPr>
        <w:spacing w:after="0" w:line="241"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General Atlantic Partners, L.P.</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Signature: /s/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17780</wp:posOffset>
            </wp:positionV>
            <wp:extent cx="20828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21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Name/Title:Michael Gosk, Managing Director of</w:t>
      </w:r>
    </w:p>
    <w:p>
      <w:pPr>
        <w:spacing w:after="0" w:line="1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GASC GP, LLC, its general partner</w:t>
      </w:r>
    </w:p>
    <w:p>
      <w:pPr>
        <w:spacing w:after="0" w:line="194" w:lineRule="exact"/>
        <w:rPr>
          <w:sz w:val="20"/>
          <w:szCs w:val="20"/>
          <w:color w:val="auto"/>
        </w:rPr>
      </w:pPr>
    </w:p>
    <w:p>
      <w:pPr>
        <w:ind w:left="5940"/>
        <w:spacing w:after="0"/>
        <w:tabs>
          <w:tab w:leader="none" w:pos="68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3/24/2026</w:t>
      </w:r>
    </w:p>
    <w:p>
      <w:pPr>
        <w:spacing w:after="0" w:line="200" w:lineRule="exact"/>
        <w:rPr>
          <w:sz w:val="20"/>
          <w:szCs w:val="20"/>
          <w:color w:val="auto"/>
        </w:rPr>
      </w:pPr>
    </w:p>
    <w:p>
      <w:pPr>
        <w:spacing w:after="0" w:line="241"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GAP Holdings GP, LLC</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Signature: /s/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17780</wp:posOffset>
            </wp:positionV>
            <wp:extent cx="20828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21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Name/Title:Michael Gosk, Managing Director of</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GASC GP, LLC, the general partner of</w:t>
      </w:r>
    </w:p>
    <w:p>
      <w:pPr>
        <w:ind w:left="6860"/>
        <w:spacing w:after="0" w:line="234" w:lineRule="auto"/>
        <w:rPr>
          <w:sz w:val="20"/>
          <w:szCs w:val="20"/>
          <w:color w:val="auto"/>
        </w:rPr>
      </w:pPr>
      <w:r>
        <w:rPr>
          <w:rFonts w:ascii="Arial" w:cs="Arial" w:eastAsia="Arial" w:hAnsi="Arial"/>
          <w:sz w:val="18"/>
          <w:szCs w:val="18"/>
          <w:color w:val="auto"/>
        </w:rPr>
        <w:t>General Atlantic Partners, L.P., its sole</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member</w:t>
      </w:r>
    </w:p>
    <w:p>
      <w:pPr>
        <w:spacing w:after="0" w:line="194" w:lineRule="exact"/>
        <w:rPr>
          <w:sz w:val="20"/>
          <w:szCs w:val="20"/>
          <w:color w:val="auto"/>
        </w:rPr>
      </w:pPr>
    </w:p>
    <w:p>
      <w:pPr>
        <w:ind w:left="5940"/>
        <w:spacing w:after="0"/>
        <w:tabs>
          <w:tab w:leader="none" w:pos="68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3/24/2026</w:t>
      </w:r>
    </w:p>
    <w:p>
      <w:pPr>
        <w:spacing w:after="0" w:line="200" w:lineRule="exact"/>
        <w:rPr>
          <w:sz w:val="20"/>
          <w:szCs w:val="20"/>
          <w:color w:val="auto"/>
        </w:rPr>
      </w:pPr>
    </w:p>
    <w:p>
      <w:pPr>
        <w:spacing w:after="0" w:line="241"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Atlantic Park UGP, LLC</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Signature: /s/ George Fan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17780</wp:posOffset>
            </wp:positionV>
            <wp:extent cx="20828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21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Name/Title:George Fan, Authorized Signatory</w:t>
      </w:r>
    </w:p>
    <w:p>
      <w:pPr>
        <w:spacing w:after="0" w:line="225" w:lineRule="exact"/>
        <w:rPr>
          <w:sz w:val="20"/>
          <w:szCs w:val="20"/>
          <w:color w:val="auto"/>
        </w:rPr>
      </w:pPr>
    </w:p>
    <w:p>
      <w:pPr>
        <w:ind w:left="5940"/>
        <w:spacing w:after="0"/>
        <w:tabs>
          <w:tab w:leader="none" w:pos="68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3/24/2026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ind w:left="4820"/>
        <w:spacing w:after="0"/>
        <w:rPr>
          <w:sz w:val="20"/>
          <w:szCs w:val="20"/>
          <w:color w:val="auto"/>
        </w:rPr>
      </w:pPr>
      <w:r>
        <w:rPr>
          <w:rFonts w:ascii="Arial" w:cs="Arial" w:eastAsia="Arial" w:hAnsi="Arial"/>
          <w:sz w:val="18"/>
          <w:szCs w:val="18"/>
          <w:b w:val="1"/>
          <w:bCs w:val="1"/>
          <w:color w:val="auto"/>
        </w:rPr>
        <w:t>Atlantic Park Strategic Capital Fund II GP, L.P.</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Signature: /s/ George Fan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17780</wp:posOffset>
            </wp:positionV>
            <wp:extent cx="20828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21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Name/Title:George Fan, Authorized Signatory of</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Atlantic Park UGP, LLC, its general</w:t>
      </w:r>
    </w:p>
    <w:p>
      <w:pPr>
        <w:ind w:left="5740"/>
        <w:spacing w:after="0"/>
        <w:rPr>
          <w:sz w:val="20"/>
          <w:szCs w:val="20"/>
          <w:color w:val="auto"/>
        </w:rPr>
      </w:pPr>
      <w:r>
        <w:rPr>
          <w:rFonts w:ascii="Arial" w:cs="Arial" w:eastAsia="Arial" w:hAnsi="Arial"/>
          <w:sz w:val="18"/>
          <w:szCs w:val="18"/>
          <w:color w:val="auto"/>
        </w:rPr>
        <w:t>partner</w:t>
      </w:r>
    </w:p>
    <w:p>
      <w:pPr>
        <w:spacing w:after="0" w:line="194" w:lineRule="exact"/>
        <w:rPr>
          <w:sz w:val="20"/>
          <w:szCs w:val="20"/>
          <w:color w:val="auto"/>
        </w:rPr>
      </w:pPr>
    </w:p>
    <w:p>
      <w:pPr>
        <w:ind w:left="4820"/>
        <w:spacing w:after="0"/>
        <w:tabs>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3/24/2026</w:t>
      </w:r>
    </w:p>
    <w:p>
      <w:pPr>
        <w:spacing w:after="0" w:line="200" w:lineRule="exact"/>
        <w:rPr>
          <w:sz w:val="20"/>
          <w:szCs w:val="20"/>
          <w:color w:val="auto"/>
        </w:rPr>
      </w:pPr>
    </w:p>
    <w:p>
      <w:pPr>
        <w:spacing w:after="0" w:line="241"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Atlantic Park Strategic Capital Master Fund II,</w:t>
      </w:r>
    </w:p>
    <w:p>
      <w:pPr>
        <w:spacing w:after="0" w:line="14"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L.P.</w:t>
      </w:r>
    </w:p>
    <w:p>
      <w:pPr>
        <w:spacing w:after="0" w:line="19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Signature: /s/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17780</wp:posOffset>
            </wp:positionV>
            <wp:extent cx="20828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21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Name/Title:George Fan, Authorized Signatory of</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Atlantic Park UGP, LLC, the general</w:t>
      </w:r>
    </w:p>
    <w:p>
      <w:pPr>
        <w:ind w:left="5740"/>
        <w:spacing w:after="0"/>
        <w:rPr>
          <w:sz w:val="20"/>
          <w:szCs w:val="20"/>
          <w:color w:val="auto"/>
        </w:rPr>
      </w:pPr>
      <w:r>
        <w:rPr>
          <w:rFonts w:ascii="Arial" w:cs="Arial" w:eastAsia="Arial" w:hAnsi="Arial"/>
          <w:sz w:val="17"/>
          <w:szCs w:val="17"/>
          <w:color w:val="auto"/>
        </w:rPr>
        <w:t>partner of Atlantic Park Strategic Capital</w:t>
      </w:r>
    </w:p>
    <w:p>
      <w:pPr>
        <w:spacing w:after="0" w:line="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Fund II GP, L.P., its general partner</w:t>
      </w:r>
    </w:p>
    <w:p>
      <w:pPr>
        <w:spacing w:after="0" w:line="194" w:lineRule="exact"/>
        <w:rPr>
          <w:sz w:val="20"/>
          <w:szCs w:val="20"/>
          <w:color w:val="auto"/>
        </w:rPr>
      </w:pPr>
    </w:p>
    <w:p>
      <w:pPr>
        <w:ind w:left="4820"/>
        <w:spacing w:after="0"/>
        <w:tabs>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3/24/2026</w:t>
      </w:r>
    </w:p>
    <w:p>
      <w:pPr>
        <w:spacing w:after="0" w:line="200" w:lineRule="exact"/>
        <w:rPr>
          <w:sz w:val="20"/>
          <w:szCs w:val="20"/>
          <w:color w:val="auto"/>
        </w:rPr>
      </w:pPr>
    </w:p>
    <w:p>
      <w:pPr>
        <w:spacing w:after="0" w:line="241"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Atlantic Park Strategic Capital Parallel Master</w:t>
      </w:r>
    </w:p>
    <w:p>
      <w:pPr>
        <w:spacing w:after="0" w:line="14"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Fund II, L.P.</w:t>
      </w:r>
    </w:p>
    <w:p>
      <w:pPr>
        <w:spacing w:after="0" w:line="19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Signature: /s/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17780</wp:posOffset>
            </wp:positionV>
            <wp:extent cx="20828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21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Name/Title:George Fan, Authorized Signatory of</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Atlantic Park UGP, LLC, the general</w:t>
      </w:r>
    </w:p>
    <w:p>
      <w:pPr>
        <w:ind w:left="5740"/>
        <w:spacing w:after="0"/>
        <w:rPr>
          <w:sz w:val="20"/>
          <w:szCs w:val="20"/>
          <w:color w:val="auto"/>
        </w:rPr>
      </w:pPr>
      <w:r>
        <w:rPr>
          <w:rFonts w:ascii="Arial" w:cs="Arial" w:eastAsia="Arial" w:hAnsi="Arial"/>
          <w:sz w:val="17"/>
          <w:szCs w:val="17"/>
          <w:color w:val="auto"/>
        </w:rPr>
        <w:t>partner of Atlantic Park Strategic Capital</w:t>
      </w:r>
    </w:p>
    <w:p>
      <w:pPr>
        <w:spacing w:after="0" w:line="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Fund II GP, L.P., its general partner</w:t>
      </w:r>
    </w:p>
    <w:p>
      <w:pPr>
        <w:spacing w:after="0" w:line="194" w:lineRule="exact"/>
        <w:rPr>
          <w:sz w:val="20"/>
          <w:szCs w:val="20"/>
          <w:color w:val="auto"/>
        </w:rPr>
      </w:pPr>
    </w:p>
    <w:p>
      <w:pPr>
        <w:ind w:left="4820"/>
        <w:spacing w:after="0"/>
        <w:tabs>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3/24/2026</w:t>
      </w:r>
    </w:p>
    <w:p>
      <w:pPr>
        <w:spacing w:after="0" w:line="200" w:lineRule="exact"/>
        <w:rPr>
          <w:sz w:val="20"/>
          <w:szCs w:val="20"/>
          <w:color w:val="auto"/>
        </w:rPr>
      </w:pPr>
    </w:p>
    <w:p>
      <w:pPr>
        <w:spacing w:after="0" w:line="241"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APSC II Holdco I, L.P.</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Signature: /s/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17780</wp:posOffset>
            </wp:positionV>
            <wp:extent cx="20828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21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Name/Title:George Fan, Authorized Signatory of</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Atlantic Park UGP, LLC, the general</w:t>
      </w:r>
    </w:p>
    <w:p>
      <w:pPr>
        <w:ind w:left="5740"/>
        <w:spacing w:after="0"/>
        <w:rPr>
          <w:sz w:val="20"/>
          <w:szCs w:val="20"/>
          <w:color w:val="auto"/>
        </w:rPr>
      </w:pPr>
      <w:r>
        <w:rPr>
          <w:rFonts w:ascii="Arial" w:cs="Arial" w:eastAsia="Arial" w:hAnsi="Arial"/>
          <w:sz w:val="17"/>
          <w:szCs w:val="17"/>
          <w:color w:val="auto"/>
        </w:rPr>
        <w:t>partner of Atlantic Park Strategic Capital</w:t>
      </w:r>
    </w:p>
    <w:p>
      <w:pPr>
        <w:spacing w:after="0" w:line="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Fund II GP, L.P., its general partner</w:t>
      </w:r>
    </w:p>
    <w:p>
      <w:pPr>
        <w:spacing w:after="0" w:line="194" w:lineRule="exact"/>
        <w:rPr>
          <w:sz w:val="20"/>
          <w:szCs w:val="20"/>
          <w:color w:val="auto"/>
        </w:rPr>
      </w:pPr>
    </w:p>
    <w:p>
      <w:pPr>
        <w:ind w:left="4820"/>
        <w:spacing w:after="0"/>
        <w:tabs>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3/24/2026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377825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82" w:right="1440" w:bottom="1440" w:gutter="0" w:footer="0" w:header="0"/>
        </w:sectPr>
      </w:pPr>
    </w:p>
    <w:bookmarkStart w:id="14" w:name="page15"/>
    <w:bookmarkEnd w:id="14"/>
    <w:p>
      <w:pPr>
        <w:ind w:left="4820"/>
        <w:spacing w:after="0"/>
        <w:rPr>
          <w:sz w:val="20"/>
          <w:szCs w:val="20"/>
          <w:color w:val="auto"/>
        </w:rPr>
      </w:pPr>
      <w:r>
        <w:rPr>
          <w:rFonts w:ascii="Arial" w:cs="Arial" w:eastAsia="Arial" w:hAnsi="Arial"/>
          <w:sz w:val="18"/>
          <w:szCs w:val="18"/>
          <w:b w:val="1"/>
          <w:bCs w:val="1"/>
          <w:color w:val="auto"/>
        </w:rPr>
        <w:t>APSC II Holdco II, L.P.</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Signature: /s/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17780</wp:posOffset>
            </wp:positionV>
            <wp:extent cx="20828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21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Name/Title:George Fan, Authorized Signatory of</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Atlantic Park UGP, LLC, the general</w:t>
      </w:r>
    </w:p>
    <w:p>
      <w:pPr>
        <w:ind w:left="5740"/>
        <w:spacing w:after="0"/>
        <w:rPr>
          <w:sz w:val="20"/>
          <w:szCs w:val="20"/>
          <w:color w:val="auto"/>
        </w:rPr>
      </w:pPr>
      <w:r>
        <w:rPr>
          <w:rFonts w:ascii="Arial" w:cs="Arial" w:eastAsia="Arial" w:hAnsi="Arial"/>
          <w:sz w:val="17"/>
          <w:szCs w:val="17"/>
          <w:color w:val="auto"/>
        </w:rPr>
        <w:t>partner of Atlantic Park Strategic Capital</w:t>
      </w:r>
    </w:p>
    <w:p>
      <w:pPr>
        <w:spacing w:after="0" w:line="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Fund II GP, L.P., its general partner</w:t>
      </w:r>
    </w:p>
    <w:p>
      <w:pPr>
        <w:spacing w:after="0" w:line="194" w:lineRule="exact"/>
        <w:rPr>
          <w:sz w:val="20"/>
          <w:szCs w:val="20"/>
          <w:color w:val="auto"/>
        </w:rPr>
      </w:pPr>
    </w:p>
    <w:p>
      <w:pPr>
        <w:ind w:left="4820"/>
        <w:spacing w:after="0"/>
        <w:tabs>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3/24/2026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1003300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8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2"/>
      <w:numFmt w:val="bullet"/>
      <w:start w:val="1"/>
    </w:lvl>
  </w:abstractNum>
  <w:abstractNum w:abstractNumId="1">
    <w:nsid w:val="7545E146"/>
    <w:multiLevelType w:val="hybridMultilevel"/>
    <w:lvl w:ilvl="0">
      <w:lvlJc w:val="left"/>
      <w:lvlText w:val="3"/>
      <w:numFmt w:val="bullet"/>
      <w:start w:val="1"/>
    </w:lvl>
  </w:abstractNum>
  <w:abstractNum w:abstractNumId="2">
    <w:nsid w:val="515F007C"/>
    <w:multiLevelType w:val="hybridMultilevel"/>
    <w:lvl w:ilvl="0">
      <w:lvlJc w:val="left"/>
      <w:lvlText w:val="%1"/>
      <w:numFmt w:val="decimal"/>
      <w:start w:val="12"/>
    </w:lvl>
  </w:abstractNum>
  <w:abstractNum w:abstractNumId="3">
    <w:nsid w:val="5BD062C2"/>
    <w:multiLevelType w:val="hybridMultilevel"/>
    <w:lvl w:ilvl="0">
      <w:lvlJc w:val="left"/>
      <w:lvlText w:val="2"/>
      <w:numFmt w:val="bullet"/>
      <w:start w:val="1"/>
    </w:lvl>
  </w:abstractNum>
  <w:abstractNum w:abstractNumId="4">
    <w:nsid w:val="12200854"/>
    <w:multiLevelType w:val="hybridMultilevel"/>
    <w:lvl w:ilvl="0">
      <w:lvlJc w:val="left"/>
      <w:lvlText w:val="2"/>
      <w:numFmt w:val="bullet"/>
      <w:start w:val="1"/>
    </w:lvl>
  </w:abstractNum>
  <w:abstractNum w:abstractNumId="5">
    <w:nsid w:val="4DB127F8"/>
    <w:multiLevelType w:val="hybridMultilevel"/>
    <w:lvl w:ilvl="0">
      <w:lvlJc w:val="left"/>
      <w:lvlText w:val="3"/>
      <w:numFmt w:val="bullet"/>
      <w:start w:val="1"/>
    </w:lvl>
  </w:abstractNum>
  <w:abstractNum w:abstractNumId="6">
    <w:nsid w:val="216231B"/>
    <w:multiLevelType w:val="hybridMultilevel"/>
    <w:lvl w:ilvl="0">
      <w:lvlJc w:val="left"/>
      <w:lvlText w:val="9"/>
      <w:numFmt w:val="bullet"/>
      <w:start w:val="1"/>
    </w:lvl>
  </w:abstractNum>
  <w:abstractNum w:abstractNumId="7">
    <w:nsid w:val="1F16E9E8"/>
    <w:multiLevelType w:val="hybridMultilevel"/>
    <w:lvl w:ilvl="0">
      <w:lvlJc w:val="left"/>
      <w:lvlText w:val="1"/>
      <w:numFmt w:val="bullet"/>
      <w:start w:val="1"/>
    </w:lvl>
  </w:abstractNum>
  <w:abstractNum w:abstractNumId="8">
    <w:nsid w:val="1190CDE7"/>
    <w:multiLevelType w:val="hybridMultilevel"/>
    <w:lvl w:ilvl="0">
      <w:lvlJc w:val="left"/>
      <w:lvlText w:val="2"/>
      <w:numFmt w:val="bullet"/>
      <w:start w:val="1"/>
    </w:lvl>
  </w:abstractNum>
  <w:abstractNum w:abstractNumId="9">
    <w:nsid w:val="66EF438D"/>
    <w:multiLevelType w:val="hybridMultilevel"/>
    <w:lvl w:ilvl="0">
      <w:lvlJc w:val="left"/>
      <w:lvlText w:val="3"/>
      <w:numFmt w:val="bullet"/>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1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2026-03-24T17:14:07Z</dcterms:created>
  <dcterms:modified xsi:type="dcterms:W3CDTF">2026-03-24T17:14:07Z</dcterms:modified>
</cp:coreProperties>
</file>