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Date of Report (Date of earliest event reported): March 15, 2023</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NEXTDECADE CORPORATION</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657" w:right="33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001-36842</w:t>
      </w:r>
    </w:p>
    <w:p>
      <w:pPr>
        <w:spacing w:after="0" w:line="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46-5723951</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657" w:right="339" w:bottom="1440" w:gutter="0" w:footer="0" w:header="0"/>
          <w:type w:val="continuous"/>
        </w:sectPr>
      </w:pP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1000 Louisiana Street, Suite 3900, Houston, Texas 77002</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(713) 574-1880</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160" w:right="2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78" w:lineRule="exact"/>
        <w:rPr>
          <w:sz w:val="24"/>
          <w:szCs w:val="24"/>
          <w:color w:val="auto"/>
        </w:rPr>
      </w:pPr>
    </w:p>
    <w:p>
      <w:pPr>
        <w:ind w:left="1660" w:hanging="829"/>
        <w:spacing w:after="0"/>
        <w:tabs>
          <w:tab w:leader="none" w:pos="1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660" w:hanging="829"/>
        <w:spacing w:after="0"/>
        <w:tabs>
          <w:tab w:leader="none" w:pos="1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660" w:hanging="829"/>
        <w:spacing w:after="0"/>
        <w:tabs>
          <w:tab w:leader="none" w:pos="1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660" w:hanging="829"/>
        <w:spacing w:after="0"/>
        <w:tabs>
          <w:tab w:leader="none" w:pos="1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9"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0"/>
                <w:szCs w:val="20"/>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NEXT</w:t>
            </w:r>
          </w:p>
        </w:tc>
        <w:tc>
          <w:tcPr>
            <w:tcW w:w="2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lef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2023, Rio Grande LNG, LLC (“</w:t>
      </w:r>
      <w:r>
        <w:rPr>
          <w:rFonts w:ascii="Times New Roman" w:cs="Times New Roman" w:eastAsia="Times New Roman" w:hAnsi="Times New Roman"/>
          <w:sz w:val="18"/>
          <w:szCs w:val="18"/>
          <w:u w:val="single" w:color="auto"/>
          <w:color w:val="auto"/>
        </w:rPr>
        <w:t>RGLNG</w:t>
      </w:r>
      <w:r>
        <w:rPr>
          <w:rFonts w:ascii="Times New Roman" w:cs="Times New Roman" w:eastAsia="Times New Roman" w:hAnsi="Times New Roman"/>
          <w:sz w:val="18"/>
          <w:szCs w:val="18"/>
          <w:color w:val="auto"/>
        </w:rPr>
        <w:t>”), a wholly owned subsidiary of NextDecade Corporation (“</w:t>
      </w:r>
      <w:r>
        <w:rPr>
          <w:rFonts w:ascii="Times New Roman" w:cs="Times New Roman" w:eastAsia="Times New Roman" w:hAnsi="Times New Roman"/>
          <w:sz w:val="18"/>
          <w:szCs w:val="18"/>
          <w:u w:val="single" w:color="auto"/>
          <w:color w:val="auto"/>
        </w:rPr>
        <w:t>NextDecade</w:t>
      </w:r>
      <w:r>
        <w:rPr>
          <w:rFonts w:ascii="Times New Roman" w:cs="Times New Roman" w:eastAsia="Times New Roman" w:hAnsi="Times New Roman"/>
          <w:sz w:val="18"/>
          <w:szCs w:val="18"/>
          <w:color w:val="auto"/>
        </w:rPr>
        <w:t>”), amended its EPC agreements with Bechtel Energy Inc. for the construction of the first three trains (“</w:t>
      </w:r>
      <w:r>
        <w:rPr>
          <w:rFonts w:ascii="Times New Roman" w:cs="Times New Roman" w:eastAsia="Times New Roman" w:hAnsi="Times New Roman"/>
          <w:sz w:val="18"/>
          <w:szCs w:val="18"/>
          <w:u w:val="single" w:color="auto"/>
          <w:color w:val="auto"/>
        </w:rPr>
        <w:t>Trains 1-3</w:t>
      </w:r>
      <w:r>
        <w:rPr>
          <w:rFonts w:ascii="Times New Roman" w:cs="Times New Roman" w:eastAsia="Times New Roman" w:hAnsi="Times New Roman"/>
          <w:sz w:val="18"/>
          <w:szCs w:val="18"/>
          <w:color w:val="auto"/>
        </w:rPr>
        <w:t>”) of the Rio Grande LNG export facility at the Port of Brownsville, Texas (the “</w:t>
      </w:r>
      <w:r>
        <w:rPr>
          <w:rFonts w:ascii="Times New Roman" w:cs="Times New Roman" w:eastAsia="Times New Roman" w:hAnsi="Times New Roman"/>
          <w:sz w:val="18"/>
          <w:szCs w:val="18"/>
          <w:u w:val="single" w:color="auto"/>
          <w:color w:val="auto"/>
        </w:rPr>
        <w:t>Rio Grande Facility</w:t>
      </w:r>
      <w:r>
        <w:rPr>
          <w:rFonts w:ascii="Times New Roman" w:cs="Times New Roman" w:eastAsia="Times New Roman" w:hAnsi="Times New Roman"/>
          <w:sz w:val="18"/>
          <w:szCs w:val="18"/>
          <w:color w:val="auto"/>
        </w:rPr>
        <w:t>”) to extend the price validity under such agreements to June 15, 2023. As disclosed in NextDecade's Annual Report on Form 10-K for the year ended December 31, 2022 filed with the Securities and Exchange Commission on March 10, 2023, NextDecade currently estimates the aggregate lump-sum EPC cost to construct Trains 1-3 of the Rio Grande Facility at approximately $11.5 billion. The final EPC lump-sum contract pricing for Trains 1-3 of the Rio Grande Facility will be determined prior to a final investment decision (“</w:t>
      </w:r>
      <w:r>
        <w:rPr>
          <w:rFonts w:ascii="Times New Roman" w:cs="Times New Roman" w:eastAsia="Times New Roman" w:hAnsi="Times New Roman"/>
          <w:sz w:val="18"/>
          <w:szCs w:val="18"/>
          <w:u w:val="single" w:color="auto"/>
          <w:color w:val="auto"/>
        </w:rPr>
        <w:t>FID</w:t>
      </w:r>
      <w:r>
        <w:rPr>
          <w:rFonts w:ascii="Times New Roman" w:cs="Times New Roman" w:eastAsia="Times New Roman" w:hAnsi="Times New Roman"/>
          <w:sz w:val="18"/>
          <w:szCs w:val="18"/>
          <w:color w:val="auto"/>
        </w:rPr>
        <w:t>”) on Trains 1-3 of the Rio Grande Facility and is subject to change, including if RGLNG does not issue a full notice to proceed to Bechtel on or before June 15, 2023, unless extended by mutual agreement of the parties thereto.</w:t>
      </w:r>
    </w:p>
    <w:p>
      <w:pPr>
        <w:spacing w:after="0" w:line="192" w:lineRule="exact"/>
        <w:rPr>
          <w:sz w:val="20"/>
          <w:szCs w:val="20"/>
          <w:color w:val="auto"/>
        </w:rPr>
      </w:pPr>
    </w:p>
    <w:p>
      <w:pPr>
        <w:ind w:left="160" w:right="100" w:firstLine="486"/>
        <w:spacing w:after="0" w:line="282" w:lineRule="auto"/>
        <w:rPr>
          <w:sz w:val="20"/>
          <w:szCs w:val="20"/>
          <w:color w:val="auto"/>
        </w:rPr>
      </w:pPr>
      <w:r>
        <w:rPr>
          <w:rFonts w:ascii="Times New Roman" w:cs="Times New Roman" w:eastAsia="Times New Roman" w:hAnsi="Times New Roman"/>
          <w:sz w:val="18"/>
          <w:szCs w:val="18"/>
          <w:color w:val="auto"/>
        </w:rPr>
        <w:t>NextDecade is currently targeting a positive FID on Trains 1-3 of the Rio Grande Facility before the end of the second quarter of 2023, with FIDs of the remaining trains to follow thereafter.</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U.S. federal securities laws. Statements that do not relate strictly to historical or current facts are forward-looking. These statements have been based on assumptions and analysis made by NextDecade in light of current expectations, perceptions of historical trends, current conditions and projections about future events and trends and involve a number of known and unknown risks, which may cause actual results to differ materially from expectations expressed or implied in the forward-looking statements. An extensive list of factors that can affect future results are discussed in NextDecade's most recent Annual Report on Form 10-K and other documents filed from time to time with the Securities and Exchange Commission. Additionally, any development of the Rio Grande Facility remains contingent upon completing required commercial agreements, securing all financing commitments and potential tax incentives, achieving other customary conditions and making a final investment decision to proceed. The forward-looking statements in this Current Report on Form 8-K speak as of the date hereof. Although NextDecade believes that the expectations reflected in these forward-looking statements are reasonable, it can give no assurance that the expectations will prove to be correct. NextDecade may from time to time voluntarily update its prior forward-looking statements, however, it disclaims any commitment to do so except as required by securities laws.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information furnished in Item 7.01 of this Current Report on Form 8-K is being furnished pursuant to Item 7.01 of Form 8-K and, according to general instruction B.2. thereunder, the information in this Item 7.01 of this Current Report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The information in this Item 7.01 of this Current Report shall not be incorporated by reference into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2023</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25" w:lineRule="exact"/>
        <w:rPr>
          <w:sz w:val="20"/>
          <w:szCs w:val="20"/>
          <w:color w:val="auto"/>
        </w:rPr>
      </w:pPr>
    </w:p>
    <w:tbl>
      <w:tblPr>
        <w:tblLayout w:type="fixed"/>
        <w:tblInd w:w="36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Vera de Gyarfas</w:t>
            </w:r>
          </w:p>
        </w:tc>
      </w:tr>
      <w:tr>
        <w:trPr>
          <w:trHeight w:val="191"/>
        </w:trPr>
        <w:tc>
          <w:tcPr>
            <w:tcW w:w="840" w:type="dxa"/>
            <w:vAlign w:val="bottom"/>
          </w:tcPr>
          <w:p>
            <w:pPr>
              <w:spacing w:after="0"/>
              <w:rPr>
                <w:sz w:val="16"/>
                <w:szCs w:val="16"/>
                <w:color w:val="auto"/>
              </w:rPr>
            </w:pPr>
          </w:p>
        </w:tc>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Vera de Gyarfas</w:t>
            </w:r>
          </w:p>
        </w:tc>
      </w:tr>
      <w:tr>
        <w:trPr>
          <w:trHeight w:val="216"/>
        </w:trPr>
        <w:tc>
          <w:tcPr>
            <w:tcW w:w="8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w:t>
            </w:r>
          </w:p>
        </w:tc>
      </w:tr>
      <w:tr>
        <w:trPr>
          <w:trHeight w:val="234"/>
        </w:trPr>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80"/>
      </w:cols>
      <w:pgMar w:left="48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2023-03-16T07:41:17Z</dcterms:created>
  <dcterms:modified xsi:type="dcterms:W3CDTF">2023-03-16T07:41:17Z</dcterms:modified>
</cp:coreProperties>
</file>