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FORM 10-Q</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60" w:after="120"/>
        <w:jc w:val="center"/>
        <w:rPr/>
      </w:pPr>
      <w:r>
        <w:rPr>
          <w:rFonts w:ascii="Wingdings;sans-serif" w:hAnsi="Wingdings;sans-serif"/>
          <w:b/>
          <w:color w:val="000000"/>
          <w:sz w:val="18"/>
        </w:rPr>
        <w:t>x</w:t>
      </w: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60" w:after="120"/>
        <w:jc w:val="center"/>
        <w:rPr/>
      </w:pPr>
      <w:r>
        <w:rPr>
          <w:rFonts w:ascii="Wingdings;sans-serif" w:hAnsi="Wingdings;sans-serif"/>
          <w:b/>
          <w:color w:val="000000"/>
          <w:sz w:val="18"/>
        </w:rPr>
        <w:t>o</w:t>
      </w: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60" w:after="120"/>
        <w:jc w:val="center"/>
        <w:rPr/>
      </w:pPr>
      <w:r>
        <w:rPr>
          <w:rFonts w:ascii="Times New Roman;serif" w:hAnsi="Times New Roman;serif"/>
          <w:b/>
          <w:color w:val="000000"/>
          <w:sz w:val="18"/>
        </w:rPr>
        <w:t xml:space="preserve">Commission File No. </w:t>
      </w:r>
      <w:r>
        <w:rPr>
          <w:rFonts w:ascii="Times New Roman;serif" w:hAnsi="Times New Roman;serif"/>
          <w:b/>
          <w:color w:val="000000"/>
          <w:sz w:val="18"/>
          <w:u w:val="single"/>
        </w:rPr>
        <w:t>001-36842</w:t>
      </w:r>
    </w:p>
    <w:p>
      <w:pPr>
        <w:pStyle w:val="TextBody"/>
        <w:bidi w:val="0"/>
        <w:spacing w:before="120" w:after="120"/>
        <w:jc w:val="center"/>
        <w:rPr/>
      </w:pPr>
      <w:r>
        <w:rPr/>
        <w:drawing>
          <wp:inline distT="0" distB="0" distL="0" distR="0">
            <wp:extent cx="5429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552450"/>
                    </a:xfrm>
                    <a:prstGeom prst="rect">
                      <a:avLst/>
                    </a:prstGeom>
                  </pic:spPr>
                </pic:pic>
              </a:graphicData>
            </a:graphic>
          </wp:inline>
        </w:drawing>
      </w:r>
      <w:bookmarkStart w:id="0" w:name="i-1"/>
      <w:bookmarkEnd w:id="0"/>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5" w:type="dxa"/>
        <w:jc w:val="left"/>
        <w:tblInd w:w="0" w:type="dxa"/>
        <w:tblLayout w:type="fixed"/>
        <w:tblCellMar>
          <w:top w:w="28" w:type="dxa"/>
          <w:left w:w="28" w:type="dxa"/>
          <w:bottom w:w="28" w:type="dxa"/>
          <w:right w:w="28" w:type="dxa"/>
        </w:tblCellMar>
      </w:tblPr>
      <w:tblGrid>
        <w:gridCol w:w="807"/>
        <w:gridCol w:w="710"/>
        <w:gridCol w:w="717"/>
        <w:gridCol w:w="109"/>
        <w:gridCol w:w="109"/>
        <w:gridCol w:w="109"/>
        <w:gridCol w:w="425"/>
        <w:gridCol w:w="425"/>
        <w:gridCol w:w="604"/>
      </w:tblGrid>
      <w:tr>
        <w:trPr/>
        <w:tc>
          <w:tcPr>
            <w:tcW w:w="8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46-5723951</w:t>
            </w:r>
          </w:p>
        </w:tc>
      </w:tr>
      <w:tr>
        <w:trPr/>
        <w:tc>
          <w:tcPr>
            <w:tcW w:w="22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1000 Louisiana Street, Suite 3300, Houston, Texas 77002</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(713) 574-1880</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152"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454"/>
        <w:gridCol w:w="454"/>
        <w:gridCol w:w="456"/>
        <w:gridCol w:w="109"/>
        <w:gridCol w:w="109"/>
        <w:gridCol w:w="109"/>
        <w:gridCol w:w="1037"/>
        <w:gridCol w:w="1037"/>
        <w:gridCol w:w="146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ind w:left="0" w:right="0" w:hanging="144"/>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5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1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As of April 24, 2026, the issuer had 264,992,987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FORM 10-Q FOR THE QUARTER ENDED MARCH 31, 2026</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7561" w:type="dxa"/>
        <w:jc w:val="left"/>
        <w:tblInd w:w="0" w:type="dxa"/>
        <w:tblLayout w:type="fixed"/>
        <w:tblCellMar>
          <w:top w:w="28" w:type="dxa"/>
          <w:left w:w="28" w:type="dxa"/>
          <w:bottom w:w="28" w:type="dxa"/>
          <w:right w:w="28" w:type="dxa"/>
        </w:tblCellMar>
      </w:tblPr>
      <w:tblGrid>
        <w:gridCol w:w="2555"/>
        <w:gridCol w:w="2242"/>
        <w:gridCol w:w="2253"/>
        <w:gridCol w:w="149"/>
        <w:gridCol w:w="149"/>
        <w:gridCol w:w="213"/>
      </w:tblGrid>
      <w:tr>
        <w:trPr/>
        <w:tc>
          <w:tcPr>
            <w:tcW w:w="2555"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7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10">
              <w:r>
                <w:rPr>
                  <w:rStyle w:val="InternetLink"/>
                  <w:rFonts w:ascii="Times New Roman;serif" w:hAnsi="Times New Roman;serif"/>
                  <w:b w:val="false"/>
                  <w:color w:val="0000FF"/>
                  <w:sz w:val="18"/>
                  <w:u w:val="single"/>
                </w:rPr>
                <w:t>Organizational Structure</w:t>
              </w:r>
            </w:hyperlink>
          </w:p>
        </w:tc>
        <w:tc>
          <w:tcPr>
            <w:tcW w:w="5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13">
              <w:r>
                <w:rPr>
                  <w:rStyle w:val="InternetLink"/>
                  <w:rFonts w:ascii="Times New Roman;serif" w:hAnsi="Times New Roman;serif"/>
                  <w:b w:val="false"/>
                  <w:color w:val="0000FF"/>
                  <w:sz w:val="18"/>
                  <w:u w:val="single"/>
                </w:rPr>
                <w:t>Part I. 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13">
              <w:r>
                <w:rPr>
                  <w:rStyle w:val="InternetLink"/>
                  <w:rFonts w:ascii="Times New Roman;serif" w:hAnsi="Times New Roman;serif"/>
                  <w:b w:val="false"/>
                  <w:color w:val="0000FF"/>
                  <w:sz w:val="18"/>
                  <w:u w:val="single"/>
                </w:rPr>
                <w:t>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16">
              <w:r>
                <w:rPr>
                  <w:rStyle w:val="InternetLink"/>
                  <w:rFonts w:ascii="Times New Roman;serif" w:hAnsi="Times New Roman;serif"/>
                  <w:b w:val="false"/>
                  <w:color w:val="000080"/>
                  <w:sz w:val="18"/>
                  <w:u w:val="single"/>
                </w:rPr>
                <w:t xml:space="preserve">Item 1. </w:t>
              </w:r>
            </w:hyperlink>
            <w:hyperlink w:anchor="icddd55afc56d4261ba37b26d2a4185bf_16">
              <w:r>
                <w:rPr>
                  <w:rStyle w:val="InternetLink"/>
                  <w:rFonts w:ascii="Times New Roman;serif" w:hAnsi="Times New Roman;serif"/>
                  <w:b w:val="false"/>
                  <w:color w:val="000080"/>
                  <w:sz w:val="18"/>
                  <w:u w:val="single"/>
                </w:rPr>
                <w:t>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16">
              <w:r>
                <w:rPr>
                  <w:rStyle w:val="InternetLink"/>
                  <w:rFonts w:ascii="Times New Roman;serif" w:hAnsi="Times New Roman;serif"/>
                  <w:b w:val="false"/>
                  <w:color w:val="0000FF"/>
                  <w:sz w:val="18"/>
                  <w:u w:val="single"/>
                </w:rPr>
                <w:t>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19">
              <w:r>
                <w:rPr>
                  <w:rStyle w:val="InternetLink"/>
                  <w:rFonts w:ascii="Times New Roman;serif" w:hAnsi="Times New Roman;serif"/>
                  <w:b w:val="false"/>
                  <w:color w:val="0000FF"/>
                  <w:sz w:val="18"/>
                  <w:u w:val="single"/>
                </w:rPr>
                <w:t>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19">
              <w:r>
                <w:rPr>
                  <w:rStyle w:val="InternetLink"/>
                  <w:rFonts w:ascii="Times New Roman;serif" w:hAnsi="Times New Roman;serif"/>
                  <w:b w:val="false"/>
                  <w:color w:val="0000FF"/>
                  <w:sz w:val="18"/>
                  <w:u w:val="single"/>
                </w:rPr>
                <w:t>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22">
              <w:r>
                <w:rPr>
                  <w:rStyle w:val="InternetLink"/>
                  <w:rFonts w:ascii="Times New Roman;serif" w:hAnsi="Times New Roman;serif"/>
                  <w:b w:val="false"/>
                  <w:color w:val="0000FF"/>
                  <w:sz w:val="18"/>
                  <w:u w:val="single"/>
                </w:rPr>
                <w:t>Consolidated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22">
              <w:r>
                <w:rPr>
                  <w:rStyle w:val="InternetLink"/>
                  <w:rFonts w:ascii="Times New Roman;serif" w:hAnsi="Times New Roman;serif"/>
                  <w:b w:val="false"/>
                  <w:color w:val="0000FF"/>
                  <w:sz w:val="18"/>
                  <w:u w:val="single"/>
                </w:rPr>
                <w:t>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25">
              <w:r>
                <w:rPr>
                  <w:rStyle w:val="InternetLink"/>
                  <w:rFonts w:ascii="Times New Roman;serif" w:hAnsi="Times New Roman;serif"/>
                  <w:b w:val="false"/>
                  <w:color w:val="000080"/>
                  <w:sz w:val="18"/>
                  <w:u w:val="single"/>
                </w:rPr>
                <w:t xml:space="preserve">Consolidated Statements of </w:t>
              </w:r>
            </w:hyperlink>
            <w:hyperlink w:anchor="icddd55afc56d4261ba37b26d2a4185bf_25">
              <w:r>
                <w:rPr>
                  <w:rStyle w:val="InternetLink"/>
                  <w:rFonts w:ascii="Times New Roman;serif" w:hAnsi="Times New Roman;serif"/>
                  <w:b w:val="false"/>
                  <w:color w:val="000080"/>
                  <w:sz w:val="18"/>
                  <w:u w:val="single"/>
                </w:rPr>
                <w:t>Changes in Equity</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25">
              <w:r>
                <w:rPr>
                  <w:rStyle w:val="InternetLink"/>
                  <w:rFonts w:ascii="Times New Roman;serif" w:hAnsi="Times New Roman;serif"/>
                  <w:b w:val="false"/>
                  <w:color w:val="0000FF"/>
                  <w:sz w:val="18"/>
                  <w:u w:val="single"/>
                </w:rPr>
                <w:t>4</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28">
              <w:r>
                <w:rPr>
                  <w:rStyle w:val="InternetLink"/>
                  <w:rFonts w:ascii="Times New Roman;serif" w:hAnsi="Times New Roman;serif"/>
                  <w:b w:val="false"/>
                  <w:color w:val="0000FF"/>
                  <w:sz w:val="18"/>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28">
              <w:r>
                <w:rPr>
                  <w:rStyle w:val="InternetLink"/>
                  <w:rFonts w:ascii="Times New Roman;serif" w:hAnsi="Times New Roman;serif"/>
                  <w:b w:val="false"/>
                  <w:color w:val="0000FF"/>
                  <w:sz w:val="18"/>
                  <w:u w:val="single"/>
                </w:rPr>
                <w:t>5</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31">
              <w:r>
                <w:rPr>
                  <w:rStyle w:val="InternetLink"/>
                  <w:rFonts w:ascii="Times New Roman;serif" w:hAnsi="Times New Roman;serif"/>
                  <w:b w:val="false"/>
                  <w:color w:val="0000FF"/>
                  <w:sz w:val="18"/>
                  <w:u w:val="single"/>
                </w:rPr>
                <w:t>Notes to Consolidated Financial Statements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31">
              <w:r>
                <w:rPr>
                  <w:rStyle w:val="InternetLink"/>
                  <w:rFonts w:ascii="Times New Roman;serif" w:hAnsi="Times New Roman;serif"/>
                  <w:b w:val="false"/>
                  <w:color w:val="0000FF"/>
                  <w:sz w:val="18"/>
                  <w:u w:val="single"/>
                </w:rPr>
                <w:t>6</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70">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70">
              <w:r>
                <w:rPr>
                  <w:rStyle w:val="InternetLink"/>
                  <w:rFonts w:ascii="Times New Roman;serif" w:hAnsi="Times New Roman;serif"/>
                  <w:b w:val="false"/>
                  <w:color w:val="0000FF"/>
                  <w:sz w:val="18"/>
                  <w:u w:val="single"/>
                </w:rPr>
                <w:t>14</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88">
              <w:r>
                <w:rPr>
                  <w:rStyle w:val="InternetLink"/>
                  <w:rFonts w:ascii="Times New Roman;serif" w:hAnsi="Times New Roman;serif"/>
                  <w:b w:val="false"/>
                  <w:color w:val="0000FF"/>
                  <w:sz w:val="18"/>
                  <w:u w:val="single"/>
                </w:rPr>
                <w:t>Item 3. Quantitative and Qualitative Disclosures About Market Risk</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88">
              <w:r>
                <w:rPr>
                  <w:rStyle w:val="InternetLink"/>
                  <w:rFonts w:ascii="Times New Roman;serif" w:hAnsi="Times New Roman;serif"/>
                  <w:b w:val="false"/>
                  <w:color w:val="0000FF"/>
                  <w:sz w:val="18"/>
                  <w:u w:val="single"/>
                </w:rPr>
                <w:t>20</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91">
              <w:r>
                <w:rPr>
                  <w:rStyle w:val="InternetLink"/>
                  <w:rFonts w:ascii="Times New Roman;serif" w:hAnsi="Times New Roman;serif"/>
                  <w:b w:val="false"/>
                  <w:color w:val="0000FF"/>
                  <w:sz w:val="18"/>
                  <w:u w:val="single"/>
                </w:rPr>
                <w:t>Item 4. 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91">
              <w:r>
                <w:rPr>
                  <w:rStyle w:val="InternetLink"/>
                  <w:rFonts w:ascii="Times New Roman;serif" w:hAnsi="Times New Roman;serif"/>
                  <w:b w:val="false"/>
                  <w:color w:val="0000FF"/>
                  <w:sz w:val="18"/>
                  <w:u w:val="single"/>
                </w:rPr>
                <w:t>20</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94">
              <w:r>
                <w:rPr>
                  <w:rStyle w:val="InternetLink"/>
                  <w:rFonts w:ascii="Times New Roman;serif" w:hAnsi="Times New Roman;serif"/>
                  <w:b w:val="false"/>
                  <w:color w:val="0000FF"/>
                  <w:sz w:val="18"/>
                  <w:u w:val="single"/>
                </w:rPr>
                <w:t>Part II.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94">
              <w:r>
                <w:rPr>
                  <w:rStyle w:val="InternetLink"/>
                  <w:rFonts w:ascii="Times New Roman;serif" w:hAnsi="Times New Roman;serif"/>
                  <w:b w:val="false"/>
                  <w:color w:val="0000FF"/>
                  <w:sz w:val="18"/>
                  <w:u w:val="single"/>
                </w:rPr>
                <w:t>21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97">
              <w:r>
                <w:rPr>
                  <w:rStyle w:val="InternetLink"/>
                  <w:rFonts w:ascii="Times New Roman;serif" w:hAnsi="Times New Roman;serif"/>
                  <w:b w:val="false"/>
                  <w:color w:val="0000FF"/>
                  <w:sz w:val="18"/>
                  <w:u w:val="single"/>
                </w:rPr>
                <w:t>Item 1. 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97">
              <w:r>
                <w:rPr>
                  <w:rStyle w:val="InternetLink"/>
                  <w:rFonts w:ascii="Times New Roman;serif" w:hAnsi="Times New Roman;serif"/>
                  <w:b w:val="false"/>
                  <w:color w:val="0000FF"/>
                  <w:sz w:val="18"/>
                  <w:u w:val="single"/>
                </w:rPr>
                <w:t>21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100">
              <w:r>
                <w:rPr>
                  <w:rStyle w:val="InternetLink"/>
                  <w:rFonts w:ascii="Times New Roman;serif" w:hAnsi="Times New Roman;serif"/>
                  <w:b w:val="false"/>
                  <w:color w:val="0000FF"/>
                  <w:sz w:val="18"/>
                  <w:u w:val="single"/>
                </w:rPr>
                <w:t>Item 1A. 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100">
              <w:r>
                <w:rPr>
                  <w:rStyle w:val="InternetLink"/>
                  <w:rFonts w:ascii="Times New Roman;serif" w:hAnsi="Times New Roman;serif"/>
                  <w:b w:val="false"/>
                  <w:color w:val="0000FF"/>
                  <w:sz w:val="18"/>
                  <w:u w:val="single"/>
                </w:rPr>
                <w:t>21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103">
              <w:r>
                <w:rPr>
                  <w:rStyle w:val="InternetLink"/>
                  <w:rFonts w:ascii="Times New Roman;serif" w:hAnsi="Times New Roman;serif"/>
                  <w:b w:val="false"/>
                  <w:color w:val="0000FF"/>
                  <w:sz w:val="18"/>
                  <w:u w:val="single"/>
                </w:rPr>
                <w:t>Item 2. 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103">
              <w:r>
                <w:rPr>
                  <w:rStyle w:val="InternetLink"/>
                  <w:rFonts w:ascii="Times New Roman;serif" w:hAnsi="Times New Roman;serif"/>
                  <w:b w:val="false"/>
                  <w:color w:val="0000FF"/>
                  <w:sz w:val="18"/>
                  <w:u w:val="single"/>
                </w:rPr>
                <w:t>21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106">
              <w:r>
                <w:rPr>
                  <w:rStyle w:val="InternetLink"/>
                  <w:rFonts w:ascii="Times New Roman;serif" w:hAnsi="Times New Roman;serif"/>
                  <w:b w:val="false"/>
                  <w:color w:val="0000FF"/>
                  <w:sz w:val="18"/>
                  <w:u w:val="single"/>
                </w:rPr>
                <w:t>Item 3. 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106">
              <w:r>
                <w:rPr>
                  <w:rStyle w:val="InternetLink"/>
                  <w:rFonts w:ascii="Times New Roman;serif" w:hAnsi="Times New Roman;serif"/>
                  <w:b w:val="false"/>
                  <w:color w:val="0000FF"/>
                  <w:sz w:val="18"/>
                  <w:u w:val="single"/>
                </w:rPr>
                <w:t>21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109">
              <w:r>
                <w:rPr>
                  <w:rStyle w:val="InternetLink"/>
                  <w:rFonts w:ascii="Times New Roman;serif" w:hAnsi="Times New Roman;serif"/>
                  <w:b w:val="false"/>
                  <w:color w:val="0000FF"/>
                  <w:sz w:val="18"/>
                  <w:u w:val="single"/>
                </w:rPr>
                <w:t>Item 4. 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109">
              <w:r>
                <w:rPr>
                  <w:rStyle w:val="InternetLink"/>
                  <w:rFonts w:ascii="Times New Roman;serif" w:hAnsi="Times New Roman;serif"/>
                  <w:b w:val="false"/>
                  <w:color w:val="0000FF"/>
                  <w:sz w:val="18"/>
                  <w:u w:val="single"/>
                </w:rPr>
                <w:t>21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112">
              <w:r>
                <w:rPr>
                  <w:rStyle w:val="InternetLink"/>
                  <w:rFonts w:ascii="Times New Roman;serif" w:hAnsi="Times New Roman;serif"/>
                  <w:b w:val="false"/>
                  <w:color w:val="0000FF"/>
                  <w:sz w:val="18"/>
                  <w:u w:val="single"/>
                </w:rPr>
                <w:t>Item 5.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112">
              <w:r>
                <w:rPr>
                  <w:rStyle w:val="InternetLink"/>
                  <w:rFonts w:ascii="Times New Roman;serif" w:hAnsi="Times New Roman;serif"/>
                  <w:b w:val="false"/>
                  <w:color w:val="0000FF"/>
                  <w:sz w:val="18"/>
                  <w:u w:val="single"/>
                </w:rPr>
                <w:t>21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115">
              <w:r>
                <w:rPr>
                  <w:rStyle w:val="InternetLink"/>
                  <w:rFonts w:ascii="Times New Roman;serif" w:hAnsi="Times New Roman;serif"/>
                  <w:b w:val="false"/>
                  <w:color w:val="0000FF"/>
                  <w:sz w:val="18"/>
                  <w:u w:val="single"/>
                </w:rPr>
                <w:t>Item 6. 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115">
              <w:r>
                <w:rPr>
                  <w:rStyle w:val="InternetLink"/>
                  <w:rFonts w:ascii="Times New Roman;serif" w:hAnsi="Times New Roman;serif"/>
                  <w:b w:val="false"/>
                  <w:color w:val="0000FF"/>
                  <w:sz w:val="18"/>
                  <w:u w:val="single"/>
                </w:rPr>
                <w:t>21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ddd55afc56d4261ba37b26d2a4185bf_118">
              <w:r>
                <w:rPr>
                  <w:rStyle w:val="InternetLink"/>
                  <w:rFonts w:ascii="Times New Roman;serif" w:hAnsi="Times New Roman;serif"/>
                  <w:b w:val="false"/>
                  <w:color w:val="0000FF"/>
                  <w:sz w:val="18"/>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ddd55afc56d4261ba37b26d2a4185bf_118">
              <w:r>
                <w:rPr>
                  <w:rStyle w:val="InternetLink"/>
                  <w:rFonts w:ascii="Times New Roman;serif" w:hAnsi="Times New Roman;serif"/>
                  <w:b w:val="false"/>
                  <w:color w:val="0000FF"/>
                  <w:sz w:val="18"/>
                  <w:u w:val="single"/>
                </w:rPr>
                <w:t>23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Organizational Structure</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diagram depicts our abbreviated organizational structure as of March 31, 2026, with references to the names of certain entities discussed in this Quarterly Report on Form 10-Q. Entities displayed in the structure below, other than the Joint Ventures (defined below), are wholly owned by their parent.</w:t>
      </w:r>
    </w:p>
    <w:p>
      <w:pPr>
        <w:pStyle w:val="TextBody"/>
        <w:bidi w:val="0"/>
        <w:spacing w:before="120" w:after="283"/>
        <w:ind w:left="0" w:right="0" w:hanging="180"/>
        <w:jc w:val="center"/>
        <w:rPr/>
      </w:pPr>
      <w:r>
        <w:rPr/>
        <w:drawing>
          <wp:inline distT="0" distB="0" distL="0" distR="0">
            <wp:extent cx="5667375" cy="69818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5667375" cy="6981825"/>
                    </a:xfrm>
                    <a:prstGeom prst="rect">
                      <a:avLst/>
                    </a:prstGeom>
                  </pic:spPr>
                </pic:pic>
              </a:graphicData>
            </a:graphic>
          </wp:inline>
        </w:drawing>
      </w:r>
      <w:bookmarkStart w:id="1" w:name="i-2"/>
      <w:bookmarkEnd w:id="1"/>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Unless the context requires otherwise, references to (i) “NextDecade,” the “Company,” “we,” “us” and “our” refer to NextDecade Corporation (NASDAQ: NEXT) and its consolidated subsidiaries, including Phase 1 LLC, Train 4 LLC and Train 5 LLC, (ii) references to the “Rio Grande Project Entities” refer to one or more of Phase 1 LLC, Train 4 LLC and Train 5 LLC, (iii) references to the “Joint Venture(s)” refers to one or more of Phase 1 Holdings, Train 4 Holdings, and Train 5 Holdings, (iv) references to the “NextDecade Group” refer to NextDecade Corporation and its consolidated subsidiaries other than the Joint Ventures and the Rio Grande Project Entities and (v) references to the “ND Finance Subsidiaries” refer collectively to Super Holdings, Super FinCo, and FinCo.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0"/>
        <w:jc w:val="center"/>
        <w:rPr/>
      </w:pPr>
      <w:r>
        <w:rPr>
          <w:rFonts w:ascii="Times New Roman;serif" w:hAnsi="Times New Roman;serif"/>
          <w:b/>
          <w:color w:val="000000"/>
          <w:sz w:val="18"/>
        </w:rPr>
        <w:t xml:space="preserve">Consolidated Balance Sheets </w:t>
      </w:r>
      <w:r>
        <w:rPr>
          <w:rFonts w:ascii="Times New Roman;serif" w:hAnsi="Times New Roman;serif"/>
          <w:b/>
          <w:color w:val="000000"/>
          <w:sz w:val="12"/>
        </w:rPr>
        <w:t>(1)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par value data; unaudited)</w:t>
      </w:r>
    </w:p>
    <w:tbl>
      <w:tblPr>
        <w:tblW w:w="10205" w:type="dxa"/>
        <w:jc w:val="left"/>
        <w:tblInd w:w="0" w:type="dxa"/>
        <w:tblLayout w:type="fixed"/>
        <w:tblCellMar>
          <w:top w:w="28" w:type="dxa"/>
          <w:left w:w="28" w:type="dxa"/>
          <w:bottom w:w="28" w:type="dxa"/>
          <w:right w:w="28" w:type="dxa"/>
        </w:tblCellMar>
      </w:tblPr>
      <w:tblGrid>
        <w:gridCol w:w="2577"/>
        <w:gridCol w:w="2087"/>
        <w:gridCol w:w="2073"/>
        <w:gridCol w:w="222"/>
        <w:gridCol w:w="1092"/>
        <w:gridCol w:w="123"/>
        <w:gridCol w:w="122"/>
        <w:gridCol w:w="122"/>
        <w:gridCol w:w="122"/>
        <w:gridCol w:w="248"/>
        <w:gridCol w:w="1219"/>
        <w:gridCol w:w="198"/>
      </w:tblGrid>
      <w:tr>
        <w:trPr/>
        <w:tc>
          <w:tcPr>
            <w:tcW w:w="2577"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43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143,120 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143,782 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321,943 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563,306 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10,961 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31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487,520 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718,049 </w:t>
            </w:r>
          </w:p>
        </w:tc>
        <w:tc>
          <w:tcPr>
            <w:tcW w:w="19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11,663,941 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10,568,311 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162,493 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fees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393,489 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423,076 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501,207 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532,245 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13,231,740 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12,425,828 </w:t>
            </w:r>
          </w:p>
        </w:tc>
        <w:tc>
          <w:tcPr>
            <w:tcW w:w="19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 and Equity</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298,124 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443,947 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914,940 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888,200 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1,214,358 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1,336,030 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net</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9,355,258 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8,510,925 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142,266 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184,353 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135,520 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10,871,596 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10,124,741 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480.0 million authorized: 265.0 million and 264.8 million outstanding, respectively</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4.9 million and 4.9 million, respectively, at cost</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(37,880)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(37,862)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0.5 million authorized after designation of the convertible preferred stock: none outstanding</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903,508 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893,131 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(896,363)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(759,957)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31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(30,708)</w:t>
            </w:r>
          </w:p>
        </w:tc>
        <w:tc>
          <w:tcPr>
            <w:tcW w:w="12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95,338 </w:t>
            </w:r>
          </w:p>
        </w:tc>
        <w:tc>
          <w:tcPr>
            <w:tcW w:w="19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2,390,852 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2,205,749 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31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2,360,144 </w:t>
            </w:r>
          </w:p>
        </w:tc>
        <w:tc>
          <w:tcPr>
            <w:tcW w:w="12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2,301,087 </w:t>
            </w:r>
          </w:p>
        </w:tc>
        <w:tc>
          <w:tcPr>
            <w:tcW w:w="19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13,231,740 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12,425,828 </w:t>
            </w:r>
          </w:p>
        </w:tc>
        <w:tc>
          <w:tcPr>
            <w:tcW w:w="19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Amounts presented include balances held by our consolidated variable interest entities, Phase 1 Holdings, Train 4 Holdings, and Train 5 Holdings, as further discussed in Note 7</w:t>
            </w:r>
            <w:r>
              <w:rPr>
                <w:color w:val="000000"/>
              </w:rPr>
              <w:t xml:space="preserve"> — </w:t>
            </w:r>
            <w:r>
              <w:rPr>
                <w:rFonts w:ascii="Times New Roman;serif" w:hAnsi="Times New Roman;serif"/>
                <w:b w:val="false"/>
                <w:i/>
                <w:color w:val="000000"/>
                <w:sz w:val="18"/>
              </w:rPr>
              <w:t>Variable Interest Entities</w:t>
            </w:r>
            <w:r>
              <w:rPr>
                <w:rFonts w:ascii="Times New Roman;serif" w:hAnsi="Times New Roman;serif"/>
                <w:b w:val="false"/>
                <w:color w:val="000000"/>
                <w:sz w:val="18"/>
              </w:rPr>
              <w:t>.</w:t>
            </w:r>
          </w:p>
        </w:tc>
      </w:tr>
    </w:tbl>
    <w:p>
      <w:pPr>
        <w:pStyle w:val="TextBody"/>
        <w:bidi w:val="0"/>
        <w:spacing w:lineRule="auto" w:line="288" w:before="240" w:after="283"/>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04570"/>
                <wp:effectExtent l="0" t="0" r="0" b="0"/>
                <wp:wrapNone/>
                <wp:docPr id="6" name="Frame4"/>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tbl>
      <w:tblPr>
        <w:tblW w:w="8710" w:type="dxa"/>
        <w:jc w:val="left"/>
        <w:tblInd w:w="0" w:type="dxa"/>
        <w:tblLayout w:type="fixed"/>
        <w:tblCellMar>
          <w:top w:w="28" w:type="dxa"/>
          <w:left w:w="28" w:type="dxa"/>
          <w:bottom w:w="28" w:type="dxa"/>
          <w:right w:w="28" w:type="dxa"/>
        </w:tblCellMar>
      </w:tblPr>
      <w:tblGrid>
        <w:gridCol w:w="1478"/>
        <w:gridCol w:w="1295"/>
        <w:gridCol w:w="1307"/>
        <w:gridCol w:w="109"/>
        <w:gridCol w:w="109"/>
        <w:gridCol w:w="210"/>
        <w:gridCol w:w="210"/>
        <w:gridCol w:w="379"/>
        <w:gridCol w:w="1569"/>
        <w:gridCol w:w="210"/>
        <w:gridCol w:w="109"/>
        <w:gridCol w:w="109"/>
        <w:gridCol w:w="109"/>
        <w:gridCol w:w="196"/>
        <w:gridCol w:w="721"/>
        <w:gridCol w:w="109"/>
        <w:gridCol w:w="109"/>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49,941 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55,115 </w:t>
            </w:r>
          </w:p>
        </w:tc>
        <w:tc>
          <w:tcPr>
            <w:tcW w:w="21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51,916 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(55,115)</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(79,247)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(139,925)</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(195,040)</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(195,040)</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(58,634)</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(136,406)</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common share — basic &amp;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 &amp;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264,908 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260,405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04570"/>
                <wp:effectExtent l="0" t="0" r="0" b="0"/>
                <wp:wrapNone/>
                <wp:docPr id="7" name="Frame5"/>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unaudited)</w:t>
      </w:r>
    </w:p>
    <w:tbl>
      <w:tblPr>
        <w:tblW w:w="8438" w:type="dxa"/>
        <w:jc w:val="left"/>
        <w:tblInd w:w="0" w:type="dxa"/>
        <w:tblLayout w:type="fixed"/>
        <w:tblCellMar>
          <w:top w:w="28" w:type="dxa"/>
          <w:left w:w="28" w:type="dxa"/>
          <w:bottom w:w="28" w:type="dxa"/>
          <w:right w:w="28" w:type="dxa"/>
        </w:tblCellMar>
      </w:tblPr>
      <w:tblGrid>
        <w:gridCol w:w="1483"/>
        <w:gridCol w:w="1300"/>
        <w:gridCol w:w="1312"/>
        <w:gridCol w:w="109"/>
        <w:gridCol w:w="109"/>
        <w:gridCol w:w="201"/>
        <w:gridCol w:w="201"/>
        <w:gridCol w:w="362"/>
        <w:gridCol w:w="1612"/>
        <w:gridCol w:w="201"/>
        <w:gridCol w:w="109"/>
        <w:gridCol w:w="109"/>
        <w:gridCol w:w="109"/>
        <w:gridCol w:w="196"/>
        <w:gridCol w:w="871"/>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 beginning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2,301,087 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1,744,386 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(37,862)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(37,880)</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893,131 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equity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903,508 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(759,957)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(453,523)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(136,406)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(896,363)</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(542,328)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(30,708)</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2,205,749 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1,366,745 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equity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243,737 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(58,634)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2,390,852 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 ending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2,360,144 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1,723,538 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04570"/>
                <wp:effectExtent l="0" t="0" r="0" b="0"/>
                <wp:wrapNone/>
                <wp:docPr id="8" name="Frame6"/>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unaudited)</w:t>
      </w:r>
    </w:p>
    <w:tbl>
      <w:tblPr>
        <w:tblW w:w="7794" w:type="dxa"/>
        <w:jc w:val="left"/>
        <w:tblInd w:w="0" w:type="dxa"/>
        <w:tblLayout w:type="fixed"/>
        <w:tblCellMar>
          <w:top w:w="28" w:type="dxa"/>
          <w:left w:w="28" w:type="dxa"/>
          <w:bottom w:w="28" w:type="dxa"/>
          <w:right w:w="28" w:type="dxa"/>
        </w:tblCellMar>
      </w:tblPr>
      <w:tblGrid>
        <w:gridCol w:w="1874"/>
        <w:gridCol w:w="1647"/>
        <w:gridCol w:w="1654"/>
        <w:gridCol w:w="197"/>
        <w:gridCol w:w="817"/>
        <w:gridCol w:w="109"/>
        <w:gridCol w:w="109"/>
        <w:gridCol w:w="109"/>
        <w:gridCol w:w="109"/>
        <w:gridCol w:w="197"/>
        <w:gridCol w:w="817"/>
        <w:gridCol w:w="155"/>
      </w:tblGrid>
      <w:tr>
        <w:trPr/>
        <w:tc>
          <w:tcPr>
            <w:tcW w:w="187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12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(245,228)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loss,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settlements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of right-of-use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elected to be paid-in-kind</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1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(110,834)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(68,826)</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plant and equipment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(769,971)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other non-current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1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(1,176,674)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(779,409)</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 issuance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equity commitments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share-based compensation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1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1,045,483 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841,621 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101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(242,025)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(6,614)</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392,761 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465,063 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386,147 </w:t>
            </w:r>
          </w:p>
        </w:tc>
        <w:tc>
          <w:tcPr>
            <w:tcW w:w="1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04570"/>
                <wp:effectExtent l="0" t="0" r="0" b="0"/>
                <wp:wrapNone/>
                <wp:docPr id="9" name="Frame7"/>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1 — Background and Basis of Presentation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NextDecade Corporation, a Delaware corporation, is a Houston-based energy company primarily engaged in construction and development activities related to the liquefaction of natural gas and sale of LNG. We are constructing and developing a natural gas liquefaction and export facility located in the Rio Grande Valley near Brownsville, Texas (the “Rio Grande LNG Facility”). Construction of Trains 1–3 (“Phase 1”) by Phase 1 LLC, Train 4 by Train 4 LLC, and Train 5 by Train 5 LLC, commenced in July 2023, September 2025, and October 2025, respectively. We are also developing and advancing the permitting process for expansion Trains 6 through 8 and exploring a potential carbon capture and storage (“CCS”) project at the Rio Grande LNG Facility.</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Basis of Presentation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accompanying unaudited consolidated financial statements have been prepared in accordance with generally accepted accounting principles in the United States of America (“GAAP”) for interim financial information and with Rule 10-01 of Regulation S-X. Accordingly, they do not include all the information and disclosures required by GAAP for complete financial statements and should be read in conjunction with the consolidated financial statements and accompanying notes included in our Annual Report on Form 10-K for the year ended December 31, 2025. In our opinion, all adjustments which are necessary to a fair presentation of the unaudited consolidated financial statements have been included, and all such adjustments are of a normal recurring nature. The results of operations for the three months ended March 31, 2026 are not necessarily indicative of the operating results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2 — Property, Plant and Equipment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Property, plant and equipment consisted of the following (in thousands):</w:t>
      </w:r>
    </w:p>
    <w:tbl>
      <w:tblPr>
        <w:tblW w:w="6504" w:type="dxa"/>
        <w:jc w:val="left"/>
        <w:tblInd w:w="0" w:type="dxa"/>
        <w:tblLayout w:type="fixed"/>
        <w:tblCellMar>
          <w:top w:w="28" w:type="dxa"/>
          <w:left w:w="28" w:type="dxa"/>
          <w:bottom w:w="28" w:type="dxa"/>
          <w:right w:w="28" w:type="dxa"/>
        </w:tblCellMar>
      </w:tblPr>
      <w:tblGrid>
        <w:gridCol w:w="1195"/>
        <w:gridCol w:w="1049"/>
        <w:gridCol w:w="1055"/>
        <w:gridCol w:w="199"/>
        <w:gridCol w:w="979"/>
        <w:gridCol w:w="111"/>
        <w:gridCol w:w="109"/>
        <w:gridCol w:w="109"/>
        <w:gridCol w:w="109"/>
        <w:gridCol w:w="237"/>
        <w:gridCol w:w="1166"/>
        <w:gridCol w:w="186"/>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Rio Grande LNG Facility under construction</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11,659,040 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10,563,032 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at cost</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11,667,203 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10,571,195 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net</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11,663,941 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10,568,311 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3 — Leases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commenced the Rio Grande LNG Facility site lease in July 2023, and it has an initial term of 30 years. The lease includes options to renew for up to two additional 10-year periods which are recognized as part of our right of use assets and lease liabilities. The Company has also entered into an office space lease that expires on December 31, 2035 and does not include any options for renewal.</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the Company has entered into certain time charter agreements with vessel owners to provide shipping capacity for LNG sales related to its delivered ex-ship LNG sale and purchase agreement, as well as expected commissioning and portfolio volumes. These lease arrangements are expected to commence in 2026 upon delivery of the vessels.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For the three months ended March 31, 2026 and 2025, our operating lease costs were $2.6 million and $2.5 million, respectively.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Maturity of operating lease liabilities as of March 31, 2026 are as follows (in thousands, except lease term and discount rate):</w:t>
      </w:r>
    </w:p>
    <w:tbl>
      <w:tblPr>
        <w:tblW w:w="4611" w:type="dxa"/>
        <w:jc w:val="left"/>
        <w:tblInd w:w="0" w:type="dxa"/>
        <w:tblLayout w:type="fixed"/>
        <w:tblCellMar>
          <w:top w:w="28" w:type="dxa"/>
          <w:left w:w="28" w:type="dxa"/>
          <w:bottom w:w="28" w:type="dxa"/>
          <w:right w:w="28" w:type="dxa"/>
        </w:tblCellMar>
      </w:tblPr>
      <w:tblGrid>
        <w:gridCol w:w="1276"/>
        <w:gridCol w:w="1123"/>
        <w:gridCol w:w="1126"/>
        <w:gridCol w:w="196"/>
        <w:gridCol w:w="73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(remaining)</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undiscounted lease payments</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365,335 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to present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118,921 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 years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 — percent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Other information related to our operating leases is as follows (in thousands):</w:t>
      </w:r>
    </w:p>
    <w:tbl>
      <w:tblPr>
        <w:tblW w:w="8785" w:type="dxa"/>
        <w:jc w:val="left"/>
        <w:tblInd w:w="0" w:type="dxa"/>
        <w:tblLayout w:type="fixed"/>
        <w:tblCellMar>
          <w:top w:w="28" w:type="dxa"/>
          <w:left w:w="28" w:type="dxa"/>
          <w:bottom w:w="28" w:type="dxa"/>
          <w:right w:w="28" w:type="dxa"/>
        </w:tblCellMar>
      </w:tblPr>
      <w:tblGrid>
        <w:gridCol w:w="2234"/>
        <w:gridCol w:w="1960"/>
        <w:gridCol w:w="1970"/>
        <w:gridCol w:w="245"/>
        <w:gridCol w:w="697"/>
        <w:gridCol w:w="136"/>
        <w:gridCol w:w="136"/>
        <w:gridCol w:w="136"/>
        <w:gridCol w:w="136"/>
        <w:gridCol w:w="245"/>
        <w:gridCol w:w="697"/>
        <w:gridCol w:w="193"/>
      </w:tblGrid>
      <w:tr>
        <w:trPr/>
        <w:tc>
          <w:tcPr>
            <w:tcW w:w="223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right-of-use assets and lease liabilities recorded for new and modified leases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Note 4 — Accrued and Other Current Liabilities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Accrued and other current liabilities consisted of the following (in thousands):</w:t>
      </w:r>
    </w:p>
    <w:tbl>
      <w:tblPr>
        <w:tblW w:w="6191" w:type="dxa"/>
        <w:jc w:val="left"/>
        <w:tblInd w:w="0" w:type="dxa"/>
        <w:tblLayout w:type="fixed"/>
        <w:tblCellMar>
          <w:top w:w="28" w:type="dxa"/>
          <w:left w:w="28" w:type="dxa"/>
          <w:bottom w:w="28" w:type="dxa"/>
          <w:right w:w="28" w:type="dxa"/>
        </w:tblCellMar>
      </w:tblPr>
      <w:tblGrid>
        <w:gridCol w:w="1081"/>
        <w:gridCol w:w="947"/>
        <w:gridCol w:w="956"/>
        <w:gridCol w:w="243"/>
        <w:gridCol w:w="912"/>
        <w:gridCol w:w="135"/>
        <w:gridCol w:w="109"/>
        <w:gridCol w:w="109"/>
        <w:gridCol w:w="109"/>
        <w:gridCol w:w="287"/>
        <w:gridCol w:w="1078"/>
        <w:gridCol w:w="225"/>
      </w:tblGrid>
      <w:tr>
        <w:trPr/>
        <w:tc>
          <w:tcPr>
            <w:tcW w:w="108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Rio Grande LNG Facility</w:t>
            </w:r>
          </w:p>
        </w:tc>
        <w:tc>
          <w:tcPr>
            <w:tcW w:w="24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846,362 </w:t>
            </w:r>
          </w:p>
        </w:tc>
        <w:tc>
          <w:tcPr>
            <w:tcW w:w="13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769,137 </w:t>
            </w:r>
          </w:p>
        </w:tc>
        <w:tc>
          <w:tcPr>
            <w:tcW w:w="2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and other current liabilities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914,940 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888,200 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Note 5 — Debt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Debt, net consisted of the following (in thousands):</w:t>
      </w:r>
    </w:p>
    <w:tbl>
      <w:tblPr>
        <w:tblW w:w="7827" w:type="dxa"/>
        <w:jc w:val="left"/>
        <w:tblInd w:w="0" w:type="dxa"/>
        <w:tblLayout w:type="fixed"/>
        <w:tblCellMar>
          <w:top w:w="28" w:type="dxa"/>
          <w:left w:w="28" w:type="dxa"/>
          <w:bottom w:w="28" w:type="dxa"/>
          <w:right w:w="28" w:type="dxa"/>
        </w:tblCellMar>
      </w:tblPr>
      <w:tblGrid>
        <w:gridCol w:w="1673"/>
        <w:gridCol w:w="1468"/>
        <w:gridCol w:w="1479"/>
        <w:gridCol w:w="215"/>
        <w:gridCol w:w="956"/>
        <w:gridCol w:w="119"/>
        <w:gridCol w:w="109"/>
        <w:gridCol w:w="109"/>
        <w:gridCol w:w="109"/>
        <w:gridCol w:w="200"/>
        <w:gridCol w:w="889"/>
        <w:gridCol w:w="501"/>
      </w:tblGrid>
      <w:tr>
        <w:trPr/>
        <w:tc>
          <w:tcPr>
            <w:tcW w:w="167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 LLC Debt:</w:t>
            </w:r>
          </w:p>
        </w:tc>
        <w:tc>
          <w:tcPr>
            <w:tcW w:w="12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6.67% Senior Secured Notes due 2033</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6.85% Senior Secured Notes due 2047</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190,000 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6.58% Senior Secured Notes due 2047</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1,115,000 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6.72% Senior Secured Loans due 2033</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356,000 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7.11% Senior Secured Loans due 2047</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251,000 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CD Credit Agreement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4,389,000 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3,708,000 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TCF Credit Agreement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50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Phase 1 LLC Debt</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7,551,000 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6,805,000 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4 LLC Debt:</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Train 4 LLC Credit Agreement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357,000 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5 LLC Debt:</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6.56% Senior Secured Notes due 2050</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13.00% Super FinCo Term Loan due 2031</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1,254,428 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1,214,517 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8.00% A&amp;R Corporate Credit Agreement due 2030 - Series A</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13.50% A&amp;R Corporate Credit Agreement due 2030 - Series B</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207,629 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200,851 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9,691,057 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8,827,368 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(335,799)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(316,443)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Debt, net</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9,355,258 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8,510,925 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Phase 1 LLC Debt</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Senior Secured Notes and Senior Secured Loans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6.67% Senior Secured Notes, 6.85% Senior Secured Notes, and 6.58% Senior Secured Notes (collectively, the “Phase 1 Senior Secured Notes”) and the 6.72% Senior Secured Loans and 7.11% Senior Secured Loans (collectively, the “Phase 1 Senior Secured Loans”) are senior secured obligations of Phase 1 LLC. Principal on the 6.85% Senior Secured Notes, 6.58% Senior Secured Notes, and the 7.11% Senior Secured Loans amortizes beginning in 2029 with final maturities in 2047.</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Phase 1 Senior Secured Notes and Phase 1 Senior Secured Loans rank pari passu with the CD Credit Agreement and the TCF Credit Agreement and are secured on a first-priority basis by a security interest in all of the membership interests in Phase 1 LLC and substantially all of Phase 1 LLC’s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Phase 1 LLC’s Credit Agreements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total commitments under the CD Credit Agreement and TCF Credit Agreement (together, the “Phase 1 LLC Committed Credit Facilities”) are $8.4 billion and $0.8 billion, respectively.</w:t>
      </w:r>
    </w:p>
    <w:p>
      <w:pPr>
        <w:pStyle w:val="TextBody"/>
        <w:bidi w:val="0"/>
        <w:spacing w:lineRule="auto" w:line="288" w:before="120" w:after="283"/>
        <w:ind w:left="0" w:right="0" w:firstLine="720"/>
        <w:jc w:val="both"/>
        <w:rPr/>
      </w:pPr>
      <w:r>
        <w:rPr>
          <w:rFonts w:ascii="Times New Roman;serif" w:hAnsi="Times New Roman;serif"/>
          <w:b w:val="false"/>
          <w:color w:val="000000"/>
          <w:sz w:val="18"/>
        </w:rPr>
        <w:t>The CD Credit Agreement includes an additional $250 million commitment (the “CD Senior Working Capital Facility”) that can be used to draw revolving loans or issue letters of credit. As of March 31, 2026, no amounts have been drawn and approximately $141.1 million letters of credit have been issued</w:t>
      </w:r>
      <w:r>
        <w:rPr>
          <w:rFonts w:ascii="Arial;sans-serif" w:hAnsi="Arial;sans-serif"/>
          <w:b w:val="false"/>
          <w:color w:val="000000"/>
          <w:sz w:val="18"/>
        </w:rPr>
        <w: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Phase 1 LLC Committed Credit Facilities are senior secured facilities that amortize quarterly beginning on or after 90 days following the completion of certain conditions including commencement of our long-term LNG Sale and Purchase Agreements (“SPAs”) for Train 3. The facilities have a final maturity in July 2030, bear interest at SOFR plus 2.25%, and accrue commitment fees of 0.68% on undrawn amounts.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Phase 1 LLC’s obligations under the Phase 1 LLC committed facilities rank pari passu with each of the Phase 1 LLC committed credit facilities, the Phase 1 Senior Secured Notes, and the Phase 1 Senior Secured Loans, and are secured by the same collateral package as the Phase 1 Senior Secured Notes and Phase 1 Senior Secured Loans.</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Train 4 LLC and Train 5 LLC Credit Agreements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September 2025 and October 2025, Train 4 LLC and Train 5 LLC, respectively, entered into separate credit facilities of up to approximately $3.8 billion and $3.6 billion, respectively, to fund their respective project costs, related fees and expenses. Obligations under the credit agreements are secured on a first-priority basis by substantially all of the assets of Train 4 LLC and Train 5 LLC, respectively, as well as a pledge of the membership interest in the respective entities.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Borrowings on both credit facilities bear interest at SOFR plus 2.00% (or base rate plus 1.00%), with rating-based step-downs to SOFR + 1.875% / base + 0.875% upon “Baa2/BBB” and to SOFR + 1.75% / base + 0.75% upon “Baa1/BBB+.” Undrawn amounts accrue commitment fees at 30% of the applicable margin for SOFR loans. The Train 4 LLC and Train 5 LLC facilities amortize quarterly beginning on or after 90 days following the completion of certain conditions, including commencement of our SPAs for the respective trains, and mature in September 2032 and October 2032, respectively.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$428.0 million had been drawn under the Train 4 LLC Credit Agreement and no amounts had been drawn under the Train 5 LLC Credit Agreement.</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Train 5 LLC Senior Secured Notes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October 2025, Train 5 LLC entered into a Note Purchase Agreement to issue $500 million of 6.56% Senior Secured Notes (the “Train 5 Senior Secured Notes”) due in 2050. In December 2025, the Company issued the first installment of $150 million of the Train 5 Senior Secured Notes at par. The remaining Train 5 Senior Secured Notes will be issued at par in installments through October 2026. Principal amortizes beginning in September 2031 with a final maturity in September 2050.</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Train 5 Senior Secured Notes are senior secured obligations of Train 5 LLC, ranking senior in right of payment to any and all of Train 5 LLC’s future indebtedness that is subordinated to the Train 5 Senior Secured Notes, and equal in right of payment with Train 5 LLC’s other existing and future indebtedness that is senior and secured by the same collateral securing the Train 5 Senior Secured Notes. The Train 5 Senior Secured Notes rank pari passu with the Train 5 LLC Credit Agreement and are secured on a first-priority basis by a security interest the same collateral package.</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FinCo Credit Agreement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September 2025, FinCo entered into a credit agreement (the “FinCo Credit Agreement”) providing a loan and letter of credit facility of up to approximately $0.7 billion, including an approximate $0.6 billion letter of credit sublimit, to fund equity contributions for Train 4 LLC and to finance interest during Train 4 construction and related fees and expenses. In October 2025, the FinCo Credit Agreement was amended to increase the loan to approximately $1.5 billion and to increase the letter of credit sublimit to approximately $1.2 billion to fund the same costs associated with both Train 4 and Train 5. Availability commenced on October 30, 2025.</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Borrowings bear interest at SOFR plus 3.50% or base rate plus 2.50%, and undrawn commitment amounts are subject to commitment fees of 1.05%. The facility matures in October 2030, with a one-year extension option exercisable within the 90-day period preceding such anniversary. The facility is secured by pledges of FinCo equity and first-priority liens on substantially all FinCo assets, including equity interests in Phase 1 LLC, Train 4 LLC, and Train 5 LLC.</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no amounts had been drawn and $1.2 billion of letters of credit were issued under the FinCo Credit Agreement.</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 xml:space="preserve">Super FinCo Term Loan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September 2025, Super FinCo entered into a credit agreement (the “Super FinCo Term Loan”) providing a senior term loan of $0.6 billion to fund a portion of the Company’s equity contributions to finance interest during construction, pay fees and expenses associated with the Super FinCo and FinCo credit agreements and related facilities, and fund other costs of Super FinCo associated with Train 4. In October 2025, the Super FinCo Term Loan was amended to increase the principal amount to $1.2 billion to fund the same costs associated with both Train 4 and Train 5.</w:t>
      </w:r>
    </w:p>
    <w:p>
      <w:pPr>
        <w:pStyle w:val="TextBody"/>
        <w:bidi w:val="0"/>
        <w:spacing w:lineRule="auto" w:line="288" w:before="120" w:after="283"/>
        <w:ind w:left="0" w:right="0" w:firstLine="720"/>
        <w:jc w:val="both"/>
        <w:rPr/>
      </w:pPr>
      <w:r>
        <w:rPr>
          <w:rFonts w:ascii="Times New Roman;serif" w:hAnsi="Times New Roman;serif"/>
          <w:b w:val="false"/>
          <w:color w:val="000000"/>
          <w:sz w:val="18"/>
        </w:rPr>
        <w:t>The Super FinCo Term Loan matures on the earlier of September 2033 or the 85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 xml:space="preserve">day prior to the maturity of the FinCo Agreement (as extended or refinanced). Interest is payable quarterly with an option to pay paid-in-kind (“PIK”) interest in full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the first anniversary of Train 4 completion and up to 50% thereafter. The Super FinCo Term Loan is secured by pledges of the equity interests in the Super FinCo borrowers by their holding companies and by a first-priority security interest in substantially all personal property of Super FinCo, including membership interests in FinCo.</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Corporate Credit Agreement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 November 2025, Super Holdings, a wholly owned subsidiary of the Company, amended its Corporate Credit Agreement (the “A&amp;R Corporate Credit Agreement”). The A&amp;R Corporate Credit Agreement defines two distinct tranches of indebtedness: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Series A Loans: Consists of $100.0 million in aggregate principal that matures on November 17, 2030 and bears interest at 8.0% per annum that is payable quarterly, in cash or PIK, at Super Holding’s election. These loans include a make-whole premium if prepaid prior to November 17, 2028.</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Exchange Option: The Series A Loans, including any PIK interest, are exchangeable into shares of common stock of the Company at the election of the lenders at an exchange price of $9.50 per share (the “Series A Exchange Option”). This option is available from the 180th day after November 17, 2025 through maturity. The Series A Exchange Option is accounted for as a derivative liability (see Note 6</w:t>
      </w:r>
      <w:r>
        <w:rPr>
          <w:color w:val="000000"/>
        </w:rPr>
        <w:t xml:space="preserve"> — </w:t>
      </w:r>
      <w:r>
        <w:rPr>
          <w:rFonts w:ascii="Times New Roman;serif" w:hAnsi="Times New Roman;serif"/>
          <w:b w:val="false"/>
          <w:i/>
          <w:color w:val="000000"/>
          <w:sz w:val="18"/>
        </w:rPr>
        <w:t>Derivatives</w:t>
      </w:r>
      <w:r>
        <w:rPr>
          <w:rFonts w:ascii="Times New Roman;serif" w:hAnsi="Times New Roman;serif"/>
          <w:b w:val="false"/>
          <w:color w:val="000000"/>
          <w:sz w:val="18"/>
        </w:rPr>
        <w: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Series B Loans: Consists of the remaining principal that matures on October 16, 2030 and bears interest at 13.5% per annum. Prior to March 31, 2027, Super Holdings may elect to pay up to 100% of interest in cash or in kind and is required to pay 50% of interest in kind and 50% of interest in cash thereafter. These loans include a make-whole premium if prepaid prior to June 30, 2028, and a declining prepayment penalty structure thereafter.</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Obligations under the A&amp;R Corporate Credit Agreement are secured on a first-priority basis by all of the equity interest in Super Holdings and its direct subsidiaries.</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Debt Covenants and Compliance</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Each of the Company’s debt instruments contain customary negative covenants that, among other things, limit the ability of the borrower and its subsidiaries to incur additional indebtedness, create liens, make restricted payments (including dividends), make certain investments, and sell all or substantially all assets.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Certain of the Company’s credit agreements also include covenants that, among other things, require the borrower and its subsidiaries to maintain a historical Debt Service Coverage Ratio (DSCR) of at least 1.10:1.00 as of a specified date in the respective agreement, and covenants that restrict the net assets of the respective subsidiaries from being distributed to NextDecade, unless certain conditions are met.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the Company was in compliance with all covenants related to its respective debt agreements.</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 xml:space="preserve">Interest Expense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Interest expense consisted of the following (in thousands):</w:t>
      </w:r>
    </w:p>
    <w:tbl>
      <w:tblPr>
        <w:tblW w:w="5263" w:type="dxa"/>
        <w:jc w:val="left"/>
        <w:tblInd w:w="0" w:type="dxa"/>
        <w:tblLayout w:type="fixed"/>
        <w:tblCellMar>
          <w:top w:w="28" w:type="dxa"/>
          <w:left w:w="28" w:type="dxa"/>
          <w:bottom w:w="28" w:type="dxa"/>
          <w:right w:w="28" w:type="dxa"/>
        </w:tblCellMar>
      </w:tblPr>
      <w:tblGrid>
        <w:gridCol w:w="955"/>
        <w:gridCol w:w="841"/>
        <w:gridCol w:w="844"/>
        <w:gridCol w:w="217"/>
        <w:gridCol w:w="817"/>
        <w:gridCol w:w="121"/>
        <w:gridCol w:w="121"/>
        <w:gridCol w:w="121"/>
        <w:gridCol w:w="121"/>
        <w:gridCol w:w="217"/>
        <w:gridCol w:w="717"/>
        <w:gridCol w:w="171"/>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debt obligations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166,652 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73,105 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and financing costs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cost incurred</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207,264 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90,806 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(128,017)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79,247 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27,205 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Fair Value Disclosures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shows the carrying amount and estimated fair value of our debt (in thousands):</w:t>
      </w:r>
    </w:p>
    <w:tbl>
      <w:tblPr>
        <w:tblW w:w="10205" w:type="dxa"/>
        <w:jc w:val="left"/>
        <w:tblInd w:w="0" w:type="dxa"/>
        <w:tblLayout w:type="fixed"/>
        <w:tblCellMar>
          <w:top w:w="28" w:type="dxa"/>
          <w:left w:w="28" w:type="dxa"/>
          <w:bottom w:w="28" w:type="dxa"/>
          <w:right w:w="28" w:type="dxa"/>
        </w:tblCellMar>
      </w:tblPr>
      <w:tblGrid>
        <w:gridCol w:w="1093"/>
        <w:gridCol w:w="933"/>
        <w:gridCol w:w="938"/>
        <w:gridCol w:w="241"/>
        <w:gridCol w:w="1074"/>
        <w:gridCol w:w="134"/>
        <w:gridCol w:w="109"/>
        <w:gridCol w:w="109"/>
        <w:gridCol w:w="109"/>
        <w:gridCol w:w="275"/>
        <w:gridCol w:w="1226"/>
        <w:gridCol w:w="153"/>
        <w:gridCol w:w="109"/>
        <w:gridCol w:w="109"/>
        <w:gridCol w:w="109"/>
        <w:gridCol w:w="241"/>
        <w:gridCol w:w="1074"/>
        <w:gridCol w:w="134"/>
        <w:gridCol w:w="109"/>
        <w:gridCol w:w="109"/>
        <w:gridCol w:w="109"/>
        <w:gridCol w:w="272"/>
        <w:gridCol w:w="1213"/>
        <w:gridCol w:w="223"/>
      </w:tblGrid>
      <w:tr>
        <w:trPr/>
        <w:tc>
          <w:tcPr>
            <w:tcW w:w="109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Phase 1 Senior Secured Notes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2,005,000 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2,044,347 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2,005,000 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2,077,080 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Phase 1 Senior Secured Loans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633,625 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643,504 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5 Senior Secured Notes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Super FinCo Term Loan</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1,254,428 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1,197,091 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1,214,517 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1,144,196 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A&amp;R Corporate Credit Agreement - Series A</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92,870 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77,416 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A&amp;R Corporate Credit Agreement - Series B</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207,629 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174,358 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165,518 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fair value of the debt included in the table above was calculated using a lattice model and is classified as Level 2 in the fair value hierarchy.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fair values of the CD Credit Agreement, TCF Credit Agreement, and Train 4 LLC Credit Agreement approximate their respective carrying amounts because their variable interest rates align to market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6 — Derivatives</w:t>
      </w:r>
    </w:p>
    <w:p>
      <w:pPr>
        <w:pStyle w:val="TextBody"/>
        <w:bidi w:val="0"/>
        <w:spacing w:lineRule="auto" w:line="288" w:before="120" w:after="283"/>
        <w:ind w:left="0" w:right="0" w:firstLine="720"/>
        <w:jc w:val="both"/>
        <w:rPr/>
      </w:pPr>
      <w:r>
        <w:rPr>
          <w:rFonts w:ascii="Times New Roman;serif" w:hAnsi="Times New Roman;serif"/>
          <w:b w:val="false"/>
          <w:color w:val="000000"/>
          <w:sz w:val="18"/>
        </w:rPr>
        <w:t>To manage interest rate volatility, the Company has entered into interest rate swap agreements (the “Swaps”) to hedge a portion of the floating-rate interest payments associated with the credit agreements described in Note 5</w:t>
      </w:r>
      <w:r>
        <w:rPr>
          <w:color w:val="000000"/>
        </w:rPr>
        <w:t xml:space="preserve"> — </w:t>
      </w:r>
      <w:r>
        <w:rPr>
          <w:rFonts w:ascii="Times New Roman;serif" w:hAnsi="Times New Roman;serif"/>
          <w:b w:val="false"/>
          <w:i/>
          <w:color w:val="000000"/>
          <w:sz w:val="18"/>
        </w:rPr>
        <w:t>Debt</w:t>
      </w:r>
      <w:r>
        <w:rPr>
          <w:rFonts w:ascii="Times New Roman;serif" w:hAnsi="Times New Roman;serif"/>
          <w:b w:val="false"/>
          <w:color w:val="000000"/>
          <w:sz w:val="18"/>
        </w:rPr>
        <w:t>. These include Swaps entered into by Phase 1 LLC in July 2023 and by Train 4 LLC, Train 5 LLC, and FinCo in the second half of 2025 for their respective debt obligations.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the Company had the following Swaps outstanding (in thousands):</w:t>
      </w:r>
    </w:p>
    <w:tbl>
      <w:tblPr>
        <w:tblW w:w="10205" w:type="dxa"/>
        <w:jc w:val="left"/>
        <w:tblInd w:w="0" w:type="dxa"/>
        <w:tblLayout w:type="fixed"/>
        <w:tblCellMar>
          <w:top w:w="28" w:type="dxa"/>
          <w:left w:w="28" w:type="dxa"/>
          <w:bottom w:w="28" w:type="dxa"/>
          <w:right w:w="28" w:type="dxa"/>
        </w:tblCellMar>
      </w:tblPr>
      <w:tblGrid>
        <w:gridCol w:w="315"/>
        <w:gridCol w:w="278"/>
        <w:gridCol w:w="280"/>
        <w:gridCol w:w="109"/>
        <w:gridCol w:w="109"/>
        <w:gridCol w:w="109"/>
        <w:gridCol w:w="275"/>
        <w:gridCol w:w="1035"/>
        <w:gridCol w:w="152"/>
        <w:gridCol w:w="109"/>
        <w:gridCol w:w="109"/>
        <w:gridCol w:w="109"/>
        <w:gridCol w:w="281"/>
        <w:gridCol w:w="1250"/>
        <w:gridCol w:w="156"/>
        <w:gridCol w:w="109"/>
        <w:gridCol w:w="109"/>
        <w:gridCol w:w="109"/>
        <w:gridCol w:w="296"/>
        <w:gridCol w:w="296"/>
        <w:gridCol w:w="298"/>
        <w:gridCol w:w="109"/>
        <w:gridCol w:w="109"/>
        <w:gridCol w:w="109"/>
        <w:gridCol w:w="464"/>
        <w:gridCol w:w="464"/>
        <w:gridCol w:w="1094"/>
        <w:gridCol w:w="109"/>
        <w:gridCol w:w="109"/>
        <w:gridCol w:w="109"/>
        <w:gridCol w:w="477"/>
        <w:gridCol w:w="477"/>
        <w:gridCol w:w="682"/>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Initial Notional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Maximum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Maturity</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Fixed Interest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Variable Interest Rate Received</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123,000 </w:t>
            </w:r>
          </w:p>
        </w:tc>
        <w:tc>
          <w:tcPr>
            <w:tcW w:w="15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7,916,900 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USD - SOFR</w:t>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4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USD - SOFR</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5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3,050,650 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USD - SOFR</w:t>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FinCo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USD - SOFR</w:t>
            </w:r>
          </w:p>
        </w:tc>
      </w:tr>
    </w:tbl>
    <w:p>
      <w:pPr>
        <w:pStyle w:val="TextBody"/>
        <w:bidi w:val="0"/>
        <w:spacing w:lineRule="auto" w:line="288" w:before="120" w:after="283"/>
        <w:ind w:left="0" w:right="0" w:firstLine="72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Phase 1, Train 4, Train 5, and FinCo Swaps, have early mandatory terminations dates in July 2030, September 2032, October 2032, and October 2031, respectively.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Swaps are measured at fair value each reporting period using an income approach (Level 2) based on observable market inputs, including SOFR forward curves. Changes in fair value are recorded within our Consolidated Statement of Operations.</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Series A Exchange Option</w:t>
      </w:r>
    </w:p>
    <w:p>
      <w:pPr>
        <w:pStyle w:val="TextBody"/>
        <w:bidi w:val="0"/>
        <w:spacing w:lineRule="auto" w:line="288" w:before="120" w:after="283"/>
        <w:ind w:left="0" w:right="0" w:firstLine="720"/>
        <w:jc w:val="both"/>
        <w:rPr/>
      </w:pPr>
      <w:r>
        <w:rPr>
          <w:rFonts w:ascii="Times New Roman;serif" w:hAnsi="Times New Roman;serif"/>
          <w:b w:val="false"/>
          <w:color w:val="000000"/>
          <w:sz w:val="18"/>
        </w:rPr>
        <w:t>The Series A Exchange Option (see Note 5</w:t>
      </w:r>
      <w:r>
        <w:rPr>
          <w:color w:val="000000"/>
        </w:rPr>
        <w:t xml:space="preserve"> — </w:t>
      </w:r>
      <w:r>
        <w:rPr>
          <w:rFonts w:ascii="Times New Roman;serif" w:hAnsi="Times New Roman;serif"/>
          <w:b w:val="false"/>
          <w:i/>
          <w:color w:val="000000"/>
          <w:sz w:val="18"/>
        </w:rPr>
        <w:t>Debt</w:t>
      </w:r>
      <w:r>
        <w:rPr>
          <w:rFonts w:ascii="Times New Roman;serif" w:hAnsi="Times New Roman;serif"/>
          <w:b w:val="false"/>
          <w:color w:val="000000"/>
          <w:sz w:val="18"/>
        </w:rPr>
        <w:t>) is measured at fair value each reporting period using a lattice model (Level 2), and changes in fair value are recorded within our Consolidated Statement of Operations.</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Warrants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issued approximately 9.2 million warrants (the “Warrants”) in connection with the A&amp;R Corporate Credit Agreement that consist of approximately 3.6 million warrants with an exercise price of $7.15 per share and approximately 5.6 million warrants with an exercise price of $9.30 per share. Approximately 7.2 million of the Warrants mature in 2031 and the approximately 2.0 million remaining warrants mature in 2032. The Warrants may be exercised by the holder solely on a cashless exercise basis at any time prior to their expiration.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Subject to certain liquidity conditions, the Company may cause the cash exercise of approximately 3.6 million of these warrants if the 30-day volume weighted average price of the Company’s common stock and the closing price of the Company’s common stock immediately prior to the date of exercise equals or exceeds $13.50 per share or $15.00 per share during specified periods in 2026 and 2027, respectively.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Warrants are accounted for as derivative liabilities and are remeasured each period using either a Black-Scholes model or Monte Carlo, depending on the terms of the instrument (Level 2). Changes in fair value are recorded within our Consolidated Statement of Operations.</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Consolidated Balance Sheet and Statement of Operations presentation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fair value of the Company’s derivative instruments was recorded in the Consolidated Balance Sheets as follows (in thousands):</w:t>
      </w:r>
    </w:p>
    <w:tbl>
      <w:tblPr>
        <w:tblW w:w="8538" w:type="dxa"/>
        <w:jc w:val="left"/>
        <w:tblInd w:w="0" w:type="dxa"/>
        <w:tblLayout w:type="fixed"/>
        <w:tblCellMar>
          <w:top w:w="28" w:type="dxa"/>
          <w:left w:w="28" w:type="dxa"/>
          <w:bottom w:w="28" w:type="dxa"/>
          <w:right w:w="28" w:type="dxa"/>
        </w:tblCellMar>
      </w:tblPr>
      <w:tblGrid>
        <w:gridCol w:w="955"/>
        <w:gridCol w:w="839"/>
        <w:gridCol w:w="846"/>
        <w:gridCol w:w="196"/>
        <w:gridCol w:w="646"/>
        <w:gridCol w:w="109"/>
        <w:gridCol w:w="109"/>
        <w:gridCol w:w="109"/>
        <w:gridCol w:w="109"/>
        <w:gridCol w:w="580"/>
        <w:gridCol w:w="1206"/>
        <w:gridCol w:w="328"/>
        <w:gridCol w:w="109"/>
        <w:gridCol w:w="109"/>
        <w:gridCol w:w="109"/>
        <w:gridCol w:w="235"/>
        <w:gridCol w:w="488"/>
        <w:gridCol w:w="133"/>
        <w:gridCol w:w="109"/>
        <w:gridCol w:w="109"/>
        <w:gridCol w:w="109"/>
        <w:gridCol w:w="196"/>
        <w:gridCol w:w="64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Series A Exchange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 noncurrent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 noncurrent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28,986 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tbl>
      <w:tblPr>
        <w:tblW w:w="8717" w:type="dxa"/>
        <w:jc w:val="left"/>
        <w:tblInd w:w="0" w:type="dxa"/>
        <w:tblLayout w:type="fixed"/>
        <w:tblCellMar>
          <w:top w:w="28" w:type="dxa"/>
          <w:left w:w="28" w:type="dxa"/>
          <w:bottom w:w="28" w:type="dxa"/>
          <w:right w:w="28" w:type="dxa"/>
        </w:tblCellMar>
      </w:tblPr>
      <w:tblGrid>
        <w:gridCol w:w="956"/>
        <w:gridCol w:w="839"/>
        <w:gridCol w:w="844"/>
        <w:gridCol w:w="196"/>
        <w:gridCol w:w="736"/>
        <w:gridCol w:w="109"/>
        <w:gridCol w:w="109"/>
        <w:gridCol w:w="109"/>
        <w:gridCol w:w="109"/>
        <w:gridCol w:w="580"/>
        <w:gridCol w:w="1206"/>
        <w:gridCol w:w="328"/>
        <w:gridCol w:w="109"/>
        <w:gridCol w:w="109"/>
        <w:gridCol w:w="109"/>
        <w:gridCol w:w="235"/>
        <w:gridCol w:w="488"/>
        <w:gridCol w:w="133"/>
        <w:gridCol w:w="109"/>
        <w:gridCol w:w="109"/>
        <w:gridCol w:w="109"/>
        <w:gridCol w:w="196"/>
        <w:gridCol w:w="73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Series A Exchange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 noncurrent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15,720 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gains (losses) on the Company’s derivative instruments as presented in the Consolidated Statements of Operations are as follows (in thousands): </w:t>
      </w:r>
    </w:p>
    <w:tbl>
      <w:tblPr>
        <w:tblW w:w="4630" w:type="dxa"/>
        <w:jc w:val="left"/>
        <w:tblInd w:w="0" w:type="dxa"/>
        <w:tblLayout w:type="fixed"/>
        <w:tblCellMar>
          <w:top w:w="28" w:type="dxa"/>
          <w:left w:w="28" w:type="dxa"/>
          <w:bottom w:w="28" w:type="dxa"/>
          <w:right w:w="28" w:type="dxa"/>
        </w:tblCellMar>
      </w:tblPr>
      <w:tblGrid>
        <w:gridCol w:w="724"/>
        <w:gridCol w:w="637"/>
        <w:gridCol w:w="649"/>
        <w:gridCol w:w="204"/>
        <w:gridCol w:w="753"/>
        <w:gridCol w:w="113"/>
        <w:gridCol w:w="113"/>
        <w:gridCol w:w="113"/>
        <w:gridCol w:w="113"/>
        <w:gridCol w:w="204"/>
        <w:gridCol w:w="847"/>
        <w:gridCol w:w="160"/>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Swaps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(35,611)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(167,509)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Exchange Option</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(13,266)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(13,233)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loss, net</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(62,110)</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(168,700)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7 — Variable Interest Entities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Phase 1 Holdings, Train 4 Holdings, Train 5 Holdings, and their wholly owned subsidiaries were established to construct and operate Phase 1, Train 4, and Train 5 of the Rio Grande LNG Facility, respectively. The Company is not obligated to fund their losses.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equity investors at risk, as a group, lack the characteristics of a controlling financial interest. Additionally, through agreements with NextDecade LLC, the Company holds decision-making rights over construction and key operational aspects of Phase 1 LLC, Train 4 LLC, and Train 5 LLC, which agreements can only be terminated by equity holders for cause. Based on these factors, the Company holds a variable interest in Phase 1 Holdings, Train 4 Holdings, and Train 5 Holdings, and is their primary beneficiary, resulting in the consolidation of these entities in these Consolidated Financial Statements.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the summarized combined assets and liabilities (in thousands) of Phase 1 Holdings, Train 4 Holdings, and Train 5 Holdings, which are included in the Company’s Consolidated Balance Sheets. The assets in the table below may only be used to settle the obligations of Phase 1 Holdings, Train 4 Holdings, and Train 5 Holdings, respectively. In addition, there is no recourse to NextDecade for the consolidated VIE’s liabilities. The assets and liabilities in the table below include only the assets and liabilities of Phase 1 Holdings, Train 4 Holdings, Train 5 Holdings, and their respective subsidiaries and exclude intercompany balances between Phase 1 Holdings, Train 4 Holdings, and Train 5 Holdings and NextDecade, which are eliminated in the Consolidated Financial Statements of NextDecade.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tbl>
      <w:tblPr>
        <w:tblW w:w="6264" w:type="dxa"/>
        <w:jc w:val="left"/>
        <w:tblInd w:w="0" w:type="dxa"/>
        <w:tblLayout w:type="fixed"/>
        <w:tblCellMar>
          <w:top w:w="28" w:type="dxa"/>
          <w:left w:w="28" w:type="dxa"/>
          <w:bottom w:w="28" w:type="dxa"/>
          <w:right w:w="28" w:type="dxa"/>
        </w:tblCellMar>
      </w:tblPr>
      <w:tblGrid>
        <w:gridCol w:w="1105"/>
        <w:gridCol w:w="973"/>
        <w:gridCol w:w="981"/>
        <w:gridCol w:w="199"/>
        <w:gridCol w:w="979"/>
        <w:gridCol w:w="111"/>
        <w:gridCol w:w="109"/>
        <w:gridCol w:w="109"/>
        <w:gridCol w:w="109"/>
        <w:gridCol w:w="237"/>
        <w:gridCol w:w="1166"/>
        <w:gridCol w:w="186"/>
      </w:tblGrid>
      <w:tr>
        <w:trPr/>
        <w:tc>
          <w:tcPr>
            <w:tcW w:w="110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28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255,781 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486,221 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7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273,901 </w:t>
            </w:r>
          </w:p>
        </w:tc>
        <w:tc>
          <w:tcPr>
            <w:tcW w:w="11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493,440 </w:t>
            </w:r>
          </w:p>
        </w:tc>
        <w:tc>
          <w:tcPr>
            <w:tcW w:w="18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11,607,436 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10,563,022 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150,210 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fees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339,648 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367,022 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500,466 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532,245 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12,894,803 </w:t>
            </w:r>
          </w:p>
        </w:tc>
        <w:tc>
          <w:tcPr>
            <w:tcW w:w="11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12,127,435 </w:t>
            </w:r>
          </w:p>
        </w:tc>
        <w:tc>
          <w:tcPr>
            <w:tcW w:w="18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292,236 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438,498 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868,082 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829,340 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1,160,618 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1,270,585 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net</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7,928,837 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7,135,483 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104,460 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9,296,090 </w:t>
            </w:r>
          </w:p>
        </w:tc>
        <w:tc>
          <w:tcPr>
            <w:tcW w:w="1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8,617,180 </w:t>
            </w:r>
          </w:p>
        </w:tc>
        <w:tc>
          <w:tcPr>
            <w:tcW w:w="18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Related Party Transactions</w:t>
      </w:r>
    </w:p>
    <w:p>
      <w:pPr>
        <w:pStyle w:val="TextBody"/>
        <w:bidi w:val="0"/>
        <w:spacing w:lineRule="auto" w:line="288" w:before="120" w:after="283"/>
        <w:ind w:left="0" w:right="0" w:firstLine="720"/>
        <w:jc w:val="both"/>
        <w:rPr/>
      </w:pPr>
      <w:r>
        <w:rPr>
          <w:rFonts w:ascii="Times New Roman;serif" w:hAnsi="Times New Roman;serif"/>
          <w:b w:val="false"/>
          <w:color w:val="000000"/>
          <w:sz w:val="18"/>
        </w:rPr>
        <w:t xml:space="preserve">TotalEnergies SE and its subsidiaries (together, “TotalEnergies”) are related parties under Accounting Standards Codification 850, </w:t>
      </w:r>
      <w:r>
        <w:rPr>
          <w:rFonts w:ascii="Times New Roman;serif" w:hAnsi="Times New Roman;serif"/>
          <w:b w:val="false"/>
          <w:i/>
          <w:color w:val="000000"/>
          <w:sz w:val="18"/>
        </w:rPr>
        <w:t>Related Party Disclosures,</w:t>
      </w:r>
      <w:r>
        <w:rPr>
          <w:color w:val="000000"/>
        </w:rPr>
        <w:t xml:space="preserve"> </w:t>
      </w:r>
      <w:r>
        <w:rPr>
          <w:rFonts w:ascii="Times New Roman;serif" w:hAnsi="Times New Roman;serif"/>
          <w:b w:val="false"/>
          <w:color w:val="000000"/>
          <w:sz w:val="18"/>
        </w:rPr>
        <w:t>due to TotalEnergies’s ownership of more than 10% of the Company’s common stock. The Company entered into commercial and financing arrangements with TotalEnergies as part of the final investment decisions for Phase 1 and Train 4, including long-term LNG sale and purchase agreements for Phase 1 and Train 4 and equity commitments to Phase 1 Holdings and Train 4 Holdings. TotalEnergies also provides contingent credit support for the TCF Credit Agreement.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March 31, 2026, TotalEnergies contributed approximately $48.4 million under its equity commitments to Phase 1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8 — Loss Per Share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computation of basic and diluted loss per share is as follows (in thousands, except per share amounts):</w:t>
      </w:r>
    </w:p>
    <w:tbl>
      <w:tblPr>
        <w:tblW w:w="6699" w:type="dxa"/>
        <w:jc w:val="left"/>
        <w:tblInd w:w="0" w:type="dxa"/>
        <w:tblLayout w:type="fixed"/>
        <w:tblCellMar>
          <w:top w:w="28" w:type="dxa"/>
          <w:left w:w="28" w:type="dxa"/>
          <w:bottom w:w="28" w:type="dxa"/>
          <w:right w:w="28" w:type="dxa"/>
        </w:tblCellMar>
      </w:tblPr>
      <w:tblGrid>
        <w:gridCol w:w="1478"/>
        <w:gridCol w:w="1299"/>
        <w:gridCol w:w="1302"/>
        <w:gridCol w:w="204"/>
        <w:gridCol w:w="847"/>
        <w:gridCol w:w="113"/>
        <w:gridCol w:w="113"/>
        <w:gridCol w:w="113"/>
        <w:gridCol w:w="113"/>
        <w:gridCol w:w="204"/>
        <w:gridCol w:w="753"/>
        <w:gridCol w:w="160"/>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0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(136,406)</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(88,805)</w:t>
            </w:r>
          </w:p>
        </w:tc>
        <w:tc>
          <w:tcPr>
            <w:tcW w:w="16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 &amp; 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260,405 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common share — basic &amp; diluted</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Potentially dilutive shares related to unvested restricted stock and restricted stock units, outstanding stock options, the Warrants, and the Series A Exchange Option were excluded from the calculation of diluted loss per share because their effect would have been antidilutive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Note 9 — Commitments and Contingencies</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Legal Proceedings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From time to time the Company may be subject to various claims and legal actions that arise in the ordinary course of business. As of March 31, 2026, management is not aware of any claims or legal actions against the Company that, separately or in the aggregate, are likely to have a material adverse effect on the Company’s financial position, results of operations or cash flows, although the Company cannot guarantee that a material adverse effect will not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Note 10 — Supplemental Cash Flows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supplemental disclosure of cash flow information (in thousands):</w:t>
      </w:r>
    </w:p>
    <w:tbl>
      <w:tblPr>
        <w:tblW w:w="7419" w:type="dxa"/>
        <w:jc w:val="left"/>
        <w:tblInd w:w="0" w:type="dxa"/>
        <w:tblLayout w:type="fixed"/>
        <w:tblCellMar>
          <w:top w:w="28" w:type="dxa"/>
          <w:left w:w="28" w:type="dxa"/>
          <w:bottom w:w="28" w:type="dxa"/>
          <w:right w:w="28" w:type="dxa"/>
        </w:tblCellMar>
      </w:tblPr>
      <w:tblGrid>
        <w:gridCol w:w="1736"/>
        <w:gridCol w:w="1526"/>
        <w:gridCol w:w="1538"/>
        <w:gridCol w:w="226"/>
        <w:gridCol w:w="745"/>
        <w:gridCol w:w="125"/>
        <w:gridCol w:w="125"/>
        <w:gridCol w:w="125"/>
        <w:gridCol w:w="125"/>
        <w:gridCol w:w="226"/>
        <w:gridCol w:w="745"/>
        <w:gridCol w:w="177"/>
      </w:tblGrid>
      <w:tr>
        <w:trPr/>
        <w:tc>
          <w:tcPr>
            <w:tcW w:w="173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 classified as operating activities</w:t>
            </w:r>
          </w:p>
        </w:tc>
        <w:tc>
          <w:tcPr>
            <w:tcW w:w="2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37,772 </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27,299 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for acquisition of property, plant and equipment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251,513 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Accruals for acquisition of property, plant and equipment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850,477 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198,539 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settlement of warrant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 that was paid-in-kind</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Forward-Looking Statements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This Quarterly Report on Form 10-Q contains certain statements that are, or may be deemed to be, "forward-looking statements" within the meaning of Section 27A of the Securities Act of 1933, as amended (the “Securities Act”), and Section 21E of the Securities Exchange Act of 1934, as amended (the “Exchange Act”). All statements other than statements of historical fact contained in this Quarterly Report on Form 10-Q, including statements regarding our future results of operations and financial position, strategy and plans, and our expectations for future operations and economic performance, are forward-looking statements. The words “anticipate,” “contemplate,” “estimate,” “expect,” “project,” “plan,” “intend,” “target,” “believe,” “seek,” “may,” “might,” “will,” “would,” “could,” “should,” “can have,” “likely,” “continue,” “design,” “assume,” “budget,” “forecast,” “target,” and other words and terms of similar expressions, are intended to identify forward-looking statements.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based these forward-looking statements on assumptions and analysis made by us in light of our current expectations, perceptions of historical trends, current conditions and projections about future events and trends that we believe may affect our financial condition, results of operations, strategy, short-term and long-term business operations and objectives and financial needs.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Although we believe that the expectations reflected in our forward-looking statements are reasonable, actual results could differ from those expressed in our forward-looking statements. Our future financial position and results of operations, as well as any forward-looking statements, are subject to change and inherent risks and uncertainties, including those described in the section titled “Risk Factors” in our most recent Annual Report on Form 10-K as supplemented by Item 1A of this Quarterly Report on Form 10-Q. You should consider our forward-looking statements in light of a number of factors that may cause actual results to vary from our forward-looking statements including, but not limited to:</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progress in the development of our natural gas liquefaction and liquefied natural gas (“LNG”) export project and any carbon capture and storage projects (“CCS projects”) we may develop and the timing of that progress;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timing and cost of the development, construction and operation of the first five liquefaction trains and related common facilities of the multi-plant integrated natural gas liquefaction and LNG export facility to be located at the Port of Brownsville in southern Texas (the “Rio Grande LNG Facility”);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availability and frequency of cash distributions available to us from the Joint Ventures, which own Phase 1, Train 4, and Train 5 of the Rio Grande LNG Facility;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timing and cost of the development of subsequent liquefaction trains at the Rio Grande LNG Facility;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ability to generate sufficient cash flow to satisfy our and our subsidiaries’ significant debt service obligations or to refinance such obligations ahead of their maturity;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restrictions imposed by our or our subsidiaries’ debt agreements that limit flexibility in operating our business;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increases in interest rates increasing the cost of servicing indebtedness;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reliance on third parties to successfully complete the Rio Grande LNG Facility, any CCS projects we develop, and related pipelines and other infrastructure;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ability to develop and implement CCS projects;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ability to secure additional debt and equity financing in the future, including any refinancing of outstanding indebtedness, on commercially acceptable terms;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accuracy of estimated costs for the Rio Grande LNG Facility and any CCS projects;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ability to achieve operational characteristics of the Rio Grande LNG Facility and any CCS projects, when completed, including amounts of liquefaction capacities and amount of CO</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captured and stored, and any differences in such operational characteristics from our expectations;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development risks, operational hazards, and regulatory approvals applicable to the Rio Grande LNG Facility, our LNG and any CCS project development, construction and operation activities and those of our third-party contractors and counterparties;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ability to obtain or maintain governmental approvals to construct or operate the Rio Grande LNG Facility and any CCS projects;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technological innovation which may lessen our anticipated competitive advantage or demand for our offerings;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global demand for and price of LNG;</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availability of LNG vessels worldwide;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changes in legislation and regulations relating to the LNG and carbon capture industries, including environmental laws and regulations that impose significant compliance costs and liabilities;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scope of implementation of carbon pricing regimes aimed at reducing greenhouse gas emissions;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global development and maturation of emissions reduction credit markets;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adverse changes to existing or proposed carbon tax incentive regimes;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global pandemics, the Russia-Ukraine conflict, the conflict in the Middle East, other sources of volatility in the energy markets and their impact on our business and operating results, including any disruptions in our operations or development of the Rio Grande LNG Facility and the health and safety of our employees, and on our customers, the global economy and the demand for LNG or carbon capture;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risks related to doing business in and having counterparties in foreign countries, including as a result of tariffs;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ability to maintain the listing of our securities on the Nasdaq Capital Market or another securities exchange or quotation medium;</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changes adversely affecting the businesses in which we are engaged;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management of growth;</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general economic conditions, including inflation and rising interest rates;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ability to generate cash; and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result of future financing efforts and applications for customary tax incentives.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Should one or more of the foregoing risks or uncertainties materialize in a way that negatively impacts us, or should the assumptions underlying our forward-looking statements prove incorrect, our actual results may vary materially from those anticipated in our forward-looking statements, and our business, financial condition, and results of operations could be materially and adversely affected.</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forward-looking statements contained in this Quarterly Report on Form 10-Q are made as of the date of this Quarterly Report on Form 10-Q. You should not rely upon forward-looking statements as predictions of future events. In addition, neither we nor any other person assumes responsibility for the accuracy and completeness of any of these forward-looking statements. Except as required by applicable law, we do not undertake any obligation to publicly correct or update any forward-looking statement.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All forward-looking statements attributable to us are expressly qualified in their entirety by these cautionary statements as well as others made in our most recent Annual Report on Form 10-K as well as other filings we have made and will make with the Securities and Exchange Commission (the “SEC”) and our public communications. You should evaluate all forward-looking statements made by us in the context of these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Overview of Business and Significant Developments</w:t>
      </w:r>
    </w:p>
    <w:p>
      <w:pPr>
        <w:pStyle w:val="TextBody"/>
        <w:bidi w:val="0"/>
        <w:spacing w:lineRule="auto" w:line="288" w:before="120" w:after="283"/>
        <w:jc w:val="left"/>
        <w:rPr>
          <w:rFonts w:ascii="Times New Roman;serif" w:hAnsi="Times New Roman;serif"/>
          <w:b/>
          <w:i/>
          <w:color w:val="000000"/>
          <w:sz w:val="18"/>
        </w:rPr>
      </w:pPr>
      <w:r>
        <w:rPr>
          <w:rFonts w:ascii="Times New Roman;serif" w:hAnsi="Times New Roman;serif"/>
          <w:b/>
          <w:i/>
          <w:color w:val="000000"/>
          <w:sz w:val="18"/>
        </w:rPr>
        <w:t>Overview of Business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NextDecade Corporation, a Delaware corporation, is a Houston-based energy company primarily engaged in construction and development activities related to the liquefaction of natural gas and sale of LNG. We are constructing and developing a natural gas liquefaction and export facility located in the Rio Grande Valley near Brownsville, Texas (the “Rio Grande LNG Facility”). The first five liquefaction trains and related infrastructure (together, “Phase 1”, “Train 4”, and “Train 5”) at the Rio Grande LNG Facility are currently under construction. We are also developing and advancing the permitting process for expansion Trains 6 through 8 and exploring a potential carbon capture and storage (“CCS”) project at the Rio Grande LNG Facility.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focused on constructing and operating the Rio Grande LNG Facility safely, efficiently, on schedule, and on budget. We seek to deliver secure, affordable, and cleaner energy through the development and operation of liquefaction capacity at the Rio Grande LNG Facility.</w:t>
      </w:r>
    </w:p>
    <w:p>
      <w:pPr>
        <w:pStyle w:val="TextBody"/>
        <w:bidi w:val="0"/>
        <w:spacing w:lineRule="auto" w:line="288" w:before="120" w:after="283"/>
        <w:jc w:val="left"/>
        <w:rPr>
          <w:rFonts w:ascii="Times New Roman;serif" w:hAnsi="Times New Roman;serif"/>
          <w:b/>
          <w:i/>
          <w:color w:val="000000"/>
          <w:sz w:val="18"/>
        </w:rPr>
      </w:pPr>
      <w:r>
        <w:rPr>
          <w:rFonts w:ascii="Times New Roman;serif" w:hAnsi="Times New Roman;serif"/>
          <w:b/>
          <w:i/>
          <w:color w:val="000000"/>
          <w:sz w:val="18"/>
        </w:rPr>
        <w:t>Significant Recent Developments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Significant developments since January 1, 2026 include the following:</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Construction and Commissioning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Under the engineering, procurement, and construction (“EPC”) contracts with Bechtel Energy, Inc. (“Bechtel”), as of March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The overall project completion percentage for Trains 1 and 2 and the common facilities at the Rio Grande LNG Facility was 67.8%. Within this project completion percentage, engineering was 98.4% complete, procurement was 94.3% complete, and construction was 49.4% complete.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The overall project completion percentage for Train 3 at the Rio Grande LNG Facility was 44.2%. Within this project completion percentage, engineering was 91.4% complete, procurement was 82.6% complete, and construction was 11.4% complete.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The overall project completion percentage for Train 4 at the Rio Grande LNG Facility was 10.6%. Within this project completion percentage, engineering was 43.6% complete, procurement was 18.8% complete, and construction was 0.5% complete.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The overall project completion percentage for Train 5 at the Rio Grande LNG Facility was 6.8%. Within this project completion percentage, engineering was 11.7% complete, procurement was 15.3% complete, and construction was 0.0% complete.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Early electrical commissioning of Train 1 continues, and we expect first gas into the Rio Grande LNG Facility in the second half of 2026 and first LNG production from Train 1 in the first half of 2027.</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Strategic and Commercial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 early 2026, we began the marketing of early cargoes that we expect to produce in 2027 and 2028 prior to the commencement of our long-term LNG Sale and Purchase Agreements (“SPAs”). In February 2026, we entered into LNG sales agreements for the sale of over 175 TBtu of LNG on a free-on-board (“FOB”) basis, with fixed liquefaction fees that are expected to achieve a cargo margin, calculated as the FOB LNG sales price less our expected costs of natural gas feedstock and fuel, of over $3.00 per MMBtu. This volume represents 33% of our expected portfolio volumes from 2027 through early 2029.</w:t>
      </w:r>
    </w:p>
    <w:p>
      <w:pPr>
        <w:pStyle w:val="TextBody"/>
        <w:bidi w:val="0"/>
        <w:spacing w:lineRule="auto" w:line="288" w:before="120" w:after="283"/>
        <w:jc w:val="left"/>
        <w:rPr>
          <w:rFonts w:ascii="Times New Roman;serif" w:hAnsi="Times New Roman;serif"/>
          <w:b/>
          <w:i/>
          <w:color w:val="000000"/>
          <w:sz w:val="18"/>
        </w:rPr>
      </w:pPr>
      <w:r>
        <w:rPr>
          <w:rFonts w:ascii="Times New Roman;serif" w:hAnsi="Times New Roman;serif"/>
          <w:b/>
          <w:i/>
          <w:color w:val="000000"/>
          <w:sz w:val="18"/>
        </w:rPr>
        <w:t>Rio Grande LNG Facility Activity</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Liquefaction Facilities Overview and Construction Progress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constructing and developing the Rio Grande LNG Facility on the north shore of the Brownsville Ship Channel in south Texas. The site is located on approximately 1,000 acres of land, which has been leased long-term and includes 15,000 feet of frontage on the Brownsville Ship Channel. We believe the site is advantaged due to its proximity to abundant natural gas resources in the Permian Basin and Eagle Ford Shale, access to an uncongested waterway for vessel loading, and location in a region that has historically been subject to fewer and less severe weather events relative to other locations along the U.S. Gulf Coast. Trains 1 through 5 at the Rio Grande LNG Facility are under construction, and we are developing and advancing the permitting process for Trains 6 through 8. There is sufficient space at the Rio Grande LNG Facility site for up to 10 liquefaction trains.</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Construction commenced on Phase 1 at the Rio Grande LNG Facility in July 2023, on Train 4 in September 2025, and on Train 5 in October 2025, in each case following a positive final investment decision (“FID”) and the closing of project financing by the Company’s subsidiaries. Construction will be completed by Bechtel under fully wrapped, lump-sum turnkey EPC contracts, and the liquefaction trains will utilize Honeywell AP-C3MR liquefaction technology, which is a predominant liquefaction technology utilized globally.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combined scope of Phase 1, Train 4, and Train 5 includes five liquefaction trains with a total expected LNG production capacity of approximately 30 million tonnes per annum (“MTPA”), four 180,000 cubic meter full containment LNG storage tanks, two jetty berthing structures designed to load LNG carriers up to 216,000 cubic meters in capacity, and associated site infrastructure and common facilities including feed gas pretreatment facilities, electric and water utilities, ground flares, roads, levees surrounding the entire site, warehouses, and operations control room, maintenance, and administrative buildings.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Progress on Phase 1 as of March 2026 is ahead of the guaranteed completion schedule under the EPC contracts. Train 1 continues to progress across all areas, with focus on piping, equipment installation, cable pulling, testing, and system completions, and the main cryogenic heat exchanger (“MCHE”) has been successfully installed in Train 1. Construction activities for Trains 2 and 3 are advancing, including civil works, piping, structural steel, and equipment installation, with placement of the Train 2 compressor packages underway. Welding of the inner tanks is progressing for Tanks 1 and 2, and concrete roof placement has been completed for both tanks.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Progress on Train 4 as of March 2026 is in line with the EPC contract. Early civil works are progressing on Train 4, and production piling has commenced for Tank 3. Progress on Train 5 as of March 2026 is in line with the EPC contract, and site preparation activities are underway for Train 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Across the site as of March 2026, construction of all permanent buildings is progressing, installation of perimeter security fencing is underway, construction activities at the gas inlet area are ongoing, dredging activities for the berths and turning basin are substantially complete, and channel deepening is nearing completion.</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LNG Sale and Purchase Agreements for Trains 1 Through 5</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entered into long-term LNG sale and purchase agreements (“SPAs”) with 14 creditworthy counterparties for aggregate volumes of approximately 25.3 million tonnes per annum (“MTPA”) of LNG from Trains 1 through 5 at the Rio Grande LNG Facility. The SPAs have a weighted average term of 19.5 years. Under these SPAs, the customers will purchase LNG from the Rio Grande LNG Facility for a price consisting of a fixed fee per MMBtu of LNG plus a variable fee per MMBtu of LNG, with the variable fees structured to cover the expected cost of natural gas plus fuel and other sourcing costs to produce LNG. In certain circumstances, customers may elect to cancel or suspend deliveries of LNG cargoes, in which case the customers would still be required to pay the fixed fee with respect to cargoes that are not delivered. A portion of the fixed fee under each SPA will be subject to annual adjustment for inflation. The SPAs and contracted volumes to be made available under the SPAs are not tied to a specific train; however, the commencement of the term of each SPA is tied to a specified train.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Each of these SPAs is currently effective, and deliveries of LNG under these SPAs will commence on the respective Date of First Commercial Delivery (“DFCD”), which is primarily tied to the substantial completion or guaranteed substantial completion dates of specific trains as defined in each SPA. Of the SPAs for Trains 1 through 5, approximately 23.75 MTPA are linked to Henry Hub and have average fixed fees, unadjusted for inflation, totaling approximately $3.0 billion expected to be paid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Marketing of Uncontracted Volumes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expect to sell any commissioning LNG volumes and operational LNG volumes in excess of SPA volumes (“portfolio volumes”) into the LNG market through spot, short-term, and medium-term agreements. We have entered into certain time charter agreements and expect to enter into additional time charter agreements with vessel owners to provide shipping capacity for LNG sales related to our 1.0 MTPA delivered ex-ship SPA, expected commissioning volumes, and expected portfolio volumes. We have also entered into certain subcharter agreements and may enter into additional subcharter agreements with third parties from time to time to manage our LNG shipping needs relative to chartered capacity.</w:t>
      </w:r>
    </w:p>
    <w:p>
      <w:pPr>
        <w:pStyle w:val="TextBody"/>
        <w:bidi w:val="0"/>
        <w:spacing w:lineRule="auto" w:line="288" w:before="120" w:after="283"/>
        <w:jc w:val="both"/>
        <w:rPr/>
      </w:pPr>
      <w:r>
        <w:rPr>
          <w:rFonts w:ascii="Times New Roman;serif" w:hAnsi="Times New Roman;serif"/>
          <w:b w:val="false"/>
          <w:i/>
          <w:color w:val="000000"/>
          <w:sz w:val="18"/>
        </w:rPr>
        <w:t>Engineering, Procurement and Construction (</w:t>
      </w:r>
      <w:r>
        <w:rPr>
          <w:color w:val="000000"/>
        </w:rPr>
        <w:t>“</w:t>
      </w:r>
      <w:r>
        <w:rPr>
          <w:rFonts w:ascii="Times New Roman;serif" w:hAnsi="Times New Roman;serif"/>
          <w:b w:val="false"/>
          <w:i/>
          <w:color w:val="000000"/>
          <w:sz w:val="18"/>
        </w:rPr>
        <w:t>EPC</w:t>
      </w:r>
      <w:r>
        <w:rPr>
          <w:color w:val="000000"/>
        </w:rPr>
        <w:t>”</w:t>
      </w:r>
      <w:r>
        <w:rPr>
          <w:rFonts w:ascii="Times New Roman;serif" w:hAnsi="Times New Roman;serif"/>
          <w:b w:val="false"/>
          <w:color w:val="000000"/>
          <w:sz w:val="18"/>
        </w:rPr>
        <w: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entered into fully wrapped, lump-sum turnkey contracts with Bechtel, a well-established and reputable LNG engineering and construction firm, for the engineering, procurement, and construction of Phase 1, Train 4, and Train 5 at the Rio Grande LNG Facility, under which Bechtel has generally guaranteed cost, performance, and schedule. Under these EPC contracts, Bechtel is responsible for the engineering, procurement, construction, commissioning, and startup of liquefaction trains and their respective related infrastructure.</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July 12, 2023, we issued final notice to proceed to Bechtel under the EPC contracts for Phase 1. Total expected capital costs for Phase 1 are estimated to be approximately $18.0 billion, including estimated EPC costs, owner’s costs, contingencies, and financing costs, and including amounts spent prior to FID under limited notices to proceed.</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September 9, 2025, we issued final notice to proceed to Bechtel under the EPC contract for Train 4. Total expected capital costs for Train 4 are estimated to be approximately $6.7 billion, including estimated EPC costs, owner’s costs, contingencies, financing costs, and other costs, including a payment to be made at the commencement of operations to the trains in commercial operation at such date for Train 4’s proportionate share of the capital costs of the common facilities it will access, net of the capital cost of any common facilities constructed under the Train 4 EPC contract.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October 16, 2025, we issued final notice to proceed to Bechtel under the EPC contract for Train 5. Total expected capital costs for Train 5 are estimated to be approximately $6.7 billion, including estimated EPC costs, owner’s costs, contingencies, financing costs, and other costs, including a payment to be made at the commencement of operations to the trains in commercial operation at such date for Train 5’s proportionate share of the capital costs of the common facilities it will access, net of the capital cost of any common facilities constructed under the Train 5 EPC contract.</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Natural Gas Transportation and Supply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in the process of executing a substantial and diversified natural gas feedstock sourcing and transportation strategy to spread risk exposure across multiple contracts, counterparties, and pricing hubs. We expect to enter into gas supply arrangements with a wide range of suppliers, and we also expect to leverage trading platforms and exchanges to lock in natural gas supply prices and/or hedge risk.</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entered into agreements for transportation of natural gas to the Rio Grande LNG Facility on both a firm and interruptible basis to support commissioning and operations and provide the ability to purchase natural gas supplies at the Agua Dulce Hub and other physical access points, giving us access to prolific gas production from the Permian Basin, Eagle Ford Shale, and additional basins, and providing significant flexibility to obtain competitively priced natural gas feedstock.</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our proximity to major reserve basins and shale plays, increasing pipeline capacity in the area, a significant amount of natural gas production and infrastructure investment, as well as our existing contacts and discussions with some of the largest regional operators, represent key elements of a comprehensive and effective feed gas strategy.</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NextDecade Economic Interest in Trains 1 Through 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a joint venture agreement with equity partners for ownership of Phase 1 at the Rio Grande LNG Facility, we expect to receive up to approximately 20.8% of distributions of available cash generated from Phase 1 operations, provided that a majority of the cash distributions to which we are otherwise entitled will be paid for any distribution period only after our equity partners receive an agreed distribution threshold in respect of such distribution period and certain other deficit payments from prior distribution periods, if any, are made.</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a joint venture agreement with equity partners for ownership of Train 4 at the Rio Grande LNG Facility, we expect to receive 40% of distributions of available cash generated from Train 4 operations, which will increase to 60% when our equity partners receive a certain return on their investments in Train 4.</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a joint venture agreement with equity partners for ownership of Train 5 at the Rio Grande LNG Facility, we expect to receive 50% of distributions of available cash generated from Train 5 operations, which will increase to 70% when our equity partners receive a certain return on their investments in Train 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Development of Additional Liquefaction Capacity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developing and advancing the permitting process for Trains 6 through 8 at the Rio Grande LNG Facility site, which are currently wholly owned by NextDecade and are cumulatively expected to increase the Company’s total liquefaction capacity by approximately 18 MTPA once constructed and placed into operation.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Train 6 is being developed inside the existing levee at the Rio Grande LNG Facility site and adjacent to Trains 1 through 5. In November 2025, we initiated the pre-filing process with FERC for expansion at the Rio Grande LNG Facility that includes Train 6 and an additional marine berth, and we expect to file a formal application for this expansion with FERC before the end of the second quarter of 2026. We are evaluating multiple areas on the site for the development of Trains 7 and 8 and expect to advance the development of these trains throughout 2026.</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There is sufficient space at the Rio Grande LNG Facility site for up to 10 liquefaction trains.</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Governmental Permits, Approvals and Authorizations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obtained all major permits required to build and export LNG from the first five liquefaction trains and related infrastructure at the Rio Grande Facility, including Federal Energy Regulatory Commission (“FERC”) approval and Department of Energy FTA and non-FTA authorizations.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August 2025, the FERC issued a final order on remand (“Remand Order”) reaffirming its authorization for the siting, construction, and operation of the first five liquefaction trains at the Rio Grande LNG Facility, following the issuance of a supplemental Environmental Impact Statement (“SEIS”) in July 2025. In September 2025, certain intervenors filed a request for rehearing of the Remand Order. FERC denied that request by operation of law on October 30, 2025, and issued a substantive order on rehearing in March 2026 that reaffirmed its authorization for the first five liquefaction trains, rendering the Remand Order no longer appealable to FERC. In December 2025, the same intervenors petitioned the D.C. Circuit to review the Remand Order, and that appeal remains pending.</w:t>
      </w:r>
    </w:p>
    <w:p>
      <w:pPr>
        <w:pStyle w:val="TextBody"/>
        <w:bidi w:val="0"/>
        <w:spacing w:lineRule="auto" w:line="288" w:before="120" w:after="283"/>
        <w:jc w:val="both"/>
        <w:rPr>
          <w:rFonts w:ascii="Times New Roman;serif" w:hAnsi="Times New Roman;serif"/>
          <w:b/>
          <w:i/>
          <w:color w:val="000000"/>
          <w:sz w:val="18"/>
        </w:rPr>
      </w:pPr>
      <w:r>
        <w:rPr>
          <w:rFonts w:ascii="Times New Roman;serif" w:hAnsi="Times New Roman;serif"/>
          <w:b/>
          <w:i/>
          <w:color w:val="000000"/>
          <w:sz w:val="18"/>
        </w:rPr>
        <w:t>Corporate and Other Activities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required to maintain corporate and general and administrative functions to serve our business activities described above, including the construction of Trains 1 through 5, the development of Trains 6 through 8, and exploring the potential development of a CCS project at the Rio Grande LNG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Following FID on Trains 1 through 5 and the project financing obtained by the Company’s subsidiaries, Phase 1 LLC, Train 4 LLC, and Train 5 LLC (together, the “Rio Grande Project Entities”) operate with independent capital structures. Although our sources and uses are presented from a consolidated standpoint, certain restrictions under debt and equity agreements limit the ability of NextDecade and the Rio Grande Project Entities to use and distribute cash. The Rio Grande Project Entities are required to deposit all cash received under their respective debt agreements into restricted accounts. The usage or withdrawal of such cash is restricted to the payment of obligations related to their respective trains and common infrastructure and other restricted payments, and such cash and capital resources are not available to service the obligations of NextDecade.</w:t>
      </w:r>
    </w:p>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Phase 1 FID Financing</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connection with the FID on Phase 1 at the Rio Grande LNG Facility, Phase 1 LLC obtained approximately $6.2 billion in equity capital commitments, inclusive of commitments from NextDecade, entered into senior secured non-recourse bank credit facilities of $11.6 billion, consisting of $11.1 billion in construction term loans and a $500 million working capital facility, and closed a $700 million senior secured non-recourse private notes offering. Phase 1 LLC expects to utilize these capital resources to fund the total cost of Phase 1, which is currently estimated at $18.0 billion and consists of EPC costs, owner’s costs and contingencies, dredging for the Brazos Island Harbor Channel Improvement Project, conservation of more than 4,000 acres of wetland and wildlife habitat area and installation of utilities, interest during construction and other financing costs, and including amounts spent prior to FID under limited notices to proceed. Phase 1 LLC has refinanced a total of over $1.85 billion of its original $11.1 billion term loan facilities since July 2023 through the issuance of senior secured notes and loans.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April 2025, Phase 1 LLC elected to terminate $250 million of commitments under its working capital facility due to a decrease in expected requirements for credit support during construction, which reduced the outstanding commitments under the working capital facility to $250 million.</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Train 4 FID Financing</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connection with the FID on Train 4 at the Rio Grande LNG Facility, Train 4 LLC obtained approximately $2.8 billion in equity capital commitments, inclusive of commitments from NextDecade, and entered into a senior secured non-recourse bank credit facility of approximately $3.8 billion. Train 4 LLC expects to utilize these capital resources to fund the total cost of Train 4 and related infrastructure, which is currently estimated at $6.7 billion and consists of EPC costs, owner’s costs and contingencies, interest during construction and other financing costs, and other costs, including a payment for usage of common infrastructure at the Rio Grande LNG Facility.</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Train 5 FID Financing</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FID on Train 5 at the Rio Grande LNG Facility, Train 5 LLC obtained approximately $2.6 billion in equity capital commitments, inclusive of commitments from NextDecade, entered into a senior secured non-recourse bank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of approximately $3.6 billion, and closed a $500 million senior secured non-recourse private notes offering. Train 5 LLC expects to utilize these capital resources to fund the total cost of Train 5 and related infrastructure, which is currently estimated at $6.7 billion and consists of EPC costs, owner’s costs and contingencies, interest during construction and other financing costs, and other costs, including a payment for usage of common infrastructure at the Rio Grande LNG Facility.</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Near Term Liquidity and Capital Resources of NextDecade Corporation</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Following the respective FIDs of Phase 1, Train 4, and Train 5, costs associated with the EPC agreements, Rio Grande site lease, and other Phase 1, Train 4, and Train 5 related costs are being funded by debt and equity proceeds received by the Rio Grande Project Entities. Our primary corporate cash needs are capital contributions to Trains 4 and 5, development expenses for expansion projects, and general and administrative expenses. </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connection with the FIDs of Train 4 and Train 5, we committed to make approximately $2.4 billion in equity capital contributions for Train 4 and 5 in the aggregate. At the FIDs of Train 4 and Train 5, we used the net proceeds of the Super FinCo $1.2 billion term loans and cash on hand to fund a portion of our equity commitments for Train 4 and Train 5. We expect to fund the remainder of our equity commitments to Trains 4 and 5 using borrowings under the FinCo Credit Agreement.</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Train 4 LLC will pay NextDecade LLC, our wholly owned subsidiary and the entity that manages the construction, commissioning, and operation of the Rio Grande LNG Facility on behalf of Phase 1, Train 4, and Train 5, a $50 million fee in September 2026 for services to be rendered by NextDecade LLC in support of Train 4.</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Because our businesses and assets are under construction or in development, we have not historically generated significant cash flow from operations, and we do not expect to do so until liquefaction trains at the Rio Grande LNG Facility begin operating. We intend to fund development activities for the foreseeable future with our cash and cash equivalents on hand, the services fee due in September 2026, and through the sale of additional equity, equity-based or debt securities in us or in our subsidiaries. There can be no assurance that we will succeed in selling such securities or, if successful, that the capital we raise will not be expensive or dilutive to stockholders.</w:t>
      </w:r>
    </w:p>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Long Term Liquidity and Capital Resources of NextDecade Corporation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will not receive significant cash flows from liquefaction trains at the Rio Grande LNG Facility until they are operational, and the commercial operation dates for Trains 1 through 5 range from late 2027 for Train 1 through the first half of 2031 for Train 5, based on the guaranteed schedule under the EPC contracts. Any future development of liquefaction trains and any potential CCS project at the Rio Grande LNG Facility will similarly take an extended period of time to develop, construct and become operational and will require significant capital deployment.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currently expect that the long-term capital requirements for future development of liquefaction trains and any potential CCS project at the Rio Grande LNG Facility will be financed predominantly through the proceeds from future debt, equity-based, and equity offerings by us or our subsidiaries. As a result, our business success will depend, to a significant extent, upon our ability to obtain financing required to fund future development and construction at the Rio Grande LNG Facility, to bring assets into operation on a commercially viable basis, and to finance any required increases in staffing, operating, and expansion costs during that process. There can be no assurance that we will succeed in securing additional debt and/or equity financing in the future to fund future development and construction at the Rio Grande LNG Facility, or, if successful, that the capital we raise will not be expensive or dilutive to stockholders. Additionally, if these types of financing are not available, we will be required to seek alternative sources of financing, which may not be available on terms acceptable to us, if at all.</w:t>
      </w:r>
    </w:p>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Sources and Uses of Cash</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sources and uses of our cash for the periods presented (in thousands):</w:t>
      </w:r>
    </w:p>
    <w:tbl>
      <w:tblPr>
        <w:tblW w:w="7273" w:type="dxa"/>
        <w:jc w:val="left"/>
        <w:tblInd w:w="0" w:type="dxa"/>
        <w:tblLayout w:type="fixed"/>
        <w:tblCellMar>
          <w:top w:w="28" w:type="dxa"/>
          <w:left w:w="28" w:type="dxa"/>
          <w:bottom w:w="28" w:type="dxa"/>
          <w:right w:w="28" w:type="dxa"/>
        </w:tblCellMar>
      </w:tblPr>
      <w:tblGrid>
        <w:gridCol w:w="1685"/>
        <w:gridCol w:w="1480"/>
        <w:gridCol w:w="1485"/>
        <w:gridCol w:w="203"/>
        <w:gridCol w:w="842"/>
        <w:gridCol w:w="113"/>
        <w:gridCol w:w="113"/>
        <w:gridCol w:w="113"/>
        <w:gridCol w:w="113"/>
        <w:gridCol w:w="203"/>
        <w:gridCol w:w="764"/>
        <w:gridCol w:w="159"/>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w:t>
            </w:r>
          </w:p>
        </w:tc>
        <w:tc>
          <w:tcPr>
            <w:tcW w:w="2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(110,834)</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(68,826)</w:t>
            </w:r>
          </w:p>
        </w:tc>
        <w:tc>
          <w:tcPr>
            <w:tcW w:w="15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cash flows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(1,176,674)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(779,409)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1,045,483 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841,621 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104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(242,025)</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(6,614)</w:t>
            </w:r>
          </w:p>
        </w:tc>
        <w:tc>
          <w:tcPr>
            <w:tcW w:w="15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707,088 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392,761 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2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465,063 </w:t>
            </w:r>
          </w:p>
        </w:tc>
        <w:tc>
          <w:tcPr>
            <w:tcW w:w="11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386,147 </w:t>
            </w:r>
          </w:p>
        </w:tc>
        <w:tc>
          <w:tcPr>
            <w:tcW w:w="15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Cash used in operating activities for the three months ended March 31, 2026 increased by approximately $42.0 million compared to the same period in 2025 primarily due to changes in working capital and increased interest payments.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Cash used in investing activities for the three months ended March 31, 2026 increased by approximately $397.3 million compared to the same period in 2025 primarily due to increased expenditures associated with construction of the Rio Grande LNG Facility, including expenditures related to Trains 4 and 5, which achieved positive FID and began construction in the second half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720"/>
        <w:jc w:val="both"/>
        <w:rPr/>
      </w:pPr>
      <w:r>
        <w:rPr>
          <w:rFonts w:ascii="Times New Roman;serif" w:hAnsi="Times New Roman;serif"/>
          <w:b w:val="false"/>
          <w:color w:val="000000"/>
          <w:sz w:val="18"/>
        </w:rPr>
        <w:t>Cash provided by financing activities for the three months ended March 31, 2026 increased by approximately $203.9 million</w:t>
      </w:r>
      <w:r>
        <w:rPr>
          <w:color w:val="000000"/>
        </w:rPr>
        <w:t xml:space="preserve"> </w:t>
      </w:r>
      <w:r>
        <w:rPr>
          <w:rFonts w:ascii="Times New Roman;serif" w:hAnsi="Times New Roman;serif"/>
          <w:b w:val="false"/>
          <w:color w:val="000000"/>
          <w:sz w:val="18"/>
        </w:rPr>
        <w:t>compared to the same period in 2025. The increase was primarily due to an increase of approximately $172.0 million in proceeds from debt issuance and an increase of approximately $33.7 million</w:t>
      </w:r>
      <w:r>
        <w:rPr>
          <w:color w:val="000000"/>
        </w:rPr>
        <w:t xml:space="preserve"> </w:t>
      </w:r>
      <w:r>
        <w:rPr>
          <w:rFonts w:ascii="Times New Roman;serif" w:hAnsi="Times New Roman;serif"/>
          <w:b w:val="false"/>
          <w:color w:val="000000"/>
          <w:sz w:val="18"/>
        </w:rPr>
        <w:t>in receipts of equity commitments related primarily to construction at the Rio Grande LNG Facility, including impacts of Trains 4 and 5 which achieved positive FID in the second half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 xml:space="preserve">Results of Operations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costs, expenses and other income for the periods indicated (in thousands):</w:t>
      </w:r>
    </w:p>
    <w:tbl>
      <w:tblPr>
        <w:tblW w:w="8048" w:type="dxa"/>
        <w:jc w:val="left"/>
        <w:tblInd w:w="0" w:type="dxa"/>
        <w:tblLayout w:type="fixed"/>
        <w:tblCellMar>
          <w:top w:w="28" w:type="dxa"/>
          <w:left w:w="28" w:type="dxa"/>
          <w:bottom w:w="28" w:type="dxa"/>
          <w:right w:w="28" w:type="dxa"/>
        </w:tblCellMar>
      </w:tblPr>
      <w:tblGrid>
        <w:gridCol w:w="1395"/>
        <w:gridCol w:w="1224"/>
        <w:gridCol w:w="1235"/>
        <w:gridCol w:w="109"/>
        <w:gridCol w:w="109"/>
        <w:gridCol w:w="210"/>
        <w:gridCol w:w="210"/>
        <w:gridCol w:w="379"/>
        <w:gridCol w:w="1569"/>
        <w:gridCol w:w="210"/>
        <w:gridCol w:w="109"/>
        <w:gridCol w:w="109"/>
        <w:gridCol w:w="109"/>
        <w:gridCol w:w="196"/>
        <w:gridCol w:w="721"/>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49,941 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(55,115)</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(79,247)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(195,040)</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(245,228)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(195,040)</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(245,228)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(58,634)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(136,406)</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 was approximately $136.4 million for the three months ended March 31, 2026 compared to net loss of approximately $88.8 million during the same period in 2025. The approximately $47.6 million increase was primarily a result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General and administrative expenses increased by approximately $5.0 million primarily due to an increase in headcount to support the commencement of operations at the Rio Grande LNG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Derivative loss, net decreased by approximately $106.6 million primarily driven by higher forward SOFR rates, which decreased the fair-value loss on the Company’s interest rate swap portfolio, partially offset by losses on the Series A Exchange Option and Warrants with no comparable activity during the same period in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Interest expense increased by approximately</w:t>
      </w:r>
      <w:r>
        <w:rPr>
          <w:color w:val="000000"/>
        </w:rPr>
        <w:t xml:space="preserve"> </w:t>
      </w:r>
      <w:r>
        <w:rPr>
          <w:rFonts w:ascii="Times New Roman;serif" w:hAnsi="Times New Roman;serif"/>
          <w:b w:val="false"/>
          <w:color w:val="000000"/>
          <w:sz w:val="18"/>
        </w:rPr>
        <w:t>$52.0 million primarily due to additional borrowings to construct the Rio Grande LNG Facility. This resulted in an approximate $93.5 million increase in interest on debt obligations, partially offset by a $64.4 million increase in capitalized interest.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Net loss attributable to non-controlling interests for the three months ended March 31, 2026, decreased by approximately $97.8 million primarily due to changes in interest rate swap derivatives and interest expense recognized within the Joint Ventures’ net loss and consolidated in the Company’s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Summary of Critical Accounting Estimates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preparation of our Consolidated Financial Statements in conformity with GAAP requires management to make certain estimates and assumptions that affect the amounts reported in the Consolidated Financial Statements and the accompanying notes. There were no material changes made by management to the critical accounting estimates in the three months ended March 31, 2026. Please refer to the “Summary of Critical Accounting Estimates” section within “Management’s Discussion and Analysis of Financial Condition and Results of Operations” in our Annual Report on Form 10-K for the year ended December 31, 2025 for a discussion of our 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There were no material changes to the market risks previously discussed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We maintain disclosure controls and procedures designed to ensure that information required to be disclosed in the reports filed by us under the Exchange Act is recorded, processed, summarized and reported within the time periods specified in the SEC’s rules and forms, and that such information is accumulated and communicated to management, including our principal executive and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financial officers, as appropriate to allow timely decisions regarding required disclosure. As of the end of the period covered by this report, we evaluated, with the participation of our Chief Executive Officer and our Chief Financial Officer, the effectiveness of our disclosure controls and procedures pursuant to Rule 13a-15 of the Exchange Act. Based on that evaluation, our Chief Executive Officer and our Chief Financial Officer concluded that our disclosure controls and procedures were effective as of March 31, 2026.</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most recent fiscal quarter, there have been no changes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1.</w:t>
      </w:r>
      <w:r>
        <w:rPr>
          <w:color w:val="000000"/>
        </w:rPr>
        <w:t xml:space="preserve"> </w:t>
      </w:r>
      <w:r>
        <w:rPr>
          <w:rFonts w:ascii="Times New Roman;serif" w:hAnsi="Times New Roman;serif"/>
          <w:b/>
          <w:color w:val="000000"/>
          <w:sz w:val="18"/>
        </w:rPr>
        <w:t>Legal Proceedings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1A.</w:t>
      </w:r>
      <w:r>
        <w:rPr>
          <w:color w:val="000000"/>
        </w:rPr>
        <w:t xml:space="preserve"> </w:t>
      </w:r>
      <w:r>
        <w:rPr>
          <w:rFonts w:ascii="Times New Roman;serif" w:hAnsi="Times New Roman;serif"/>
          <w:b/>
          <w:color w:val="000000"/>
          <w:sz w:val="18"/>
        </w:rPr>
        <w:t>Risk Factors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There were no material changes to the risk factors previously disclosed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2.</w:t>
      </w:r>
      <w:r>
        <w:rPr>
          <w:color w:val="000000"/>
        </w:rPr>
        <w:t xml:space="preserve"> </w:t>
      </w:r>
      <w:r>
        <w:rPr>
          <w:rFonts w:ascii="Times New Roman;serif" w:hAnsi="Times New Roman;serif"/>
          <w:b/>
          <w:color w:val="000000"/>
          <w:sz w:val="18"/>
        </w:rPr>
        <w:t xml:space="preserve">Unregistered Sales of Equity Securities and Use of Proceeds </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Purchases of Equity Securities by the Issuer</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stock repurchases for the three months ended March 31, 2026:</w:t>
      </w:r>
    </w:p>
    <w:tbl>
      <w:tblPr>
        <w:tblW w:w="10205" w:type="dxa"/>
        <w:jc w:val="left"/>
        <w:tblInd w:w="0" w:type="dxa"/>
        <w:tblLayout w:type="fixed"/>
        <w:tblCellMar>
          <w:top w:w="28" w:type="dxa"/>
          <w:left w:w="28" w:type="dxa"/>
          <w:bottom w:w="28" w:type="dxa"/>
          <w:right w:w="28" w:type="dxa"/>
        </w:tblCellMar>
      </w:tblPr>
      <w:tblGrid>
        <w:gridCol w:w="362"/>
        <w:gridCol w:w="264"/>
        <w:gridCol w:w="267"/>
        <w:gridCol w:w="109"/>
        <w:gridCol w:w="109"/>
        <w:gridCol w:w="109"/>
        <w:gridCol w:w="528"/>
        <w:gridCol w:w="528"/>
        <w:gridCol w:w="529"/>
        <w:gridCol w:w="109"/>
        <w:gridCol w:w="109"/>
        <w:gridCol w:w="109"/>
        <w:gridCol w:w="339"/>
        <w:gridCol w:w="806"/>
        <w:gridCol w:w="188"/>
        <w:gridCol w:w="109"/>
        <w:gridCol w:w="109"/>
        <w:gridCol w:w="109"/>
        <w:gridCol w:w="845"/>
        <w:gridCol w:w="845"/>
        <w:gridCol w:w="848"/>
        <w:gridCol w:w="109"/>
        <w:gridCol w:w="109"/>
        <w:gridCol w:w="109"/>
        <w:gridCol w:w="743"/>
        <w:gridCol w:w="743"/>
        <w:gridCol w:w="1062"/>
      </w:tblGrid>
      <w:tr>
        <w:trPr/>
        <w:tc>
          <w:tcPr>
            <w:tcW w:w="3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 xml:space="preserve">Total Number of Shares Purchased </w:t>
            </w:r>
            <w:r>
              <w:rPr>
                <w:rFonts w:ascii="Times New Roman;serif" w:hAnsi="Times New Roman;serif"/>
                <w:b/>
                <w:color w:val="000000"/>
                <w:sz w:val="12"/>
                <w:shd w:fill="FFFFFF" w:val="clear"/>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Average Price Paid Per Share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a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Maximum Number of Shares That May Yet Be Purchased Under the Plans</w:t>
            </w:r>
          </w:p>
        </w:tc>
      </w:tr>
      <w:tr>
        <w:trPr/>
        <w:tc>
          <w:tcPr>
            <w:tcW w:w="89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8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March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120" w:after="283"/>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Represents shares of Company common stock surrendered to us by participants in the 2017 Omnibus Incentive Plan, as amended (the “2017 Plan”), to settle the participants’ personal tax liabilities that resulted from the lapsing of restrictions on awards made to the participants under the 2017 Plan.</w:t>
      </w:r>
    </w:p>
    <w:p>
      <w:pPr>
        <w:pStyle w:val="TextBody"/>
        <w:bidi w:val="0"/>
        <w:spacing w:lineRule="auto" w:line="288" w:before="120" w:after="283"/>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The price paid per share of Company common stock was based on the closing trading price of such stock on the dates on which we repurchased shares of Company common stock from the participants under the 2017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3.</w:t>
      </w:r>
      <w:r>
        <w:rPr>
          <w:color w:val="000000"/>
        </w:rPr>
        <w:t xml:space="preserve"> </w:t>
      </w:r>
      <w:r>
        <w:rPr>
          <w:rFonts w:ascii="Times New Roman;serif" w:hAnsi="Times New Roman;serif"/>
          <w:b/>
          <w:color w:val="000000"/>
          <w:sz w:val="18"/>
        </w:rPr>
        <w:t>Defaults Upon Senior Securities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4.</w:t>
      </w:r>
      <w:r>
        <w:rPr>
          <w:color w:val="000000"/>
        </w:rPr>
        <w:t xml:space="preserve"> </w:t>
      </w:r>
      <w:r>
        <w:rPr>
          <w:rFonts w:ascii="Times New Roman;serif" w:hAnsi="Times New Roman;serif"/>
          <w:b/>
          <w:color w:val="000000"/>
          <w:sz w:val="18"/>
        </w:rPr>
        <w:t>Mine Safety Disclosures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5.</w:t>
      </w:r>
      <w:r>
        <w:rPr>
          <w:color w:val="000000"/>
        </w:rPr>
        <w:t xml:space="preserve"> </w:t>
      </w:r>
      <w:r>
        <w:rPr>
          <w:rFonts w:ascii="Times New Roman;serif" w:hAnsi="Times New Roman;serif"/>
          <w:b/>
          <w:color w:val="000000"/>
          <w:sz w:val="18"/>
        </w:rPr>
        <w:t>Other Information</w:t>
      </w:r>
    </w:p>
    <w:p>
      <w:pPr>
        <w:pStyle w:val="TextBody"/>
        <w:bidi w:val="0"/>
        <w:spacing w:lineRule="auto" w:line="288" w:before="12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Securities Trading Plans of Directors and Executive Officers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March 31, 2026,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Item 6. Exhibits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4"/>
        <w:gridCol w:w="241"/>
        <w:gridCol w:w="242"/>
        <w:gridCol w:w="109"/>
        <w:gridCol w:w="109"/>
        <w:gridCol w:w="109"/>
        <w:gridCol w:w="2679"/>
        <w:gridCol w:w="2650"/>
        <w:gridCol w:w="3792"/>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ind w:left="0" w:right="0" w:hanging="144"/>
              <w:jc w:val="left"/>
              <w:rPr>
                <w:sz w:val="4"/>
                <w:szCs w:val="4"/>
              </w:rPr>
            </w:pPr>
            <w:r>
              <w:rPr>
                <w:sz w:val="4"/>
                <w:szCs w:val="4"/>
              </w:rPr>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8"/>
              </w:rPr>
            </w:pPr>
            <w:r>
              <w:rPr>
                <w:rFonts w:ascii="Times New Roman;serif" w:hAnsi="Times New Roman;serif"/>
                <w:b/>
                <w:color w:val="000000"/>
                <w:sz w:val="18"/>
              </w:rPr>
              <w:t>Description</w:t>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18"/>
                  <w:u w:val="single"/>
                </w:rPr>
                <w:t>Second Amended and Restated Certificate of Incorporation of NextDecade Corporation, dated July 24, 2017(Incorporated by reference to Exhibit 3.1 of the Registrant’s Current Report on Form 8-K, filed July 28, 2017).</w:t>
              </w:r>
            </w:hyperlink>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18"/>
                  <w:u w:val="single"/>
                </w:rPr>
                <w:t>Amended and Restated Bylaws of NextDecade Corporation, as amended March 3, 2021(Incorporated by reference to Exhibit 4.2 of the Registrant’s Registration Statement on Form S-1 filed June 24, 2022).</w:t>
              </w:r>
            </w:hyperlink>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18"/>
                  <w:u w:val="single"/>
                </w:rPr>
                <w:t>Certificate of Designations of Series A Convertible Preferred Stock, dated August 9, 2018 (Incorporated by reference to Exhibit 4.3 of the Registrant’s Registration Statement on Form S-3, filed December 20, 2018).</w:t>
              </w:r>
            </w:hyperlink>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FF"/>
                  <w:sz w:val="18"/>
                  <w:u w:val="single"/>
                </w:rPr>
                <w:t>Certificate of Designations of Series B Convertible Preferred Stock, dated September 28, 2018 (Incorporated by reference to Exhibit 3.4 of the Registrant’s Quarterly Report on Form 10-Q, filed November 9, 2018).</w:t>
              </w:r>
            </w:hyperlink>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18"/>
                  <w:u w:val="single"/>
                </w:rPr>
                <w:t xml:space="preserve">Certificate of Designations of Series C Convertible Preferred Stock, dated March 17, 2021 (Incorporated by reference to Exhibit 3.1 of the Registrant’s Current Report on Form 8-K, filed March 18, 2021). </w:t>
              </w:r>
            </w:hyperlink>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18"/>
                  <w:u w:val="single"/>
                </w:rPr>
                <w:t>Certificate of Amendment to Certificate of Designations of Series A Convertible Preferred Stock, dated July 12, 2019 (Incorporated by reference to Exhibit 3.1 of the Registrant’s Current Report on Form 8-K, filed July 15, 2019).</w:t>
              </w:r>
            </w:hyperlink>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18"/>
                  <w:u w:val="single"/>
                </w:rPr>
                <w:t>Certificate of Amendment to Certificate of Designations of Series B Convertible Preferred Stock, dated July 12, 2019 (Incorporated by reference to Exhibit 3.2 of the Registrant’s Current Report on Form 8-K, filed July 15, 2019).</w:t>
              </w:r>
            </w:hyperlink>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18"/>
                  <w:u w:val="single"/>
                </w:rPr>
                <w:t>Certificate of Increase to Certificate of Designations of Series A Convertible Preferred Stock of NextDecade Corporation, dated July 15, 2019 (Incorporated by reference to Exhibit 3.7 of the Registrant's Quarterly Report on Form 10-Q, filed August 6, 2019).</w:t>
              </w:r>
            </w:hyperlink>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18"/>
                  <w:u w:val="single"/>
                </w:rPr>
                <w:t>Certificate of Increase to Certificate of Designations of Series B Convertible Preferred Stock of NextDecade Corporation, dated July 15, 2019 (Incorporated by reference to Exhibit 3.8 of the Registrant’s Quarterly Report on Form 10-Q, filed August 6, 2019).</w:t>
              </w:r>
            </w:hyperlink>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ex101-1q26.htm">
              <w:r>
                <w:rPr>
                  <w:rStyle w:val="InternetLink"/>
                  <w:rFonts w:ascii="Times New Roman;serif" w:hAnsi="Times New Roman;serif"/>
                  <w:b w:val="false"/>
                  <w:color w:val="0000FF"/>
                  <w:sz w:val="18"/>
                  <w:u w:val="single"/>
                </w:rPr>
                <w:t>Second Amendment to Amended and Restated Limited Liability Company Agreement of Rio Grande LNG Intermediate Holdings, LLC, dated as of March 2, 2026.</w:t>
              </w:r>
            </w:hyperlink>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ex102-1q26.htm">
              <w:r>
                <w:rPr>
                  <w:rStyle w:val="InternetLink"/>
                  <w:rFonts w:ascii="Times New Roman;serif" w:hAnsi="Times New Roman;serif"/>
                  <w:b w:val="false"/>
                  <w:color w:val="0000FF"/>
                  <w:sz w:val="18"/>
                  <w:u w:val="single"/>
                </w:rPr>
                <w:t>Amendment to Amended and Restated Limited Liability Company Agreement of Rio Grande LNG Train 4 Intermediate Holdings, LLC, dated as of March 2, 2026.</w:t>
              </w:r>
            </w:hyperlink>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ex103-1q26.htm">
              <w:r>
                <w:rPr>
                  <w:rStyle w:val="InternetLink"/>
                  <w:rFonts w:ascii="Times New Roman;serif" w:hAnsi="Times New Roman;serif"/>
                  <w:b w:val="false"/>
                  <w:color w:val="0000FF"/>
                  <w:sz w:val="18"/>
                  <w:u w:val="single"/>
                </w:rPr>
                <w:t>Change Orders to the Amended and Restated Fixed Price Turnkey Agreement for the Engineering, Procurement and Construction of Trains 1 and 2 of the Rio Grande Natural Gas Liquefaction Facility, made and executed as of September 14, 2022, by and between Rio Grande LNG, LLC and Bechtel Energy Inc.: (i) EC00273, dated as of February 6, 2026; (ii) EC00258, dated as of February 20, 2026; (iii) EC00235, dated as of March 10, 2026; (iv) EC00282, dated as of March 17, 2026; and (v) EC00287, dated as of March 25, 2026.</w:t>
              </w:r>
            </w:hyperlink>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ex104-1q26.htm">
              <w:r>
                <w:rPr>
                  <w:rStyle w:val="InternetLink"/>
                  <w:rFonts w:ascii="Times New Roman;serif" w:hAnsi="Times New Roman;serif"/>
                  <w:b w:val="false"/>
                  <w:color w:val="0000FF"/>
                  <w:sz w:val="18"/>
                  <w:u w:val="single"/>
                </w:rPr>
                <w:t>Change Orders to the Amended and Restated Fixed Price Turnkey Agreement for the Engineering, Procurement and Construction of Train 3 of the Rio Grande Natural Gas Liquefaction Facility, made and executed as of September 15, 2022, by and between Rio Grande LNG, LLC and Bechtel Energy Inc.: (i) EC00274, dated as of February 6, 2026; (ii) EC00237, dated as of March 10, 2026; (iii) EC00283, dated as of March 17, 2026; and (iv) EC00288, dated as of March 25, 2026.</w:t>
              </w:r>
            </w:hyperlink>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105-1q26.htm">
              <w:r>
                <w:rPr>
                  <w:rStyle w:val="InternetLink"/>
                  <w:rFonts w:ascii="Times New Roman;serif" w:hAnsi="Times New Roman;serif"/>
                  <w:b w:val="false"/>
                  <w:color w:val="0000FF"/>
                  <w:sz w:val="18"/>
                  <w:u w:val="single"/>
                </w:rPr>
                <w:t>Change Orders to the Amended and Restated Fixed Price Turnkey Agreement for the Engineering, Procurement and Construction of Train 4 of the Rio Grande Natural Gas Liquefaction Facility, made and executed as of June 7, 2025, by and between Rio Grande LNG Train 4, LLC and Bechtel Energy Inc.: (i) EC40013 and EC40033, each dated as of February 6, 2026; and (ii) EC40031, dated as of March 17, 2026.</w:t>
              </w:r>
            </w:hyperlink>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11-1q26.htm">
              <w:r>
                <w:rPr>
                  <w:rStyle w:val="InternetLink"/>
                  <w:rFonts w:ascii="Times New Roman;serif" w:hAnsi="Times New Roman;serif"/>
                  <w:b w:val="false"/>
                  <w:color w:val="0000FF"/>
                  <w:sz w:val="18"/>
                  <w:u w:val="single"/>
                </w:rPr>
                <w:t>Certification of Chief Executive Officer pursuant to Section 302 of the Sarbanes-Oxley Act of 2002.</w:t>
              </w:r>
            </w:hyperlink>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12-1q26.htm">
              <w:r>
                <w:rPr>
                  <w:rStyle w:val="InternetLink"/>
                  <w:rFonts w:ascii="Times New Roman;serif" w:hAnsi="Times New Roman;serif"/>
                  <w:b w:val="false"/>
                  <w:color w:val="0000FF"/>
                  <w:sz w:val="18"/>
                  <w:u w:val="single"/>
                </w:rPr>
                <w:t>Certification of Chief Financial Officer pursuant to Section 302 of the Sarbanes-Oxley Act of 2002.</w:t>
              </w:r>
            </w:hyperlink>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21-1q26.htm">
              <w:r>
                <w:rPr>
                  <w:rStyle w:val="InternetLink"/>
                  <w:rFonts w:ascii="Times New Roman;serif" w:hAnsi="Times New Roman;serif"/>
                  <w:b w:val="false"/>
                  <w:color w:val="0000FF"/>
                  <w:sz w:val="18"/>
                  <w:u w:val="single"/>
                </w:rPr>
                <w:t>Certification of Chief Executive Officer pursuant to Section 906 of the Sarbanes-Oxley Act of 2002.</w:t>
              </w:r>
            </w:hyperlink>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22-1q26.htm">
              <w:r>
                <w:rPr>
                  <w:rStyle w:val="InternetLink"/>
                  <w:rFonts w:ascii="Times New Roman;serif" w:hAnsi="Times New Roman;serif"/>
                  <w:b w:val="false"/>
                  <w:color w:val="0000FF"/>
                  <w:sz w:val="18"/>
                  <w:u w:val="single"/>
                </w:rPr>
                <w:t>Certification of Chief Financial Officer pursuant to Section 906 of the Sarbanes-Oxley Act of 2002.</w:t>
              </w:r>
            </w:hyperlink>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44"/>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tbl>
      <w:tblPr>
        <w:tblW w:w="7647" w:type="dxa"/>
        <w:jc w:val="left"/>
        <w:tblInd w:w="0" w:type="dxa"/>
        <w:tblLayout w:type="fixed"/>
        <w:tblCellMar>
          <w:top w:w="28" w:type="dxa"/>
          <w:left w:w="28" w:type="dxa"/>
          <w:bottom w:w="28" w:type="dxa"/>
          <w:right w:w="28" w:type="dxa"/>
        </w:tblCellMar>
      </w:tblPr>
      <w:tblGrid>
        <w:gridCol w:w="124"/>
        <w:gridCol w:w="109"/>
        <w:gridCol w:w="109"/>
        <w:gridCol w:w="1134"/>
        <w:gridCol w:w="1134"/>
        <w:gridCol w:w="1134"/>
        <w:gridCol w:w="1134"/>
        <w:gridCol w:w="1134"/>
        <w:gridCol w:w="1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3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Certain portions of this exhibit have been omitted pursuant to Item 601(b)(10)(iv)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ddd55afc56d4261ba37b26d2a4185b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tbl>
      <w:tblPr>
        <w:tblW w:w="9038" w:type="dxa"/>
        <w:jc w:val="left"/>
        <w:tblInd w:w="0" w:type="dxa"/>
        <w:tblLayout w:type="fixed"/>
        <w:tblCellMar>
          <w:top w:w="28" w:type="dxa"/>
          <w:left w:w="28" w:type="dxa"/>
          <w:bottom w:w="28" w:type="dxa"/>
          <w:right w:w="28" w:type="dxa"/>
        </w:tblCellMar>
      </w:tblPr>
      <w:tblGrid>
        <w:gridCol w:w="574"/>
        <w:gridCol w:w="506"/>
        <w:gridCol w:w="510"/>
        <w:gridCol w:w="423"/>
        <w:gridCol w:w="423"/>
        <w:gridCol w:w="423"/>
        <w:gridCol w:w="1809"/>
        <w:gridCol w:w="1809"/>
        <w:gridCol w:w="2561"/>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NEXTDECADE CORPORATION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April 30, 2026</w:t>
            </w:r>
          </w:p>
        </w:tc>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6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 Matthew K. Schatzman </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Matthew K. Schatzman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and Chief Executive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April 30, 2026</w:t>
            </w:r>
          </w:p>
        </w:tc>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6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R. Mott</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Michael R. Mott</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Enterprise Transformation and Interim Chief Financial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10.1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20"/>
        <w:jc w:val="center"/>
        <w:rPr>
          <w:rFonts w:ascii="Times New Roman;serif" w:hAnsi="Times New Roman;serif"/>
          <w:b w:val="false"/>
          <w:color w:val="000000"/>
          <w:sz w:val="20"/>
        </w:rPr>
      </w:pPr>
      <w:r>
        <w:rPr>
          <w:rFonts w:ascii="Times New Roman;serif" w:hAnsi="Times New Roman;serif"/>
          <w:b w:val="false"/>
          <w:color w:val="000000"/>
          <w:sz w:val="20"/>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SECOND AMENDMENT TO AMENDED AND RESTATED LIMITED LIABILITY COMPANY AGREEMENT</w:t>
      </w:r>
    </w:p>
    <w:p>
      <w:pPr>
        <w:pStyle w:val="TextBody"/>
        <w:bidi w:val="0"/>
        <w:spacing w:lineRule="auto" w:line="288" w:before="0" w:after="220"/>
        <w:ind w:left="0" w:right="0" w:firstLine="720"/>
        <w:jc w:val="both"/>
        <w:rPr/>
      </w:pPr>
      <w:r>
        <w:rPr>
          <w:rFonts w:ascii="Times New Roman;serif" w:hAnsi="Times New Roman;serif"/>
          <w:b w:val="false"/>
          <w:color w:val="000000"/>
          <w:sz w:val="20"/>
        </w:rPr>
        <w:t>This Second Amendment to the Amended and Restated Limited Liability Company Agreement (this “</w:t>
      </w:r>
      <w:r>
        <w:rPr>
          <w:rFonts w:ascii="Times New Roman;serif" w:hAnsi="Times New Roman;serif"/>
          <w:b w:val="false"/>
          <w:color w:val="000000"/>
          <w:sz w:val="20"/>
          <w:u w:val="single"/>
        </w:rPr>
        <w:t>Amendment</w:t>
      </w:r>
      <w:r>
        <w:rPr>
          <w:color w:val="000000"/>
        </w:rPr>
        <w:t>”</w:t>
      </w:r>
      <w:r>
        <w:rPr>
          <w:rFonts w:ascii="Times New Roman;serif" w:hAnsi="Times New Roman;serif"/>
          <w:b w:val="false"/>
          <w:color w:val="000000"/>
          <w:sz w:val="20"/>
        </w:rPr>
        <w:t>) is being entered into, effective as of March 2, 2026, by and among Rio Grande LNG Intermediate Holdings, LLC, a Delaware limited liability company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Rio Grande LNG Intermediate Super Holdings, LLC, a Delaware limited liability company (the “</w:t>
      </w:r>
      <w:r>
        <w:rPr>
          <w:rFonts w:ascii="Times New Roman;serif" w:hAnsi="Times New Roman;serif"/>
          <w:b w:val="false"/>
          <w:color w:val="000000"/>
          <w:sz w:val="20"/>
          <w:u w:val="single"/>
        </w:rPr>
        <w:t>NextDecade Member</w:t>
      </w:r>
      <w:r>
        <w:rPr>
          <w:color w:val="000000"/>
        </w:rPr>
        <w:t>”</w:t>
      </w:r>
      <w:r>
        <w:rPr>
          <w:rFonts w:ascii="Times New Roman;serif" w:hAnsi="Times New Roman;serif"/>
          <w:b w:val="false"/>
          <w:color w:val="000000"/>
          <w:sz w:val="20"/>
        </w:rPr>
        <w:t>), Global LNG North America Corp., a Delaware corporation (the “</w:t>
      </w:r>
      <w:r>
        <w:rPr>
          <w:rFonts w:ascii="Times New Roman;serif" w:hAnsi="Times New Roman;serif"/>
          <w:b w:val="false"/>
          <w:color w:val="000000"/>
          <w:sz w:val="20"/>
          <w:u w:val="single"/>
        </w:rPr>
        <w:t>TTE Member</w:t>
      </w:r>
      <w:r>
        <w:rPr>
          <w:color w:val="000000"/>
        </w:rPr>
        <w:t>”</w:t>
      </w:r>
      <w:r>
        <w:rPr>
          <w:rFonts w:ascii="Times New Roman;serif" w:hAnsi="Times New Roman;serif"/>
          <w:b w:val="false"/>
          <w:color w:val="000000"/>
          <w:sz w:val="20"/>
        </w:rPr>
        <w:t>), GIP V Velocity Aggregator, L.P., a Delaware limited partnership (the “</w:t>
      </w:r>
      <w:r>
        <w:rPr>
          <w:rFonts w:ascii="Times New Roman;serif" w:hAnsi="Times New Roman;serif"/>
          <w:b w:val="false"/>
          <w:color w:val="000000"/>
          <w:sz w:val="20"/>
          <w:u w:val="single"/>
        </w:rPr>
        <w:t>FI Member</w:t>
      </w:r>
      <w:r>
        <w:rPr>
          <w:color w:val="000000"/>
        </w:rPr>
        <w:t>”</w:t>
      </w:r>
      <w:r>
        <w:rPr>
          <w:rFonts w:ascii="Times New Roman;serif" w:hAnsi="Times New Roman;serif"/>
          <w:b w:val="false"/>
          <w:color w:val="000000"/>
          <w:sz w:val="20"/>
        </w:rPr>
        <w:t>), GIP V Velocity Acquisition Partners, L.P., a Delaware limited partnership (“</w:t>
      </w:r>
      <w:r>
        <w:rPr>
          <w:rFonts w:ascii="Times New Roman;serif" w:hAnsi="Times New Roman;serif"/>
          <w:b w:val="false"/>
          <w:color w:val="000000"/>
          <w:sz w:val="20"/>
          <w:u w:val="single"/>
        </w:rPr>
        <w:t>GIP Acquisition Partners</w:t>
      </w:r>
      <w:r>
        <w:rPr>
          <w:color w:val="000000"/>
        </w:rPr>
        <w:t>”</w:t>
      </w:r>
      <w:r>
        <w:rPr>
          <w:rFonts w:ascii="Times New Roman;serif" w:hAnsi="Times New Roman;serif"/>
          <w:b w:val="false"/>
          <w:color w:val="000000"/>
          <w:sz w:val="20"/>
        </w:rPr>
        <w:t>), GIM Participation Velocity, L.P., a Delaware limited partnership (together with GIP Acquisition Partners, the “</w:t>
      </w:r>
      <w:r>
        <w:rPr>
          <w:rFonts w:ascii="Times New Roman;serif" w:hAnsi="Times New Roman;serif"/>
          <w:b w:val="false"/>
          <w:color w:val="000000"/>
          <w:sz w:val="20"/>
          <w:u w:val="single"/>
        </w:rPr>
        <w:t>GIP FI Member Owner</w:t>
      </w:r>
      <w:r>
        <w:rPr>
          <w:color w:val="000000"/>
        </w:rPr>
        <w:t>”</w:t>
      </w:r>
      <w:r>
        <w:rPr>
          <w:rFonts w:ascii="Times New Roman;serif" w:hAnsi="Times New Roman;serif"/>
          <w:b w:val="false"/>
          <w:color w:val="000000"/>
          <w:sz w:val="20"/>
        </w:rPr>
        <w:t>), Devonshire Investment Pte. Ltd., a Singapore exempt private company (the “</w:t>
      </w:r>
      <w:r>
        <w:rPr>
          <w:rFonts w:ascii="Times New Roman;serif" w:hAnsi="Times New Roman;serif"/>
          <w:b w:val="false"/>
          <w:color w:val="000000"/>
          <w:sz w:val="20"/>
          <w:u w:val="single"/>
        </w:rPr>
        <w:t>GIC FI Member Owner</w:t>
      </w:r>
      <w:r>
        <w:rPr>
          <w:color w:val="000000"/>
        </w:rPr>
        <w:t>”</w:t>
      </w:r>
      <w:r>
        <w:rPr>
          <w:rFonts w:ascii="Times New Roman;serif" w:hAnsi="Times New Roman;serif"/>
          <w:b w:val="false"/>
          <w:color w:val="000000"/>
          <w:sz w:val="20"/>
        </w:rPr>
        <w:t>), and MIC TI Holding Company 2 RSC Limited, an ADGM Restricted Scope Company (the “</w:t>
      </w:r>
      <w:r>
        <w:rPr>
          <w:rFonts w:ascii="Times New Roman;serif" w:hAnsi="Times New Roman;serif"/>
          <w:b w:val="false"/>
          <w:color w:val="000000"/>
          <w:sz w:val="20"/>
          <w:u w:val="single"/>
        </w:rPr>
        <w:t>MIC FI Member Owner</w:t>
      </w:r>
      <w:r>
        <w:rPr>
          <w:color w:val="000000"/>
        </w:rPr>
        <w:t xml:space="preserve">” </w:t>
      </w:r>
      <w:r>
        <w:rPr>
          <w:rFonts w:ascii="Times New Roman;serif" w:hAnsi="Times New Roman;serif"/>
          <w:b w:val="false"/>
          <w:color w:val="000000"/>
          <w:sz w:val="20"/>
        </w:rPr>
        <w:t>and, together with the Company, the NextDecade Member, the TTE Member, the FI Member, the GIP FI Member Owner and the GIC FI Member Owner, the “</w:t>
      </w:r>
      <w:r>
        <w:rPr>
          <w:rFonts w:ascii="Times New Roman;serif" w:hAnsi="Times New Roman;serif"/>
          <w:b w:val="false"/>
          <w:color w:val="000000"/>
          <w:sz w:val="20"/>
          <w:u w:val="single"/>
        </w:rPr>
        <w:t>Parties</w:t>
      </w:r>
      <w:r>
        <w:rPr>
          <w:color w:val="000000"/>
        </w:rPr>
        <w:t>”</w:t>
      </w:r>
      <w:r>
        <w:rPr>
          <w:rFonts w:ascii="Times New Roman;serif" w:hAnsi="Times New Roman;serif"/>
          <w:b w:val="false"/>
          <w:color w:val="000000"/>
          <w:sz w:val="20"/>
        </w:rPr>
        <w:t xml:space="preserve">). Capitalized terms used but not defined herein have the meanings given to them in the LLC Agreement (defined below). </w:t>
      </w:r>
    </w:p>
    <w:p>
      <w:pPr>
        <w:pStyle w:val="TextBody"/>
        <w:bidi w:val="0"/>
        <w:spacing w:lineRule="auto" w:line="288" w:before="0" w:after="220"/>
        <w:ind w:left="0" w:right="0" w:firstLine="720"/>
        <w:jc w:val="both"/>
        <w:rPr/>
      </w:pPr>
      <w:r>
        <w:rPr>
          <w:rFonts w:ascii="Times New Roman;serif" w:hAnsi="Times New Roman;serif"/>
          <w:b w:val="false"/>
          <w:color w:val="000000"/>
          <w:sz w:val="20"/>
        </w:rPr>
        <w:t>WHEREAS, the Parties entered into that certain Amended and Restated Limited Liability Company Agreement of the Company, dated as of July 12, 2023, by and among the NextDecade Member, the TTE Member, the FI Member and the other parties thereto for the limited purposes set forth therein, as the same was amended by that certain (a) Consent and Waiver Letter re: ADNOC Investment, dated May 20, 2024 and (b) Amendment to Amended and Restated Limited Liability Company Agreement of the Company, dated as of August 8, 2025 (as amended, restated or otherwise modified in accordance with the terms therein, the “</w:t>
      </w:r>
      <w:r>
        <w:rPr>
          <w:rFonts w:ascii="Times New Roman;serif" w:hAnsi="Times New Roman;serif"/>
          <w:b w:val="false"/>
          <w:color w:val="000000"/>
          <w:sz w:val="20"/>
          <w:u w:val="single"/>
        </w:rPr>
        <w:t>LLC Agreement</w:t>
      </w:r>
      <w:r>
        <w:rPr>
          <w:color w:val="000000"/>
        </w:rPr>
        <w:t>”</w:t>
      </w:r>
      <w:r>
        <w:rPr>
          <w:rFonts w:ascii="Times New Roman;serif" w:hAnsi="Times New Roman;serif"/>
          <w:b w:val="false"/>
          <w:color w:val="000000"/>
          <w:sz w:val="20"/>
        </w:rPr>
        <w: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WHEREAS, pursuant to Section 16.2 of the LLC Agreement, the amendments of the LLC Agreement contemplated herein must be written and signed by (a) each Substantial Member, (b) each Class B Member holding a Class B Percentage equal to or greater than 12.5% (other than FI Member to the extent it is directly or indirectly owned by two or more FI Member Owners) and (c) to the extent it is directly or indirectly owned by two or more FI Member Owners, FI Member at the direction of each FI Member Owner holding an indirect Class B Percentage equal to or greater than 12.5% to be effective (such signatories, the “Requisite Signatories”); and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WHEREAS, the Parties hereto desire to amend the LLC Agreement as described below.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in consideration of the premises set forth above and for other good and valuable consideration, the receipt and adequacy of which are hereby acknowledged, the Parties, intending to be legally bound hereby, agree as follows:</w:t>
      </w:r>
    </w:p>
    <w:p>
      <w:pPr>
        <w:pStyle w:val="TextBody"/>
        <w:bidi w:val="0"/>
        <w:spacing w:before="0" w:after="0"/>
        <w:ind w:left="0" w:right="0" w:firstLine="720"/>
        <w:jc w:val="left"/>
        <w:rPr/>
      </w:pPr>
      <w:r>
        <w:rPr/>
      </w:r>
    </w:p>
    <w:p>
      <w:pPr>
        <w:pStyle w:val="TextBody"/>
        <w:bidi w:val="0"/>
        <w:spacing w:lineRule="auto" w:line="288" w:before="0" w:after="22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Amendments</w:t>
      </w:r>
      <w:r>
        <w:rPr>
          <w:rFonts w:ascii="Times New Roman;serif" w:hAnsi="Times New Roman;serif"/>
          <w:b w:val="false"/>
          <w:color w:val="000000"/>
          <w:sz w:val="20"/>
        </w:rPr>
        <w: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(i)The definition of “Available Loans” in Section 1.1 of the LLC Agreement is hereby amended and restated in its entirety as follows:</w:t>
      </w:r>
    </w:p>
    <w:p>
      <w:pPr>
        <w:pStyle w:val="TextBody"/>
        <w:bidi w:val="0"/>
        <w:spacing w:lineRule="auto" w:line="288" w:before="0" w:after="240"/>
        <w:ind w:left="0" w:right="0" w:firstLine="2160"/>
        <w:jc w:val="both"/>
        <w:rPr/>
      </w:pPr>
      <w:r>
        <w:rPr>
          <w:color w:val="000000"/>
        </w:rPr>
        <w:t>“</w:t>
      </w:r>
      <w:r>
        <w:rPr>
          <w:rFonts w:ascii="Times New Roman;serif" w:hAnsi="Times New Roman;serif"/>
          <w:b w:val="false"/>
          <w:color w:val="000000"/>
          <w:sz w:val="20"/>
          <w:u w:val="single"/>
        </w:rPr>
        <w:t>Available Loans</w:t>
      </w:r>
      <w:r>
        <w:rPr>
          <w:color w:val="000000"/>
        </w:rPr>
        <w:t xml:space="preserve">” </w:t>
      </w:r>
      <w:r>
        <w:rPr>
          <w:rFonts w:ascii="Times New Roman;serif" w:hAnsi="Times New Roman;serif"/>
          <w:b w:val="false"/>
          <w:color w:val="000000"/>
          <w:sz w:val="20"/>
        </w:rPr>
        <w:t>has the meaning set forth in Section 3.9(b)(ii).</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(ii)The definition of “D:E Ratio” in Section 1.1 of the LLC Agreement is hereby amended and restated in its entirety as follows: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0"/>
          <w:u w:val="single"/>
        </w:rPr>
        <w:t>D:E Ratio</w:t>
      </w:r>
      <w:r>
        <w:rPr>
          <w:color w:val="000000"/>
        </w:rPr>
        <w:t xml:space="preserve">” </w:t>
      </w:r>
      <w:r>
        <w:rPr>
          <w:rFonts w:ascii="Times New Roman;serif" w:hAnsi="Times New Roman;serif"/>
          <w:b w:val="false"/>
          <w:color w:val="000000"/>
          <w:sz w:val="20"/>
        </w:rPr>
        <w:t xml:space="preserve">means, as of any date and giving pro forma effect to the drawings under the Construction Loans and the making of Equity Contributions on or in respect of such date, the ratio of (i) outstanding principal amounts of the Construction Loans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the aggregate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amount applied to fund the Notional Debt Amount in accordance with </w:t>
      </w:r>
      <w:r>
        <w:rPr>
          <w:rFonts w:ascii="Times New Roman;serif" w:hAnsi="Times New Roman;serif"/>
          <w:b w:val="false"/>
          <w:color w:val="000000"/>
          <w:sz w:val="20"/>
          <w:u w:val="single"/>
        </w:rPr>
        <w:t>Section 3.9(b)(viii)</w:t>
      </w:r>
      <w:r>
        <w:rPr>
          <w:color w:val="000000"/>
        </w:rPr>
        <w:t xml:space="preserve"> </w:t>
      </w:r>
      <w:r>
        <w:rPr>
          <w:rFonts w:ascii="Times New Roman;serif" w:hAnsi="Times New Roman;serif"/>
          <w:b w:val="false"/>
          <w:color w:val="000000"/>
          <w:sz w:val="20"/>
        </w:rPr>
        <w:t>to (ii) the Aggregate Funded Equity.</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(iii)The definition of “FI Member Owner Binding Provisions” in Section 1.1 of the LLC Agreement is hereby amended and restated in its entirety as follows: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0"/>
          <w:u w:val="single"/>
        </w:rPr>
        <w:t>FI Member Owner Binding Provisions</w:t>
      </w:r>
      <w:r>
        <w:rPr>
          <w:color w:val="000000"/>
        </w:rPr>
        <w:t xml:space="preserve">” </w:t>
      </w:r>
      <w:r>
        <w:rPr>
          <w:rFonts w:ascii="Times New Roman;serif" w:hAnsi="Times New Roman;serif"/>
          <w:b w:val="false"/>
          <w:color w:val="000000"/>
          <w:sz w:val="20"/>
        </w:rPr>
        <w:t>means the proviso to Section 2.12(j), Sections 3.10(f), 3.11, 3.12, 4.6, 11.2, 11.3, 11.4, 11.6, 12.1, 12.2, 12.3, 12.5 and 12.6 and Articles XIII, XV and XVI (excluding Section 16.18, but including, for the avoidance of doubt, Section 16.19 in respect of the guarantee of the obligations under Section 3.2(b)).</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(iv)The definition of “Unavailable Loans” in Section 1.1 of the LLC Agreement is hereby amended and restated in its entirety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0"/>
          <w:u w:val="single"/>
        </w:rPr>
        <w:t>Unavailable Loans</w:t>
      </w:r>
      <w:r>
        <w:rPr>
          <w:color w:val="000000"/>
        </w:rPr>
        <w:t xml:space="preserve">” </w:t>
      </w:r>
      <w:r>
        <w:rPr>
          <w:rFonts w:ascii="Times New Roman;serif" w:hAnsi="Times New Roman;serif"/>
          <w:b w:val="false"/>
          <w:color w:val="000000"/>
          <w:sz w:val="20"/>
        </w:rPr>
        <w:t>has the meaning set forth in Section 3.9(c).</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(v)Section 1.1 of the LLC Agreement is hereby amended to add the following defined terms in alphabetical order: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Abandoned</w:t>
      </w:r>
      <w:r>
        <w:rPr>
          <w:color w:val="000000"/>
        </w:rPr>
        <w:t xml:space="preserve">” </w:t>
      </w:r>
      <w:r>
        <w:rPr>
          <w:rFonts w:ascii="Times New Roman;serif" w:hAnsi="Times New Roman;serif"/>
          <w:b w:val="false"/>
          <w:color w:val="000000"/>
          <w:sz w:val="20"/>
        </w:rPr>
        <w:t xml:space="preserve">has the meaning set forth in Section 3.12(b).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Accelerated Equity Amounts</w:t>
      </w:r>
      <w:r>
        <w:rPr>
          <w:color w:val="000000"/>
        </w:rPr>
        <w:t xml:space="preserve">” </w:t>
      </w:r>
      <w:r>
        <w:rPr>
          <w:rFonts w:ascii="Times New Roman;serif" w:hAnsi="Times New Roman;serif"/>
          <w:b w:val="false"/>
          <w:color w:val="000000"/>
          <w:sz w:val="20"/>
        </w:rPr>
        <w:t>means, collectively, the TTE Accelerated Equity Amount and any FIMO Accelerated Equity Amount.</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Accelerated Equity Date</w:t>
      </w:r>
      <w:r>
        <w:rPr>
          <w:color w:val="000000"/>
        </w:rPr>
        <w:t xml:space="preserve">” </w:t>
      </w:r>
      <w:r>
        <w:rPr>
          <w:rFonts w:ascii="Times New Roman;serif" w:hAnsi="Times New Roman;serif"/>
          <w:b w:val="false"/>
          <w:color w:val="000000"/>
          <w:sz w:val="20"/>
        </w:rPr>
        <w:t>means the earlier of (i) the TTE Accelerated Equity Date and (ii) the FIMO Accelerated Equity Date.</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Accelerated Funding Advance</w:t>
      </w:r>
      <w:r>
        <w:rPr>
          <w:color w:val="000000"/>
        </w:rPr>
        <w:t xml:space="preserve">” </w:t>
      </w:r>
      <w:r>
        <w:rPr>
          <w:rFonts w:ascii="Times New Roman;serif" w:hAnsi="Times New Roman;serif"/>
          <w:b w:val="false"/>
          <w:color w:val="000000"/>
          <w:sz w:val="20"/>
        </w:rPr>
        <w:t>has the meaning set forth in Section 3.12(c).</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Accelerated Funding Debt</w:t>
      </w:r>
      <w:r>
        <w:rPr>
          <w:color w:val="000000"/>
        </w:rPr>
        <w:t xml:space="preserve">” </w:t>
      </w:r>
      <w:r>
        <w:rPr>
          <w:rFonts w:ascii="Times New Roman;serif" w:hAnsi="Times New Roman;serif"/>
          <w:b w:val="false"/>
          <w:color w:val="000000"/>
          <w:sz w:val="20"/>
        </w:rPr>
        <w:t xml:space="preserve">has the meaning set forth in Section 3.12(c).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Accelerating FI Member Owner</w:t>
      </w:r>
      <w:r>
        <w:rPr>
          <w:color w:val="000000"/>
        </w:rPr>
        <w:t xml:space="preserve">” </w:t>
      </w:r>
      <w:r>
        <w:rPr>
          <w:rFonts w:ascii="Times New Roman;serif" w:hAnsi="Times New Roman;serif"/>
          <w:b w:val="false"/>
          <w:color w:val="000000"/>
          <w:sz w:val="20"/>
        </w:rPr>
        <w:t>has the meaning set forth in Section 3.9(b).</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Accelerating Holders</w:t>
      </w:r>
      <w:r>
        <w:rPr>
          <w:color w:val="000000"/>
        </w:rPr>
        <w:t xml:space="preserve">” </w:t>
      </w:r>
      <w:r>
        <w:rPr>
          <w:rFonts w:ascii="Times New Roman;serif" w:hAnsi="Times New Roman;serif"/>
          <w:b w:val="false"/>
          <w:color w:val="000000"/>
          <w:sz w:val="20"/>
        </w:rPr>
        <w:t>means, collectively, (i) the TTE Member, from and after the funding of the TTE Accelerated Equity Amount following the TTE Accelerated Equity Date, until such time as the Remaining TTE Accelerated Equity Amount has been reduced to $0.00 (at which point, TTE Member shall no longer be an Accelerating Holder), and (ii) any FI Member Owner, from and after the funding of its FIMO Accelerated Equity Amount following the applicable FIMO Accelerated Equity Date, until such time as the Remaining FIMO Accelerated Equity Amount of such FI Member Owner has been reduced to $0.00 (at which point, such FI Member Owner shall no longer be an Accelerating Holder).</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FID</w:t>
      </w:r>
      <w:r>
        <w:rPr>
          <w:color w:val="000000"/>
        </w:rPr>
        <w:t xml:space="preserve">” </w:t>
      </w:r>
      <w:r>
        <w:rPr>
          <w:rFonts w:ascii="Times New Roman;serif" w:hAnsi="Times New Roman;serif"/>
          <w:b w:val="false"/>
          <w:color w:val="000000"/>
          <w:sz w:val="20"/>
        </w:rPr>
        <w:t>means the positive final investment decision to proceed with the Phase 1 Project, as evidenced solely and definitively by the disbursement of the initial drawing of the Indebtedness under the Financing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FIMO Accelerated Equity Amount</w:t>
      </w:r>
      <w:r>
        <w:rPr>
          <w:color w:val="000000"/>
        </w:rPr>
        <w:t xml:space="preserve">” </w:t>
      </w:r>
      <w:r>
        <w:rPr>
          <w:rFonts w:ascii="Times New Roman;serif" w:hAnsi="Times New Roman;serif"/>
          <w:b w:val="false"/>
          <w:color w:val="000000"/>
          <w:sz w:val="20"/>
        </w:rPr>
        <w:t>has the meaning set forth in Section 3.9(b).</w:t>
      </w:r>
    </w:p>
    <w:p>
      <w:pPr>
        <w:pStyle w:val="TextBody"/>
        <w:bidi w:val="0"/>
        <w:spacing w:lineRule="auto" w:line="288" w:before="0" w:after="240"/>
        <w:ind w:left="0" w:right="0" w:firstLine="2160"/>
        <w:jc w:val="both"/>
        <w:rPr/>
      </w:pPr>
      <w:r>
        <w:rPr>
          <w:color w:val="000000"/>
        </w:rPr>
        <w:t>“</w:t>
      </w:r>
      <w:r>
        <w:rPr>
          <w:rFonts w:ascii="Times New Roman;serif" w:hAnsi="Times New Roman;serif"/>
          <w:b w:val="false"/>
          <w:color w:val="000000"/>
          <w:sz w:val="20"/>
          <w:u w:val="single"/>
        </w:rPr>
        <w:t>FIMO Accelerated Equity Date</w:t>
      </w:r>
      <w:r>
        <w:rPr>
          <w:color w:val="000000"/>
        </w:rPr>
        <w:t xml:space="preserve">” </w:t>
      </w:r>
      <w:r>
        <w:rPr>
          <w:rFonts w:ascii="Times New Roman;serif" w:hAnsi="Times New Roman;serif"/>
          <w:b w:val="false"/>
          <w:color w:val="000000"/>
          <w:sz w:val="20"/>
        </w:rPr>
        <w:t>has the meaning set forth in Section 3.9(b).</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Gross Funding Amount</w:t>
      </w:r>
      <w:r>
        <w:rPr>
          <w:color w:val="000000"/>
        </w:rPr>
        <w:t xml:space="preserve">” </w:t>
      </w:r>
      <w:r>
        <w:rPr>
          <w:rFonts w:ascii="Times New Roman;serif" w:hAnsi="Times New Roman;serif"/>
          <w:b w:val="false"/>
          <w:color w:val="000000"/>
          <w:sz w:val="20"/>
        </w:rPr>
        <w:t>has the meaning set forth in Section 3.9(b)(i).</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Notional Debt Amount</w:t>
      </w:r>
      <w:r>
        <w:rPr>
          <w:color w:val="000000"/>
        </w:rPr>
        <w:t xml:space="preserve">” </w:t>
      </w:r>
      <w:r>
        <w:rPr>
          <w:rFonts w:ascii="Times New Roman;serif" w:hAnsi="Times New Roman;serif"/>
          <w:b w:val="false"/>
          <w:color w:val="000000"/>
          <w:sz w:val="20"/>
        </w:rPr>
        <w:t>has the meaning set forth in Section 3.9(b)(ii).</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Notional Equity Amount</w:t>
      </w:r>
      <w:r>
        <w:rPr>
          <w:color w:val="000000"/>
        </w:rPr>
        <w:t xml:space="preserve">” </w:t>
      </w:r>
      <w:r>
        <w:rPr>
          <w:rFonts w:ascii="Times New Roman;serif" w:hAnsi="Times New Roman;serif"/>
          <w:b w:val="false"/>
          <w:color w:val="000000"/>
          <w:sz w:val="20"/>
        </w:rPr>
        <w:t>has the meaning set forth in Section 3.9(b)(iii).</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Notional Equity Contribution Amount</w:t>
      </w:r>
      <w:r>
        <w:rPr>
          <w:color w:val="000000"/>
        </w:rPr>
        <w:t xml:space="preserve">” </w:t>
      </w:r>
      <w:r>
        <w:rPr>
          <w:rFonts w:ascii="Times New Roman;serif" w:hAnsi="Times New Roman;serif"/>
          <w:b w:val="false"/>
          <w:color w:val="000000"/>
          <w:sz w:val="20"/>
        </w:rPr>
        <w:t xml:space="preserve">has the meaning set forth in Section 3.12(b).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Notional P1 Funding Percentages</w:t>
      </w:r>
      <w:r>
        <w:rPr>
          <w:color w:val="000000"/>
        </w:rPr>
        <w:t xml:space="preserve">” </w:t>
      </w:r>
      <w:r>
        <w:rPr>
          <w:rFonts w:ascii="Times New Roman;serif" w:hAnsi="Times New Roman;serif"/>
          <w:b w:val="false"/>
          <w:color w:val="000000"/>
          <w:sz w:val="20"/>
        </w:rPr>
        <w:t>has the meaning set forth in Section 3.9(b)(v).</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Event</w:t>
      </w:r>
      <w:r>
        <w:rPr>
          <w:color w:val="000000"/>
        </w:rPr>
        <w:t xml:space="preserve">” </w:t>
      </w:r>
      <w:r>
        <w:rPr>
          <w:rFonts w:ascii="Times New Roman;serif" w:hAnsi="Times New Roman;serif"/>
          <w:b w:val="false"/>
          <w:color w:val="000000"/>
          <w:sz w:val="20"/>
        </w:rPr>
        <w:t xml:space="preserve">has the meaning set forth in Section 3.12(a).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Event Date</w:t>
      </w:r>
      <w:r>
        <w:rPr>
          <w:color w:val="000000"/>
        </w:rPr>
        <w:t xml:space="preserve">” </w:t>
      </w:r>
      <w:r>
        <w:rPr>
          <w:rFonts w:ascii="Times New Roman;serif" w:hAnsi="Times New Roman;serif"/>
          <w:b w:val="false"/>
          <w:color w:val="000000"/>
          <w:sz w:val="20"/>
        </w:rPr>
        <w:t xml:space="preserve">has the meaning set forth in Section 3.12(a).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Notice</w:t>
      </w:r>
      <w:r>
        <w:rPr>
          <w:color w:val="000000"/>
        </w:rPr>
        <w:t xml:space="preserve">” </w:t>
      </w:r>
      <w:r>
        <w:rPr>
          <w:rFonts w:ascii="Times New Roman;serif" w:hAnsi="Times New Roman;serif"/>
          <w:b w:val="false"/>
          <w:color w:val="000000"/>
          <w:sz w:val="20"/>
        </w:rPr>
        <w:t xml:space="preserve">has the meaning set forth in Section 3.12(a).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Payment Default</w:t>
      </w:r>
      <w:r>
        <w:rPr>
          <w:color w:val="000000"/>
        </w:rPr>
        <w:t xml:space="preserve">” </w:t>
      </w:r>
      <w:r>
        <w:rPr>
          <w:rFonts w:ascii="Times New Roman;serif" w:hAnsi="Times New Roman;serif"/>
          <w:b w:val="false"/>
          <w:color w:val="000000"/>
          <w:sz w:val="20"/>
        </w:rPr>
        <w:t xml:space="preserve">has the meaning set forth in Section 13.7(a).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Payment Default Notice</w:t>
      </w:r>
      <w:r>
        <w:rPr>
          <w:color w:val="000000"/>
        </w:rPr>
        <w:t xml:space="preserve">” </w:t>
      </w:r>
      <w:r>
        <w:rPr>
          <w:rFonts w:ascii="Times New Roman;serif" w:hAnsi="Times New Roman;serif"/>
          <w:b w:val="false"/>
          <w:color w:val="000000"/>
          <w:sz w:val="20"/>
        </w:rPr>
        <w:t>has the meaning set forth in Section 13.7(a)(i).</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Payment Defaulting Holder</w:t>
      </w:r>
      <w:r>
        <w:rPr>
          <w:color w:val="000000"/>
        </w:rPr>
        <w:t xml:space="preserve">” </w:t>
      </w:r>
      <w:r>
        <w:rPr>
          <w:rFonts w:ascii="Times New Roman;serif" w:hAnsi="Times New Roman;serif"/>
          <w:b w:val="false"/>
          <w:color w:val="000000"/>
          <w:sz w:val="20"/>
        </w:rPr>
        <w:t>has the meaning set forth in Section 13.7(a)(i).</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Remaining Accelerated Equity Amounts</w:t>
      </w:r>
      <w:r>
        <w:rPr>
          <w:color w:val="000000"/>
        </w:rPr>
        <w:t xml:space="preserve">” </w:t>
      </w:r>
      <w:r>
        <w:rPr>
          <w:rFonts w:ascii="Times New Roman;serif" w:hAnsi="Times New Roman;serif"/>
          <w:b w:val="false"/>
          <w:color w:val="000000"/>
          <w:sz w:val="20"/>
        </w:rPr>
        <w:t>has the meaning set forth in Section 3.9(b)(iv).</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Remaining Accelerated Funding Debt</w:t>
      </w:r>
      <w:r>
        <w:rPr>
          <w:color w:val="000000"/>
        </w:rPr>
        <w:t xml:space="preserve">” </w:t>
      </w:r>
      <w:r>
        <w:rPr>
          <w:rFonts w:ascii="Times New Roman;serif" w:hAnsi="Times New Roman;serif"/>
          <w:b w:val="false"/>
          <w:color w:val="000000"/>
          <w:sz w:val="20"/>
        </w:rPr>
        <w:t>has the meaning set forth in Section 13.7(b).</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Remaining FIMO Accelerated Equity Amount</w:t>
      </w:r>
      <w:r>
        <w:rPr>
          <w:color w:val="000000"/>
        </w:rPr>
        <w:t xml:space="preserve">” </w:t>
      </w:r>
      <w:r>
        <w:rPr>
          <w:rFonts w:ascii="Times New Roman;serif" w:hAnsi="Times New Roman;serif"/>
          <w:b w:val="false"/>
          <w:color w:val="000000"/>
          <w:sz w:val="20"/>
        </w:rPr>
        <w:t>has the meaning set forth in Section 3.9(b)(iv).</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Remaining TTE Accelerated Equity Amount</w:t>
      </w:r>
      <w:r>
        <w:rPr>
          <w:color w:val="000000"/>
        </w:rPr>
        <w:t xml:space="preserve">” </w:t>
      </w:r>
      <w:r>
        <w:rPr>
          <w:rFonts w:ascii="Times New Roman;serif" w:hAnsi="Times New Roman;serif"/>
          <w:b w:val="false"/>
          <w:color w:val="000000"/>
          <w:sz w:val="20"/>
        </w:rPr>
        <w:t>has the meaning set forth in Section 3.9(b)(iv).</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Straddle Accelerating Holder</w:t>
      </w:r>
      <w:r>
        <w:rPr>
          <w:color w:val="000000"/>
        </w:rPr>
        <w:t xml:space="preserve">” </w:t>
      </w:r>
      <w:r>
        <w:rPr>
          <w:rFonts w:ascii="Times New Roman;serif" w:hAnsi="Times New Roman;serif"/>
          <w:b w:val="false"/>
          <w:color w:val="000000"/>
          <w:sz w:val="20"/>
        </w:rPr>
        <w:t>has the meaning set forth in Section 3.9(b)(vi).</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TTE Accelerated Equity Amount</w:t>
      </w:r>
      <w:r>
        <w:rPr>
          <w:color w:val="000000"/>
        </w:rPr>
        <w:t xml:space="preserve">” </w:t>
      </w:r>
      <w:r>
        <w:rPr>
          <w:rFonts w:ascii="Times New Roman;serif" w:hAnsi="Times New Roman;serif"/>
          <w:b w:val="false"/>
          <w:color w:val="000000"/>
          <w:sz w:val="20"/>
        </w:rPr>
        <w:t>has the meaning set forth in Section 3.9(b).</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TTE Accelerated Equity Date</w:t>
      </w:r>
      <w:r>
        <w:rPr>
          <w:color w:val="000000"/>
        </w:rPr>
        <w:t xml:space="preserve">” </w:t>
      </w:r>
      <w:r>
        <w:rPr>
          <w:rFonts w:ascii="Times New Roman;serif" w:hAnsi="Times New Roman;serif"/>
          <w:b w:val="false"/>
          <w:color w:val="000000"/>
          <w:sz w:val="20"/>
        </w:rPr>
        <w:t>has the meaning set forth in Section 3.9(b).</w:t>
      </w:r>
    </w:p>
    <w:p>
      <w:pPr>
        <w:pStyle w:val="TextBody"/>
        <w:bidi w:val="0"/>
        <w:spacing w:lineRule="auto" w:line="288" w:before="0" w:after="220"/>
        <w:ind w:left="0" w:right="0" w:firstLine="720"/>
        <w:jc w:val="both"/>
        <w:rPr/>
      </w:pPr>
      <w:r>
        <w:rPr>
          <w:rFonts w:ascii="Times New Roman;serif" w:hAnsi="Times New Roman;serif"/>
          <w:b w:val="false"/>
          <w:color w:val="000000"/>
          <w:sz w:val="20"/>
        </w:rPr>
        <w:t xml:space="preserve">(vi)Section 3.2(b) of the LLC Agreement is hereby amended and restated in its entirety, to delete the stricken text (indicated textually in the same manner as the following example: </w:t>
      </w:r>
      <w:r>
        <w:rPr>
          <w:rFonts w:ascii="Times New Roman;serif" w:hAnsi="Times New Roman;serif"/>
          <w:b w:val="false"/>
          <w:strike/>
          <w:color w:val="000000"/>
          <w:sz w:val="20"/>
        </w:rPr>
        <w:t>stricken text</w:t>
      </w:r>
      <w:r>
        <w:rPr>
          <w:rFonts w:ascii="Times New Roman;serif" w:hAnsi="Times New Roman;serif"/>
          <w:b w:val="false"/>
          <w:color w:val="000000"/>
          <w:sz w:val="20"/>
        </w:rPr>
        <w:t xml:space="preserve">) and to add the double-underlined text (indicated textually in the same manner as the following example: </w:t>
      </w:r>
      <w:r>
        <w:rPr>
          <w:rFonts w:ascii="Times New Roman;serif" w:hAnsi="Times New Roman;serif"/>
          <w:b/>
          <w:color w:val="000000"/>
          <w:sz w:val="20"/>
          <w:u w:val="single"/>
        </w:rPr>
        <w:t>double-underlined text</w:t>
      </w:r>
      <w:r>
        <w:rPr>
          <w:rFonts w:ascii="Times New Roman;serif" w:hAnsi="Times New Roman;serif"/>
          <w:b w:val="false"/>
          <w:color w:val="000000"/>
          <w:sz w:val="20"/>
        </w:rPr>
        <w:t xml:space="preserve">) as set forth in the redline comparison of the LLC Agreement attached hereto as </w:t>
      </w:r>
      <w:r>
        <w:rPr>
          <w:rFonts w:ascii="Times New Roman;serif" w:hAnsi="Times New Roman;serif"/>
          <w:b w:val="false"/>
          <w:color w:val="000000"/>
          <w:sz w:val="20"/>
          <w:u w:val="single"/>
        </w:rPr>
        <w:t>Exhibit A</w:t>
      </w:r>
      <w:r>
        <w:rPr>
          <w:rFonts w:ascii="Times New Roman;serif" w:hAnsi="Times New Roman;serif"/>
          <w:b w:val="false"/>
          <w:color w:val="000000"/>
          <w:sz w:val="20"/>
        </w:rPr>
        <w:t>.</w:t>
      </w:r>
    </w:p>
    <w:p>
      <w:pPr>
        <w:pStyle w:val="TextBody"/>
        <w:bidi w:val="0"/>
        <w:spacing w:lineRule="auto" w:line="288" w:before="0" w:after="220"/>
        <w:ind w:left="0" w:right="0" w:firstLine="720"/>
        <w:jc w:val="both"/>
        <w:rPr/>
      </w:pPr>
      <w:r>
        <w:rPr>
          <w:rFonts w:ascii="Times New Roman;serif" w:hAnsi="Times New Roman;serif"/>
          <w:b w:val="false"/>
          <w:color w:val="000000"/>
          <w:sz w:val="20"/>
        </w:rPr>
        <w:t xml:space="preserve">(vii)Section 3.9 of the LLC Agreement is hereby amended and restated in its entirety, to delete the stricken text (indicated textually in the same manner as the following example: </w:t>
      </w:r>
      <w:r>
        <w:rPr>
          <w:rFonts w:ascii="Times New Roman;serif" w:hAnsi="Times New Roman;serif"/>
          <w:b w:val="false"/>
          <w:strike/>
          <w:color w:val="000000"/>
          <w:sz w:val="20"/>
        </w:rPr>
        <w:t>stricken text</w:t>
      </w:r>
      <w:r>
        <w:rPr>
          <w:rFonts w:ascii="Times New Roman;serif" w:hAnsi="Times New Roman;serif"/>
          <w:b w:val="false"/>
          <w:color w:val="000000"/>
          <w:sz w:val="20"/>
        </w:rPr>
        <w:t xml:space="preserve">) and to add the double-underlined text (indicated textually in the same manner as the following example: </w:t>
      </w:r>
      <w:r>
        <w:rPr>
          <w:rFonts w:ascii="Times New Roman;serif" w:hAnsi="Times New Roman;serif"/>
          <w:b/>
          <w:color w:val="000000"/>
          <w:sz w:val="20"/>
          <w:u w:val="single"/>
        </w:rPr>
        <w:t>double-underlined text</w:t>
      </w:r>
      <w:r>
        <w:rPr>
          <w:rFonts w:ascii="Times New Roman;serif" w:hAnsi="Times New Roman;serif"/>
          <w:b w:val="false"/>
          <w:color w:val="000000"/>
          <w:sz w:val="20"/>
        </w:rPr>
        <w:t xml:space="preserve">) as set forth in the redline comparison of the LLC Agreement attached hereto as </w:t>
      </w:r>
      <w:r>
        <w:rPr>
          <w:rFonts w:ascii="Times New Roman;serif" w:hAnsi="Times New Roman;serif"/>
          <w:b w:val="false"/>
          <w:color w:val="000000"/>
          <w:sz w:val="20"/>
          <w:u w:val="single"/>
        </w:rPr>
        <w:t>Exhibit B</w:t>
      </w:r>
      <w:r>
        <w:rPr>
          <w:rFonts w:ascii="Times New Roman;serif" w:hAnsi="Times New Roman;serif"/>
          <w:b w:val="false"/>
          <w:color w:val="000000"/>
          <w:sz w:val="20"/>
        </w:rPr>
        <w: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(viii)Article III of the LLC Agreement is hereby amended by adding a new Section 3.12 immediately after Section 3.11 of the LLC Agreement, which shall read as follows:</w:t>
      </w:r>
    </w:p>
    <w:p>
      <w:pPr>
        <w:pStyle w:val="TextBody"/>
        <w:bidi w:val="0"/>
        <w:spacing w:lineRule="auto" w:line="288" w:before="0" w:after="220"/>
        <w:ind w:left="0" w:right="0" w:firstLine="720"/>
        <w:jc w:val="both"/>
        <w:rPr/>
      </w:pPr>
      <w:r>
        <w:rPr>
          <w:rFonts w:ascii="Times New Roman;serif" w:hAnsi="Times New Roman;serif"/>
          <w:b w:val="false"/>
          <w:color w:val="000000"/>
          <w:sz w:val="20"/>
        </w:rPr>
        <w:t>(ix)</w:t>
      </w:r>
      <w:r>
        <w:rPr>
          <w:color w:val="000000"/>
        </w:rPr>
        <w:t>“</w:t>
      </w:r>
      <w:r>
        <w:rPr>
          <w:rFonts w:ascii="Times New Roman;serif" w:hAnsi="Times New Roman;serif"/>
          <w:b w:val="false"/>
          <w:color w:val="000000"/>
          <w:sz w:val="20"/>
        </w:rPr>
        <w:t>Section 3.12        </w:t>
      </w:r>
      <w:r>
        <w:rPr>
          <w:rFonts w:ascii="Times New Roman;serif" w:hAnsi="Times New Roman;serif"/>
          <w:b w:val="false"/>
          <w:color w:val="000000"/>
          <w:sz w:val="20"/>
          <w:u w:val="single"/>
        </w:rPr>
        <w:t>Rebalancing</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(a)Promptly following the earlier to occur of (x) the Project Completion Date, and (y) the Abandonment of the Phase 1 Project (but in any event within five Business Days after such occurrence) (each of the occurrences in (x) and (y), a “</w:t>
      </w:r>
      <w:r>
        <w:rPr>
          <w:rFonts w:ascii="Times New Roman;serif" w:hAnsi="Times New Roman;serif"/>
          <w:b w:val="false"/>
          <w:color w:val="000000"/>
          <w:sz w:val="20"/>
          <w:u w:val="single"/>
        </w:rPr>
        <w:t>Rebalancing Event</w:t>
      </w:r>
      <w:r>
        <w:rPr>
          <w:color w:val="000000"/>
        </w:rPr>
        <w:t>”</w:t>
      </w:r>
      <w:r>
        <w:rPr>
          <w:rFonts w:ascii="Times New Roman;serif" w:hAnsi="Times New Roman;serif"/>
          <w:b w:val="false"/>
          <w:color w:val="000000"/>
          <w:sz w:val="20"/>
        </w:rPr>
        <w:t>), the Board shall calculate and deliver a written notice to all Members and FI Member Owners that specifies the following (the “</w:t>
      </w:r>
      <w:r>
        <w:rPr>
          <w:rFonts w:ascii="Times New Roman;serif" w:hAnsi="Times New Roman;serif"/>
          <w:b w:val="false"/>
          <w:color w:val="000000"/>
          <w:sz w:val="20"/>
          <w:u w:val="single"/>
        </w:rPr>
        <w:t>Rebalancing Notice</w:t>
      </w:r>
      <w:r>
        <w:rPr>
          <w:color w:val="000000"/>
        </w:rPr>
        <w:t>”</w:t>
      </w:r>
      <w:r>
        <w:rPr>
          <w:rFonts w:ascii="Times New Roman;serif" w:hAnsi="Times New Roman;serif"/>
          <w:b w:val="false"/>
          <w:color w:val="000000"/>
          <w:sz w:val="20"/>
        </w:rPr>
        <w:t>): (i) the date of the relevant Rebalancing Event (the “</w:t>
      </w:r>
      <w:r>
        <w:rPr>
          <w:rFonts w:ascii="Times New Roman;serif" w:hAnsi="Times New Roman;serif"/>
          <w:b w:val="false"/>
          <w:color w:val="000000"/>
          <w:sz w:val="20"/>
          <w:u w:val="single"/>
        </w:rPr>
        <w:t>Rebalancing Event Date</w:t>
      </w:r>
      <w:r>
        <w:rPr>
          <w:color w:val="000000"/>
        </w:rPr>
        <w:t>”</w:t>
      </w:r>
      <w:r>
        <w:rPr>
          <w:rFonts w:ascii="Times New Roman;serif" w:hAnsi="Times New Roman;serif"/>
          <w:b w:val="false"/>
          <w:color w:val="000000"/>
          <w:sz w:val="20"/>
        </w:rPr>
        <w:t xml:space="preserve">); (ii) the aggregate amount of direct or indirect Equity Contributions made by each Member and FI Member Owner (including, for the elimination of doubt, any direct or indirect Initial Contribution by such Member and FI Member Owner and any deemed Equity Contribution of Pre-Completion Revenues allocated to such Member or FI Member Owner in accordance with </w:t>
      </w:r>
      <w:r>
        <w:rPr>
          <w:rFonts w:ascii="Times New Roman;serif" w:hAnsi="Times New Roman;serif"/>
          <w:b w:val="false"/>
          <w:color w:val="000000"/>
          <w:sz w:val="20"/>
          <w:u w:val="single"/>
        </w:rPr>
        <w:t>Section 3.3</w:t>
      </w:r>
      <w:r>
        <w:rPr>
          <w:rFonts w:ascii="Times New Roman;serif" w:hAnsi="Times New Roman;serif"/>
          <w:b w:val="false"/>
          <w:color w:val="000000"/>
          <w:sz w:val="20"/>
        </w:rPr>
        <w:t xml:space="preserve">); (iii) the aggregate amount of direct or indirect Equity Contributions made by all Members and FI Member Owners (including, for the elimination of doubt, all direct or indirect Initial Contributions by the Members and FI Member Owners and all deemed Equity Contributions of Pre-Completion Revenues allocated to the Members and FI Member Owners in accordance with </w:t>
      </w:r>
      <w:r>
        <w:rPr>
          <w:rFonts w:ascii="Times New Roman;serif" w:hAnsi="Times New Roman;serif"/>
          <w:b w:val="false"/>
          <w:color w:val="000000"/>
          <w:sz w:val="20"/>
          <w:u w:val="single"/>
        </w:rPr>
        <w:t>Section 3.3</w:t>
      </w:r>
      <w:r>
        <w:rPr>
          <w:rFonts w:ascii="Times New Roman;serif" w:hAnsi="Times New Roman;serif"/>
          <w:b w:val="false"/>
          <w:color w:val="000000"/>
          <w:sz w:val="20"/>
        </w:rPr>
        <w:t>); (iv) the Notional Equity Contribution Amount of each Member and FI Member Owner; and (v) the Accelerated Funding Amount of each Member and FI Member Owner.</w:t>
      </w:r>
    </w:p>
    <w:p>
      <w:pPr>
        <w:pStyle w:val="TextBody"/>
        <w:bidi w:val="0"/>
        <w:spacing w:lineRule="auto" w:line="288" w:before="0" w:after="240"/>
        <w:ind w:left="0" w:right="0" w:firstLine="720"/>
        <w:jc w:val="both"/>
        <w:rPr/>
      </w:pPr>
      <w:r>
        <w:rPr>
          <w:rFonts w:ascii="Times New Roman;serif" w:hAnsi="Times New Roman;serif"/>
          <w:b w:val="false"/>
          <w:color w:val="000000"/>
          <w:sz w:val="20"/>
        </w:rPr>
        <w:t>(b)For purposes hereof, “</w:t>
      </w:r>
      <w:r>
        <w:rPr>
          <w:rFonts w:ascii="Times New Roman;serif" w:hAnsi="Times New Roman;serif"/>
          <w:b w:val="false"/>
          <w:color w:val="000000"/>
          <w:sz w:val="20"/>
          <w:u w:val="single"/>
        </w:rPr>
        <w:t>Abandoned</w:t>
      </w:r>
      <w:r>
        <w:rPr>
          <w:color w:val="000000"/>
        </w:rPr>
        <w:t xml:space="preserve">” </w:t>
      </w:r>
      <w:r>
        <w:rPr>
          <w:rFonts w:ascii="Times New Roman;serif" w:hAnsi="Times New Roman;serif"/>
          <w:b w:val="false"/>
          <w:color w:val="000000"/>
          <w:sz w:val="20"/>
        </w:rPr>
        <w:t>means Train Abandonment (as defined in the Definitions Agreement) and the derivate term “Abandonment” shall be construed accordingly, (ii) the “</w:t>
      </w:r>
      <w:r>
        <w:rPr>
          <w:rFonts w:ascii="Times New Roman;serif" w:hAnsi="Times New Roman;serif"/>
          <w:b w:val="false"/>
          <w:color w:val="000000"/>
          <w:sz w:val="20"/>
          <w:u w:val="single"/>
        </w:rPr>
        <w:t>Notional Equity Contribution Amount</w:t>
      </w:r>
      <w:r>
        <w:rPr>
          <w:color w:val="000000"/>
        </w:rPr>
        <w:t xml:space="preserve">” </w:t>
      </w:r>
      <w:r>
        <w:rPr>
          <w:rFonts w:ascii="Times New Roman;serif" w:hAnsi="Times New Roman;serif"/>
          <w:b w:val="false"/>
          <w:color w:val="000000"/>
          <w:sz w:val="20"/>
        </w:rPr>
        <w:t xml:space="preserve">of each Member and FI Member Owner means an amount equal to the aggregate sum of (A) the aggregate amount of Equity Contributions made by all Members (including the FI Member) at FID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 xml:space="preserve">(x) with respect to all Members other than the FI Member, the Capital Percentage of such Member at FID and (y) with respect to the FI Member Owners, the Capital Percentage of the FI Member at FID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 xml:space="preserve">the Base Funding Percentage of such FI Member Owner at FID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(B) the aggregate amount of Equity Contributions made (or deemed made) by all Members (including the FI Member) in accordance with this Agreement on each P1 JVCo Contribution Date occurring after FID and prior to the applicable Rebalancing Event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 xml:space="preserve">(x) with respect to all Members other than the FI Member, the Capital Percentage of such Member on such P1 JVCo Contribution Date and (y) with respect to the FI Member Owners, the Capital Percentage of the FI Member on such P1 JVCo Contribution Date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the Base Funding Percentage of such FI Member Owner on such P1 JVCo Contribution Date, and (iii) “</w:t>
      </w:r>
      <w:r>
        <w:rPr>
          <w:rFonts w:ascii="Times New Roman;serif" w:hAnsi="Times New Roman;serif"/>
          <w:b w:val="false"/>
          <w:color w:val="000000"/>
          <w:sz w:val="20"/>
          <w:u w:val="single"/>
        </w:rPr>
        <w:t>Accelerated Funding Amount</w:t>
      </w:r>
      <w:r>
        <w:rPr>
          <w:color w:val="000000"/>
        </w:rPr>
        <w:t xml:space="preserve">” </w:t>
      </w:r>
      <w:r>
        <w:rPr>
          <w:rFonts w:ascii="Times New Roman;serif" w:hAnsi="Times New Roman;serif"/>
          <w:b w:val="false"/>
          <w:color w:val="000000"/>
          <w:sz w:val="20"/>
        </w:rPr>
        <w:t xml:space="preserve">means, with respect to each Member and FI Member Owner, the positive or negative amount (as applicable) yielded by subtracting (x) the Notional Equity Contribution Amount of such Member or FI Member Owner from (y) the aggregate amount of Equity Contributions made by such Member or FI Member Owner, as applicable (including, for the elimination of doubt, any direct or indirect Initial Contribution by such Member and FI Member Owner and any deemed Equity Contribution of Pre-Completion Revenues allocated to such Member or FI Member in accordance with </w:t>
      </w:r>
      <w:r>
        <w:rPr>
          <w:rFonts w:ascii="Times New Roman;serif" w:hAnsi="Times New Roman;serif"/>
          <w:b w:val="false"/>
          <w:color w:val="000000"/>
          <w:sz w:val="20"/>
          <w:u w:val="single"/>
        </w:rPr>
        <w:t>Section 3.3</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that in no event shall the Accelerated Funding Amount of any Member or FI Member Owner exceed, in the case of a Member, the P1 Committed Amount of such Member or, in the case of an FI Member Owner, the P1 Committed Amount of the FI Member multiplied by the Base Funding Percentage of such FI Member Owner.</w:t>
      </w:r>
    </w:p>
    <w:p>
      <w:pPr>
        <w:pStyle w:val="TextBody"/>
        <w:bidi w:val="0"/>
        <w:spacing w:lineRule="auto" w:line="288" w:before="0" w:after="240"/>
        <w:ind w:left="0" w:right="0" w:firstLine="720"/>
        <w:jc w:val="both"/>
        <w:rPr/>
      </w:pPr>
      <w:r>
        <w:rPr>
          <w:rFonts w:ascii="Times New Roman;serif" w:hAnsi="Times New Roman;serif"/>
          <w:b w:val="false"/>
          <w:color w:val="000000"/>
          <w:sz w:val="20"/>
        </w:rPr>
        <w:t>(c)If the Accelerated Funding Amount of a Member or FI Member Owner is negative, then the Accelerated Funding Amount of such Member or FI Member Owner shall be an “</w:t>
      </w:r>
      <w:r>
        <w:rPr>
          <w:rFonts w:ascii="Times New Roman;serif" w:hAnsi="Times New Roman;serif"/>
          <w:b w:val="false"/>
          <w:color w:val="000000"/>
          <w:sz w:val="20"/>
          <w:u w:val="single"/>
        </w:rPr>
        <w:t>Accelerated Funding Debt</w:t>
      </w:r>
      <w:r>
        <w:rPr>
          <w:color w:val="000000"/>
        </w:rPr>
        <w:t xml:space="preserve">” </w:t>
      </w:r>
      <w:r>
        <w:rPr>
          <w:rFonts w:ascii="Times New Roman;serif" w:hAnsi="Times New Roman;serif"/>
          <w:b w:val="false"/>
          <w:color w:val="000000"/>
          <w:sz w:val="20"/>
        </w:rPr>
        <w:t>deemed owed by such Member or FI Member Owner. If the Accelerated Funding Amount of a Member or FI Member Owner is positive, then the Accelerated Funding Amount of such Member or FI Member Owner shall be an “</w:t>
      </w:r>
      <w:r>
        <w:rPr>
          <w:rFonts w:ascii="Times New Roman;serif" w:hAnsi="Times New Roman;serif"/>
          <w:b w:val="false"/>
          <w:color w:val="000000"/>
          <w:sz w:val="20"/>
          <w:u w:val="single"/>
        </w:rPr>
        <w:t>Accelerated Funding Advance</w:t>
      </w:r>
      <w:r>
        <w:rPr>
          <w:color w:val="000000"/>
        </w:rPr>
        <w:t xml:space="preserve">” </w:t>
      </w:r>
      <w:r>
        <w:rPr>
          <w:rFonts w:ascii="Times New Roman;serif" w:hAnsi="Times New Roman;serif"/>
          <w:b w:val="false"/>
          <w:color w:val="000000"/>
          <w:sz w:val="20"/>
        </w:rPr>
        <w:t>deemed made by such Member or FI Member Owner.</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(d)Each Member or FI Member Owner that owes Accelerated Funding Debt shall pay to each Member or FI Member Owner that made an Accelerated Funding Advance an amount equal to (x) the Accelerated Funding Debt owed by such Member or FI Member Owner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 xml:space="preserve">(y) the percentage yielded by dividing (I) the Accelerated Funding Advance of each such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Member or FI Member Owner that made an Accelerated Funding Advance by (II) the Accelerated Funding Advances of all such Members or FI Member Owners that made an Accelerated Funding Advance (provided, that, subject to any requisite consent required under this Agreement, the relevant parties may, upon mutual agreement, structure such payment as a contribution to and special distribution from the Company).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(e)Except as set forth in Section 13.7, as applicable, each of the Accelerated Funding Advances shall, from and after the Rebalancing Event Date, constitute an interest-free advance payable in cash on the tenth Business Day after receipt of the Rebalancing Notice delivered pursuant to Section 3.12(a). All such payments of Accelerated Funding Advances shall be made via wire transfer of immediately available funds to an account designated by the recipient thereof. The Accelerated Funding Advances shall be an unsecured general obligation of the applicable Member or FI Member Owner and the obligations in respect thereof shall be absolute and unconditional and payment of the principal amount thereof shall not be subject to any defense, counterclaim or right of offset (except as set forth in Section 3.12(f)).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(f)Each Member and FI Member Owner owing an Accelerated Funding Debt may set off such Member or FI Member Owner’s </w:t>
      </w:r>
      <w:r>
        <w:rPr>
          <w:rFonts w:ascii="Times New Roman;serif" w:hAnsi="Times New Roman;serif"/>
          <w:b w:val="false"/>
          <w:i/>
          <w:color w:val="000000"/>
          <w:sz w:val="20"/>
        </w:rPr>
        <w:t xml:space="preserve">pro </w:t>
      </w:r>
      <w:r>
        <w:rPr>
          <w:rFonts w:ascii="Times New Roman;serif" w:hAnsi="Times New Roman;serif"/>
          <w:b w:val="false"/>
          <w:color w:val="000000"/>
          <w:sz w:val="20"/>
        </w:rPr>
        <w:t>rata</w:t>
      </w:r>
      <w:r>
        <w:rPr>
          <w:color w:val="000000"/>
        </w:rPr>
        <w:t xml:space="preserve"> </w:t>
      </w:r>
      <w:r>
        <w:rPr>
          <w:rFonts w:ascii="Times New Roman;serif" w:hAnsi="Times New Roman;serif"/>
          <w:b w:val="false"/>
          <w:color w:val="000000"/>
          <w:sz w:val="20"/>
        </w:rPr>
        <w:t>share of the principal amount of any Bridging Equity Loan or Covering Equity Loan owed by any Member or FI Member Owner to which an Accelerated Funding Advance is owed against the principal amount of such Accelerated Funding Debt. If any Member or FI Member Owner owes the NextDecade Member an Accelerated Funding Debt, then such Member or FI Member Owner may set off such Accelerated Funding Debt to the NextDecade Member to the extent specified under Section 5.11 of the FI Subscription Agreement or Section 5.10 of the TTE Subscription Agreement (as applicable).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(g)For the avoidance of doubt, (i) the obligations of the Members and FI Member Owners under this Section 3.12 shall be deemed “material” for purposes of Article XIII and (ii) unless expressly stated otherwise, any reference to “Member” in this Section 3.12 shall be deemed to exclude the FI Member (for so long as it is directly or indirectly owned by two or more FI Member Owners) to the extent that such reference would result in double-counting in respect of amounts allocable to the FI Member and FI Member Owners.”</w:t>
      </w:r>
    </w:p>
    <w:p>
      <w:pPr>
        <w:pStyle w:val="TextBody"/>
        <w:bidi w:val="0"/>
        <w:spacing w:lineRule="auto" w:line="288" w:before="0" w:after="220"/>
        <w:ind w:left="0" w:right="0" w:firstLine="720"/>
        <w:jc w:val="both"/>
        <w:rPr/>
      </w:pPr>
      <w:r>
        <w:rPr>
          <w:rFonts w:ascii="Times New Roman;serif" w:hAnsi="Times New Roman;serif"/>
          <w:b w:val="false"/>
          <w:color w:val="000000"/>
          <w:sz w:val="20"/>
        </w:rPr>
        <w:t xml:space="preserve">(x)Section 13.2(d) of the LLC Agreement is hereby amended and restated in its entirety, to delete the stricken text (indicated textually in the same manner as the following example: </w:t>
      </w:r>
      <w:r>
        <w:rPr>
          <w:rFonts w:ascii="Times New Roman;serif" w:hAnsi="Times New Roman;serif"/>
          <w:b w:val="false"/>
          <w:strike/>
          <w:color w:val="000000"/>
          <w:sz w:val="20"/>
        </w:rPr>
        <w:t>stricken text</w:t>
      </w:r>
      <w:r>
        <w:rPr>
          <w:rFonts w:ascii="Times New Roman;serif" w:hAnsi="Times New Roman;serif"/>
          <w:b w:val="false"/>
          <w:color w:val="000000"/>
          <w:sz w:val="20"/>
        </w:rPr>
        <w:t xml:space="preserve">) and to add the double-underlined text (indicated textually in the same manner as the following example: </w:t>
      </w:r>
      <w:r>
        <w:rPr>
          <w:rFonts w:ascii="Times New Roman;serif" w:hAnsi="Times New Roman;serif"/>
          <w:b/>
          <w:color w:val="000000"/>
          <w:sz w:val="20"/>
          <w:u w:val="single"/>
        </w:rPr>
        <w:t>double-underlined text</w:t>
      </w:r>
      <w:r>
        <w:rPr>
          <w:rFonts w:ascii="Times New Roman;serif" w:hAnsi="Times New Roman;serif"/>
          <w:b w:val="false"/>
          <w:color w:val="000000"/>
          <w:sz w:val="20"/>
        </w:rPr>
        <w:t xml:space="preserve">) as set forth in the redline comparison of the LLC Agreement attached hereto as </w:t>
      </w:r>
      <w:r>
        <w:rPr>
          <w:rFonts w:ascii="Times New Roman;serif" w:hAnsi="Times New Roman;serif"/>
          <w:b w:val="false"/>
          <w:color w:val="000000"/>
          <w:sz w:val="20"/>
          <w:u w:val="single"/>
        </w:rPr>
        <w:t>Exhibit C</w:t>
      </w:r>
      <w:r>
        <w:rPr>
          <w:rFonts w:ascii="Times New Roman;serif" w:hAnsi="Times New Roman;serif"/>
          <w:b w:val="false"/>
          <w:color w:val="000000"/>
          <w:sz w:val="20"/>
        </w:rPr>
        <w:t>.</w:t>
      </w:r>
    </w:p>
    <w:p>
      <w:pPr>
        <w:pStyle w:val="TextBody"/>
        <w:bidi w:val="0"/>
        <w:spacing w:lineRule="auto" w:line="288" w:before="0" w:after="220"/>
        <w:ind w:left="0" w:right="0" w:firstLine="720"/>
        <w:jc w:val="both"/>
        <w:rPr/>
      </w:pPr>
      <w:r>
        <w:rPr>
          <w:rFonts w:ascii="Times New Roman;serif" w:hAnsi="Times New Roman;serif"/>
          <w:b w:val="false"/>
          <w:color w:val="000000"/>
          <w:sz w:val="20"/>
        </w:rPr>
        <w:t xml:space="preserve">(xi)Section 13.5(a) of the LLC Agreement is hereby amended and restated in its entirety, to delete the stricken text (indicated textually in the same manner as the following example: </w:t>
      </w:r>
      <w:r>
        <w:rPr>
          <w:rFonts w:ascii="Times New Roman;serif" w:hAnsi="Times New Roman;serif"/>
          <w:b w:val="false"/>
          <w:strike/>
          <w:color w:val="000000"/>
          <w:sz w:val="20"/>
        </w:rPr>
        <w:t>stricken text</w:t>
      </w:r>
      <w:r>
        <w:rPr>
          <w:rFonts w:ascii="Times New Roman;serif" w:hAnsi="Times New Roman;serif"/>
          <w:b w:val="false"/>
          <w:color w:val="000000"/>
          <w:sz w:val="20"/>
        </w:rPr>
        <w:t xml:space="preserve">) and to add the double-underlined text (indicated textually in the same manner as the following example: </w:t>
      </w:r>
      <w:r>
        <w:rPr>
          <w:rFonts w:ascii="Times New Roman;serif" w:hAnsi="Times New Roman;serif"/>
          <w:b/>
          <w:color w:val="000000"/>
          <w:sz w:val="20"/>
          <w:u w:val="single"/>
        </w:rPr>
        <w:t>double-underlined text</w:t>
      </w:r>
      <w:r>
        <w:rPr>
          <w:rFonts w:ascii="Times New Roman;serif" w:hAnsi="Times New Roman;serif"/>
          <w:b w:val="false"/>
          <w:color w:val="000000"/>
          <w:sz w:val="20"/>
        </w:rPr>
        <w:t xml:space="preserve">) as set forth in the redline comparison of the LLC Agreement attached hereto as </w:t>
      </w:r>
      <w:r>
        <w:rPr>
          <w:rFonts w:ascii="Times New Roman;serif" w:hAnsi="Times New Roman;serif"/>
          <w:b w:val="false"/>
          <w:color w:val="000000"/>
          <w:sz w:val="20"/>
          <w:u w:val="single"/>
        </w:rPr>
        <w:t>Exhibit D</w:t>
      </w:r>
      <w:r>
        <w:rPr>
          <w:rFonts w:ascii="Times New Roman;serif" w:hAnsi="Times New Roman;serif"/>
          <w:b w:val="false"/>
          <w:color w:val="000000"/>
          <w:sz w:val="20"/>
        </w:rPr>
        <w: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(xii)Article XIII of the LLC Agreement is hereby amended by adding a new Section 13.7 immediately after Section 13.6 of the LLC Agreement, which shall read as follows: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0"/>
        </w:rPr>
        <w:t xml:space="preserve">Section 13.7        Rebalancing Payment Default. </w:t>
      </w:r>
    </w:p>
    <w:p>
      <w:pPr>
        <w:pStyle w:val="TextBody"/>
        <w:bidi w:val="0"/>
        <w:spacing w:lineRule="auto" w:line="288" w:before="0" w:after="240"/>
        <w:ind w:left="0" w:right="0" w:firstLine="720"/>
        <w:jc w:val="both"/>
        <w:rPr/>
      </w:pPr>
      <w:r>
        <w:rPr>
          <w:rFonts w:ascii="Times New Roman;serif" w:hAnsi="Times New Roman;serif"/>
          <w:b w:val="false"/>
          <w:color w:val="000000"/>
          <w:sz w:val="20"/>
        </w:rPr>
        <w:t>(a)In addition to the rights and obligations contained in Section 13.2, if any Member or FI Member Owner shall have received notice of any Event of Default specified in Section 13.1(a)(vi) or Section 13.1(c)(vi) for breach of obligations under Section 3.12 (a “</w:t>
      </w:r>
      <w:r>
        <w:rPr>
          <w:rFonts w:ascii="Times New Roman;serif" w:hAnsi="Times New Roman;serif"/>
          <w:b w:val="false"/>
          <w:color w:val="000000"/>
          <w:sz w:val="20"/>
          <w:u w:val="single"/>
        </w:rPr>
        <w:t>Rebalancing Payment Default</w:t>
      </w:r>
      <w:r>
        <w:rPr>
          <w:color w:val="000000"/>
        </w:rPr>
        <w:t>”</w:t>
      </w:r>
      <w:r>
        <w:rPr>
          <w:rFonts w:ascii="Times New Roman;serif" w:hAnsi="Times New Roman;serif"/>
          <w:b w:val="false"/>
          <w:color w:val="000000"/>
          <w:sz w:val="20"/>
        </w:rPr>
        <w:t xml:space="preserve">) from the Company or any other Person authorized to give a Default Notice under this Agreement then: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(i)without prejudice to the exercise of any other contractual rights held hereunder, any Non-Defaulting Holders may at any time request in writing, delivered to the Company, each Member and each FI Member Owner (a “</w:t>
      </w:r>
      <w:r>
        <w:rPr>
          <w:rFonts w:ascii="Times New Roman;serif" w:hAnsi="Times New Roman;serif"/>
          <w:b w:val="false"/>
          <w:color w:val="000000"/>
          <w:sz w:val="20"/>
          <w:u w:val="single"/>
        </w:rPr>
        <w:t>Rebalancing Payment Default Notice</w:t>
      </w:r>
      <w:r>
        <w:rPr>
          <w:color w:val="000000"/>
        </w:rPr>
        <w:t>”</w:t>
      </w:r>
      <w:r>
        <w:rPr>
          <w:rFonts w:ascii="Times New Roman;serif" w:hAnsi="Times New Roman;serif"/>
          <w:b w:val="false"/>
          <w:color w:val="000000"/>
          <w:sz w:val="20"/>
        </w:rPr>
        <w:t>), that the Company, and the Company shall, take such action (including initiating any proceeding) and exercise any rights and remedies available under this Agreement, at law or in equity, to obtain payment by the Member or FI Member Owner that is alleged (or whose Affiliate is alleged) to have made a Rebalancing Payment Default (a “</w:t>
      </w:r>
      <w:r>
        <w:rPr>
          <w:rFonts w:ascii="Times New Roman;serif" w:hAnsi="Times New Roman;serif"/>
          <w:b w:val="false"/>
          <w:color w:val="000000"/>
          <w:sz w:val="20"/>
          <w:u w:val="single"/>
        </w:rPr>
        <w:t>Rebalancing Payment Defaulting Holder</w:t>
      </w:r>
      <w:r>
        <w:rPr>
          <w:color w:val="000000"/>
        </w:rPr>
        <w:t>”</w:t>
      </w:r>
      <w:r>
        <w:rPr>
          <w:rFonts w:ascii="Times New Roman;serif" w:hAnsi="Times New Roman;serif"/>
          <w:b w:val="false"/>
          <w:color w:val="000000"/>
          <w:sz w:val="20"/>
        </w:rPr>
        <w:t>) of the Rebalancing Payment Default to the Member(s) or FI Member Owner(s) to which such Rebalancing Payment Defaulting Holder owes an Accelerated Funding Debt, along with all costs, fees and expenses (including documented, out-of-pocket attorney’s fees), in all cases without duplication of recovery after considering any amounts received pursuant to the execution of other remedies set forth in this Article XIII; and</w:t>
      </w:r>
    </w:p>
    <w:p>
      <w:pPr>
        <w:pStyle w:val="TextBody"/>
        <w:bidi w:val="0"/>
        <w:spacing w:lineRule="auto" w:line="288" w:before="0" w:after="240"/>
        <w:jc w:val="both"/>
        <w:rPr/>
      </w:pPr>
      <w:r>
        <w:rPr>
          <w:rFonts w:ascii="Times New Roman;serif" w:hAnsi="Times New Roman;serif"/>
          <w:b w:val="false"/>
          <w:color w:val="000000"/>
          <w:sz w:val="20"/>
        </w:rPr>
        <w:t xml:space="preserve">(ii)if such Rebalancing Payment Default is not cured within 120 days following the Rebalancing Payment Default Notice, then, on any date thereafter, (A) the Rebalancing Payment Defaulting Holder (or FI Member in respect of an FI Member Owner that is a Rebalancing Payment Defaulting Holder) shall forfeit that number of Capital Units equal to (x) the amount of such Member’s or, if applicable, such FI Member Owner’s deemed Accelerated Funding Debt that remains unpaid as of such date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(y) $1.00, and (B) the Company may redeem all remaining Capital Units of the Rebalancing Payment Defaulting Holder (other than such Capital Units that are subject of Section 13.5(c), which shall be exchanged in accordance therewith immediately prior to such redemption of the Rebalancing Payment Defaulting Holder’s remaining Capital Units after such exchange) in exchange for a payment equal to (I)(x) the number of such remaining Capital Units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 xml:space="preserve">(y) the lower of (1) [***]% of Fair Market Value of each such Capital Unit and (2) $[***] per Capital Unit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(II) the outstanding interest in respect of a deemed Defaulting Holder Loans (which shall be paid by the Company to the relevant deemed Curing Holder in cash on the date of such redemption, in satisfaction of such outstanding amount of interest). Notwithstanding anything to the contrary herein, a Rebalancing Payment Defaulting Holder shall not have any right to approve or consent to any amendment to this Agreement that is reasonably necessary to give effect to the foregoing.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(b)If a Rebalancing Payment Default is not cured within 15 Business Days following the Rebalancing Payment Default Notice, then each Member and, as applicable, FI Member Owner that made an Accelerated Funding Advance shall be deemed to have cured the Rebalancing Payment Default as Curing Holders in the amount equal to the Rebalancing Payment Defaulting Holder’s deemed Accelerated Funding Debt that remains outstanding as of such date (the “</w:t>
      </w:r>
      <w:r>
        <w:rPr>
          <w:rFonts w:ascii="Times New Roman;serif" w:hAnsi="Times New Roman;serif"/>
          <w:b w:val="false"/>
          <w:color w:val="000000"/>
          <w:sz w:val="20"/>
          <w:u w:val="single"/>
        </w:rPr>
        <w:t>Remaining Accelerated Funding Debt</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(c)The amount of such Remaining Accelerated Funding Debt shall be deemed a loan by the relevant Curing Holders to the Rebalancing Payment Defaulting Holder. Except in connection with the conversion of a Bridging Equity Loan in accordance with Section 13.4(e) or a Covering Equity Loan pursuant to Section 13.5(c), in no event shall the payment of a Cure Amount hereunder be treated as or deemed to be an Equity Contribution by the Curing Holder for purposes of Article IV or as a Member Loan from a Curing Holder to the Company.”</w:t>
      </w:r>
    </w:p>
    <w:p>
      <w:pPr>
        <w:pStyle w:val="TextBody"/>
        <w:bidi w:val="0"/>
        <w:spacing w:lineRule="auto" w:line="288" w:before="0" w:after="22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Effect of Amendment</w:t>
      </w:r>
      <w:r>
        <w:rPr>
          <w:rFonts w:ascii="Times New Roman;serif" w:hAnsi="Times New Roman;serif"/>
          <w:b w:val="false"/>
          <w:color w:val="000000"/>
          <w:sz w:val="20"/>
        </w:rPr>
        <w:t xml:space="preserve">. Except as expressly provided in this Amendment, all of the terms and provisions of the LLC Agreement are and will remain in full force and effect and are hereby ratified and confirmed by the Company, the Members and the FI Member Owners. On and after the date hereof, each reference in the LLC Agreement to “this Agreement,” “the Agreement,” “hereof,” “herein” and “hereunder” and words of similar import, and each reference to the LLC Agreement in any other agreements or instruments executed and delivered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to, or in connection with, the LLC Agreement, shall be deemed to be a reference to the LLC Agreement as amended by this Amendment.</w:t>
      </w:r>
    </w:p>
    <w:p>
      <w:pPr>
        <w:pStyle w:val="TextBody"/>
        <w:bidi w:val="0"/>
        <w:spacing w:lineRule="auto" w:line="288" w:before="0" w:after="22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This Amendment, and all claims or causes of action (whether in contract, tort or statute) that may be based on, arise out of or relate to this Amendment, or the negotiation, execution or performance of this Amendment, shall be governed by and construed in accordance with the laws of the State of Delaware, without giving effect to any choice or conflict of laws provision or rule that would cause the application of the laws of any jurisdiction other than Delaware.</w:t>
      </w:r>
    </w:p>
    <w:p>
      <w:pPr>
        <w:pStyle w:val="TextBody"/>
        <w:bidi w:val="0"/>
        <w:spacing w:lineRule="auto" w:line="288" w:before="0" w:after="22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Counterparts; Electronic Signature</w:t>
      </w:r>
      <w:r>
        <w:rPr>
          <w:rFonts w:ascii="Times New Roman;serif" w:hAnsi="Times New Roman;serif"/>
          <w:b w:val="false"/>
          <w:color w:val="000000"/>
          <w:sz w:val="20"/>
        </w:rPr>
        <w:t>. This Amendment may be signed by facsimile or by emailing a pdf file and may be signed in counterparts, each of which shall be deemed an original and all of which together shall constitute one and the same agreement, to the fullest extent permitted by law. The parties to this Amendment irrevocably and unreservedly agree that this Amendment may be executed by way of electronic signatures and that such Amendment, or any part thereof, shall not be challenged or denied any legal effect, validity or enforceability solely on the ground that it is in the form of an electronic record.</w:t>
      </w:r>
    </w:p>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20"/>
        <w:jc w:val="left"/>
        <w:rPr>
          <w:color w:val="000000"/>
        </w:rPr>
      </w:pPr>
      <w:r>
        <w:rPr>
          <w:color w:val="000000"/>
        </w:rPr>
        <w:t>    </w:t>
      </w:r>
      <w:r>
        <w:rPr>
          <w:rFonts w:ascii="Times New Roman;serif" w:hAnsi="Times New Roman;serif"/>
          <w:b w:val="false"/>
          <w:color w:val="000000"/>
          <w:sz w:val="20"/>
        </w:rPr>
        <w:t>IN WITNESS WHEREOF, each of the undersigned has duly executed this Agreement (or caused this Agreement to be executed on its behalf by its officer or representative thereunto duly authorized) as of the date first above written.</w:t>
      </w:r>
    </w:p>
    <w:tbl>
      <w:tblPr>
        <w:tblW w:w="9659" w:type="dxa"/>
        <w:jc w:val="left"/>
        <w:tblInd w:w="0" w:type="dxa"/>
        <w:tblLayout w:type="fixed"/>
        <w:tblCellMar>
          <w:top w:w="28" w:type="dxa"/>
          <w:left w:w="28" w:type="dxa"/>
          <w:bottom w:w="28" w:type="dxa"/>
          <w:right w:w="28" w:type="dxa"/>
        </w:tblCellMar>
      </w:tblPr>
      <w:tblGrid>
        <w:gridCol w:w="1927"/>
        <w:gridCol w:w="1695"/>
        <w:gridCol w:w="1702"/>
        <w:gridCol w:w="1269"/>
        <w:gridCol w:w="1269"/>
        <w:gridCol w:w="1797"/>
      </w:tblGrid>
      <w:tr>
        <w:trPr/>
        <w:tc>
          <w:tcPr>
            <w:tcW w:w="1927"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RIO GRANDE LNG INTERMEDIATE HOLDINGS, LLC</w:t>
            </w:r>
          </w:p>
          <w:p>
            <w:pPr>
              <w:pStyle w:val="TableContents"/>
              <w:bidi w:val="0"/>
              <w:spacing w:lineRule="auto" w:line="288" w:before="0" w:after="22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Vera de Gyarfas</w:t>
            </w:r>
            <w:r>
              <w:rPr>
                <w:rFonts w:ascii="Times New Roman;serif" w:hAnsi="Times New Roman;serif"/>
                <w:b w:val="false"/>
                <w:color w:val="000000"/>
                <w:sz w:val="20"/>
              </w:rPr>
              <w:t>_____________</w:t>
              <w:br/>
              <w:t>Name:    Vera de Gyarfas</w:t>
              <w:br/>
              <w:t>Title:    General Counsel and Secretary</w:t>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20"/>
              <w:jc w:val="left"/>
              <w:rPr>
                <w:rFonts w:ascii="Times New Roman;serif" w:hAnsi="Times New Roman;serif"/>
                <w:b w:val="false"/>
                <w:color w:val="000000"/>
                <w:sz w:val="20"/>
              </w:rPr>
            </w:pPr>
            <w:r>
              <w:rPr>
                <w:rFonts w:ascii="Times New Roman;serif" w:hAnsi="Times New Roman;serif"/>
                <w:b w:val="false"/>
                <w:color w:val="000000"/>
                <w:sz w:val="20"/>
              </w:rPr>
              <w:t>GIP V VELOCITY ACQUISITION PARTNERS, L.P.</w:t>
            </w:r>
          </w:p>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By: GIP Velocity GP, LLC, its general partner</w:t>
            </w:r>
          </w:p>
          <w:p>
            <w:pPr>
              <w:pStyle w:val="TableContents"/>
              <w:bidi w:val="0"/>
              <w:spacing w:lineRule="auto" w:line="288" w:before="0" w:after="22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Gregg Myers</w:t>
            </w:r>
            <w:r>
              <w:rPr>
                <w:rFonts w:ascii="Times New Roman;serif" w:hAnsi="Times New Roman;serif"/>
                <w:b w:val="false"/>
                <w:color w:val="000000"/>
                <w:sz w:val="20"/>
              </w:rPr>
              <w:t>_________________</w:t>
              <w:br/>
              <w:t>Name:    Gregg Myers</w:t>
              <w:br/>
              <w:t>Title:    Chief Financial Officer</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20"/>
              <w:jc w:val="left"/>
              <w:rPr/>
            </w:pPr>
            <w:r>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RIO GRANDE LNG INTERMEDIATE SUPER HOLDINGS, LLC</w:t>
            </w:r>
          </w:p>
          <w:p>
            <w:pPr>
              <w:pStyle w:val="TableContents"/>
              <w:bidi w:val="0"/>
              <w:spacing w:lineRule="auto" w:line="288" w:before="0" w:after="22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Vera de Gyarfas</w:t>
            </w:r>
            <w:r>
              <w:rPr>
                <w:rFonts w:ascii="Times New Roman;serif" w:hAnsi="Times New Roman;serif"/>
                <w:b w:val="false"/>
                <w:color w:val="000000"/>
                <w:sz w:val="20"/>
              </w:rPr>
              <w:t>_____________</w:t>
              <w:br/>
              <w:t>Name:    Vera de Gyarfas</w:t>
              <w:br/>
              <w:t>Title:    General Counsel and Secretary</w:t>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20"/>
              <w:jc w:val="left"/>
              <w:rPr>
                <w:rFonts w:ascii="Times New Roman;serif" w:hAnsi="Times New Roman;serif"/>
                <w:b w:val="false"/>
                <w:color w:val="000000"/>
                <w:sz w:val="20"/>
              </w:rPr>
            </w:pPr>
            <w:r>
              <w:rPr>
                <w:rFonts w:ascii="Times New Roman;serif" w:hAnsi="Times New Roman;serif"/>
                <w:b w:val="false"/>
                <w:color w:val="000000"/>
                <w:sz w:val="20"/>
              </w:rPr>
              <w:t>GIM PARTICIPATION VELOCITY, L.P.</w:t>
            </w:r>
          </w:p>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By: GIP Velocity GP, LLC, its general partner</w:t>
            </w:r>
          </w:p>
          <w:p>
            <w:pPr>
              <w:pStyle w:val="TableContents"/>
              <w:bidi w:val="0"/>
              <w:spacing w:lineRule="auto" w:line="288" w:before="0" w:after="22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Gregg Myers</w:t>
            </w:r>
            <w:r>
              <w:rPr>
                <w:rFonts w:ascii="Times New Roman;serif" w:hAnsi="Times New Roman;serif"/>
                <w:b w:val="false"/>
                <w:color w:val="000000"/>
                <w:sz w:val="20"/>
              </w:rPr>
              <w:t>_________________</w:t>
              <w:br/>
              <w:t>Name:    Gregg Myers</w:t>
              <w:br/>
              <w:t>Title:    Chief Financial Officer</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20"/>
              <w:jc w:val="left"/>
              <w:rPr/>
            </w:pPr>
            <w:r>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0" w:after="220"/>
              <w:jc w:val="left"/>
              <w:rPr>
                <w:rFonts w:ascii="Times New Roman;serif" w:hAnsi="Times New Roman;serif"/>
                <w:b w:val="false"/>
                <w:color w:val="000000"/>
                <w:sz w:val="20"/>
              </w:rPr>
            </w:pPr>
            <w:r>
              <w:rPr>
                <w:rFonts w:ascii="Times New Roman;serif" w:hAnsi="Times New Roman;serif"/>
                <w:b w:val="false"/>
                <w:color w:val="000000"/>
                <w:sz w:val="20"/>
              </w:rPr>
              <w:t>GIP V VELOCITY AGGREGATOR, L.P.</w:t>
            </w:r>
          </w:p>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By: GIP Velocity GP, LLC, its general partner</w:t>
            </w:r>
          </w:p>
          <w:p>
            <w:pPr>
              <w:pStyle w:val="TableContents"/>
              <w:bidi w:val="0"/>
              <w:spacing w:lineRule="auto" w:line="288" w:before="0" w:after="44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Gregg Myers</w:t>
            </w:r>
            <w:r>
              <w:rPr>
                <w:rFonts w:ascii="Times New Roman;serif" w:hAnsi="Times New Roman;serif"/>
                <w:b w:val="false"/>
                <w:color w:val="000000"/>
                <w:sz w:val="20"/>
              </w:rPr>
              <w:t>________________</w:t>
              <w:br/>
              <w:t>Name:    Gregg Myers</w:t>
              <w:br/>
              <w:t>Title:    Chief Financial Officer</w:t>
            </w:r>
          </w:p>
        </w:tc>
        <w:tc>
          <w:tcPr>
            <w:tcW w:w="4335" w:type="dxa"/>
            <w:gridSpan w:val="3"/>
            <w:tcBorders/>
            <w:tcMar>
              <w:top w:w="0" w:type="dxa"/>
              <w:left w:w="0" w:type="dxa"/>
              <w:bottom w:w="0" w:type="dxa"/>
              <w:right w:w="0" w:type="dxa"/>
            </w:tcMar>
            <w:vAlign w:val="center"/>
          </w:tcPr>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DEVONSHIRE INVESTMENT PTE. LTD.</w:t>
            </w:r>
          </w:p>
          <w:p>
            <w:pPr>
              <w:pStyle w:val="TableContents"/>
              <w:bidi w:val="0"/>
              <w:spacing w:before="0" w:after="220"/>
              <w:jc w:val="left"/>
              <w:rPr/>
            </w:pPr>
            <w:r>
              <w:rPr/>
            </w:r>
          </w:p>
          <w:p>
            <w:pPr>
              <w:pStyle w:val="TableContents"/>
              <w:bidi w:val="0"/>
              <w:spacing w:lineRule="auto" w:line="288" w:before="0" w:after="22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Diego Canales</w:t>
            </w:r>
            <w:r>
              <w:rPr>
                <w:rFonts w:ascii="Times New Roman;serif" w:hAnsi="Times New Roman;serif"/>
                <w:b w:val="false"/>
                <w:color w:val="000000"/>
                <w:sz w:val="20"/>
              </w:rPr>
              <w:t>_______________</w:t>
              <w:br/>
              <w:t>Name:    Diego Canales</w:t>
              <w:br/>
              <w:t>Title:    Authorized Signatory</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LLC Agreement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LLC Agreement Amendment </w:t>
                      </w:r>
                    </w:p>
                  </w:txbxContent>
                </v:textbox>
                <w10:wrap type="none"/>
              </v:rect>
            </w:pict>
          </mc:Fallback>
        </mc:AlternateContent>
      </w:r>
    </w:p>
    <w:p>
      <w:pPr>
        <w:pStyle w:val="TextBody"/>
        <w:bidi w:val="0"/>
        <w:spacing w:before="0" w:after="0"/>
        <w:jc w:val="left"/>
        <w:rPr/>
      </w:pPr>
      <w:r>
        <w:rPr/>
      </w:r>
    </w:p>
    <w:tbl>
      <w:tblPr>
        <w:tblW w:w="4602" w:type="dxa"/>
        <w:jc w:val="left"/>
        <w:tblInd w:w="0" w:type="dxa"/>
        <w:tblLayout w:type="fixed"/>
        <w:tblCellMar>
          <w:top w:w="28" w:type="dxa"/>
          <w:left w:w="28" w:type="dxa"/>
          <w:bottom w:w="28" w:type="dxa"/>
          <w:right w:w="28" w:type="dxa"/>
        </w:tblCellMar>
      </w:tblPr>
      <w:tblGrid>
        <w:gridCol w:w="1533"/>
        <w:gridCol w:w="1347"/>
        <w:gridCol w:w="1350"/>
        <w:gridCol w:w="109"/>
        <w:gridCol w:w="109"/>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GLOBAL LNG NORTH AMERICA CORP.</w:t>
            </w:r>
          </w:p>
          <w:p>
            <w:pPr>
              <w:pStyle w:val="TableContents"/>
              <w:bidi w:val="0"/>
              <w:spacing w:lineRule="auto" w:line="288" w:before="0" w:after="440"/>
              <w:jc w:val="left"/>
              <w:rPr/>
            </w:pPr>
            <w:r>
              <w:rPr>
                <w:rFonts w:ascii="Times New Roman;serif" w:hAnsi="Times New Roman;serif"/>
                <w:b w:val="false"/>
                <w:color w:val="000000"/>
                <w:sz w:val="20"/>
              </w:rPr>
              <w:t>By: ____</w:t>
            </w:r>
            <w:r>
              <w:rPr>
                <w:rFonts w:ascii="Times New Roman;serif" w:hAnsi="Times New Roman;serif"/>
                <w:b w:val="false"/>
                <w:color w:val="000000"/>
                <w:sz w:val="20"/>
                <w:u w:val="single"/>
              </w:rPr>
              <w:t xml:space="preserve">/s/Arnaud Lenail-Chouteau </w:t>
            </w:r>
            <w:r>
              <w:rPr>
                <w:rFonts w:ascii="Times New Roman;serif" w:hAnsi="Times New Roman;serif"/>
                <w:b w:val="false"/>
                <w:color w:val="000000"/>
                <w:sz w:val="20"/>
              </w:rPr>
              <w:t>______</w:t>
              <w:br/>
              <w:t>Name:    Arnaud Lenail-Chouteau</w:t>
              <w:br/>
              <w:t>Title:    VP LNG Assets and Business Development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LLC Agreement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LLC Agreement Amendment </w:t>
                      </w:r>
                    </w:p>
                  </w:txbxContent>
                </v:textbox>
                <w10:wrap type="none"/>
              </v:rect>
            </w:pict>
          </mc:Fallback>
        </mc:AlternateContent>
      </w:r>
    </w:p>
    <w:p>
      <w:pPr>
        <w:pStyle w:val="TextBody"/>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MIC TI HOLDING COMPANY 2 RSC LIMITED</w:t>
      </w:r>
    </w:p>
    <w:p>
      <w:pPr>
        <w:pStyle w:val="TextBody"/>
        <w:bidi w:val="0"/>
        <w:spacing w:lineRule="auto" w:line="288" w:before="0" w:after="220"/>
        <w:jc w:val="left"/>
        <w:rPr/>
      </w:pPr>
      <w:r>
        <w:rPr>
          <w:rFonts w:ascii="Times New Roman;serif" w:hAnsi="Times New Roman;serif"/>
          <w:b w:val="false"/>
          <w:color w:val="000000"/>
          <w:sz w:val="20"/>
        </w:rPr>
        <w:t>By: __</w:t>
      </w:r>
      <w:r>
        <w:rPr>
          <w:rFonts w:ascii="Times New Roman;serif" w:hAnsi="Times New Roman;serif"/>
          <w:b w:val="false"/>
          <w:color w:val="000000"/>
          <w:sz w:val="20"/>
          <w:u w:val="single"/>
        </w:rPr>
        <w:t>/s/ Saed Arrar</w:t>
      </w:r>
      <w:r>
        <w:rPr>
          <w:rFonts w:ascii="Times New Roman;serif" w:hAnsi="Times New Roman;serif"/>
          <w:b w:val="false"/>
          <w:color w:val="000000"/>
          <w:sz w:val="20"/>
        </w:rPr>
        <w:t>________________________</w:t>
        <w:br/>
        <w:t>Name:    Saed Arrar</w:t>
        <w:br/>
        <w:t>Title:    Authorised Signatory</w:t>
      </w:r>
    </w:p>
    <w:p>
      <w:pPr>
        <w:pStyle w:val="TextBody"/>
        <w:bidi w:val="0"/>
        <w:spacing w:lineRule="auto" w:line="288" w:before="0" w:after="220"/>
        <w:jc w:val="left"/>
        <w:rPr/>
      </w:pPr>
      <w:r>
        <w:rPr>
          <w:rFonts w:ascii="Times New Roman;serif" w:hAnsi="Times New Roman;serif"/>
          <w:b w:val="false"/>
          <w:color w:val="000000"/>
          <w:sz w:val="20"/>
        </w:rPr>
        <w:t>By: __</w:t>
      </w:r>
      <w:r>
        <w:rPr>
          <w:rFonts w:ascii="Times New Roman;serif" w:hAnsi="Times New Roman;serif"/>
          <w:b w:val="false"/>
          <w:color w:val="000000"/>
          <w:sz w:val="20"/>
          <w:u w:val="single"/>
        </w:rPr>
        <w:t>/s/ Kevin Taylaur</w:t>
      </w:r>
      <w:r>
        <w:rPr>
          <w:rFonts w:ascii="Times New Roman;serif" w:hAnsi="Times New Roman;serif"/>
          <w:b w:val="false"/>
          <w:color w:val="000000"/>
          <w:sz w:val="20"/>
        </w:rPr>
        <w:t>_____________________</w:t>
        <w:br/>
        <w:t>Name:    Kevin Taylaur</w:t>
        <w:br/>
        <w:t>Title:    Authorised Signatory</w:t>
      </w:r>
    </w:p>
    <w:p>
      <w:pPr>
        <w:pStyle w:val="TextBody"/>
        <w:bidi w:val="0"/>
        <w:spacing w:before="0" w:after="2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LLC Agreement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LLC Agreement Amendment </w:t>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lineRule="auto" w:line="288" w:before="0" w:after="220"/>
        <w:jc w:val="center"/>
        <w:rPr>
          <w:rFonts w:ascii="Times New Roman;serif" w:hAnsi="Times New Roman;serif"/>
          <w:b w:val="false"/>
          <w:color w:val="000000"/>
          <w:sz w:val="20"/>
        </w:rPr>
      </w:pPr>
      <w:r>
        <w:rPr>
          <w:rFonts w:ascii="Times New Roman;serif" w:hAnsi="Times New Roman;serif"/>
          <w:b w:val="false"/>
          <w:color w:val="000000"/>
          <w:sz w:val="20"/>
        </w:rPr>
        <w:t>Amendments to Section 3.2(b)</w:t>
      </w:r>
    </w:p>
    <w:p>
      <w:pPr>
        <w:pStyle w:val="TextBody"/>
        <w:bidi w:val="0"/>
        <w:spacing w:lineRule="auto" w:line="288" w:before="0" w:after="220"/>
        <w:jc w:val="left"/>
        <w:rPr/>
      </w:pPr>
      <w:r>
        <w:rPr>
          <w:rFonts w:ascii="Times New Roman;serif" w:hAnsi="Times New Roman;serif"/>
          <w:b w:val="false"/>
          <w:color w:val="000000"/>
          <w:sz w:val="20"/>
        </w:rPr>
        <w:t>Section 3.2    </w:t>
      </w:r>
      <w:r>
        <w:rPr>
          <w:rFonts w:ascii="Times New Roman;serif" w:hAnsi="Times New Roman;serif"/>
          <w:b w:val="false"/>
          <w:color w:val="000000"/>
          <w:sz w:val="20"/>
          <w:u w:val="single"/>
        </w:rPr>
        <w:t>Committed Contributions</w:t>
      </w:r>
      <w:r>
        <w:rPr>
          <w:rFonts w:ascii="Times New Roman;serif" w:hAnsi="Times New Roman;serif"/>
          <w:b w:val="false"/>
          <w:color w:val="000000"/>
          <w:sz w:val="20"/>
        </w:rPr>
        <w: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Subsequent Contributions. Subject to Section 3.1(b) and Section 3.1(c), following the initial contributions contemplated by Section 3.2(a), the Committed Members shall make Equity Contributions not to exceed the P1 Committed Amounts as follows:</w:t>
      </w:r>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(i)    On each P1 JVCo Contribution Installment Date occurring after the date hereof, (A) the Class A Member shall make an Equity Contribution in cash equal to the Class A Installment Contribution Amount as of such P1 JVCo Contribution Installment Date, and (B) each Committed Member (including the Class A Member) shall make an Equity Contribution in cash in an amount equal to its P1 Funding Percentage of an amount equal to (x) the Aggregate Equity Contribution as of such P1 JVCo Contribution Installment Date minus (y) the Class A Installment Contribution Amount to be funded on such P1 JVCo Contribution Installment Date in accordance with subpart (A) of this Section 3.2(b)(i).</w:t>
      </w:r>
    </w:p>
    <w:p>
      <w:pPr>
        <w:pStyle w:val="TextBody"/>
        <w:bidi w:val="0"/>
        <w:spacing w:lineRule="auto" w:line="288" w:before="0" w:after="220"/>
        <w:jc w:val="both"/>
        <w:rPr/>
      </w:pPr>
      <w:r>
        <w:rPr>
          <w:rFonts w:ascii="Times New Roman;serif" w:hAnsi="Times New Roman;serif"/>
          <w:b w:val="false"/>
          <w:color w:val="000000"/>
          <w:sz w:val="20"/>
        </w:rPr>
        <w:t xml:space="preserve">(ii)    On each other P1 JVCo Contribution Date </w:t>
      </w:r>
      <w:r>
        <w:rPr>
          <w:rFonts w:ascii="Times New Roman;serif" w:hAnsi="Times New Roman;serif"/>
          <w:b/>
          <w:color w:val="000000"/>
          <w:sz w:val="20"/>
          <w:u w:val="single"/>
        </w:rPr>
        <w:t>occurring prior to the Accelerated Equity Date</w:t>
      </w:r>
      <w:r>
        <w:rPr>
          <w:rFonts w:ascii="Times New Roman;serif" w:hAnsi="Times New Roman;serif"/>
          <w:b w:val="false"/>
          <w:color w:val="000000"/>
          <w:sz w:val="20"/>
        </w:rPr>
        <w:t>, each Committed Member shall make an Equity Contribution in cash in an amount equal to its P1 Funding Percentage of the Aggregate Equity Contribution as of such P1 JVCo Contribution Date.</w: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(iii)    On each P1 JVCo Contribution Date occurring on and after the Accelerated Equity Date, each Committed Member shall make Equity Contributions in accordance with Section 3.9 and Section 3.2(c).</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lineRule="auto" w:line="288" w:before="0" w:after="220"/>
        <w:jc w:val="center"/>
        <w:rPr>
          <w:rFonts w:ascii="Times New Roman;serif" w:hAnsi="Times New Roman;serif"/>
          <w:b w:val="false"/>
          <w:color w:val="000000"/>
          <w:sz w:val="20"/>
        </w:rPr>
      </w:pPr>
      <w:r>
        <w:rPr>
          <w:rFonts w:ascii="Times New Roman;serif" w:hAnsi="Times New Roman;serif"/>
          <w:b w:val="false"/>
          <w:color w:val="000000"/>
          <w:sz w:val="20"/>
        </w:rPr>
        <w:t>Amendments to Section 3.9</w:t>
      </w:r>
    </w:p>
    <w:p>
      <w:pPr>
        <w:pStyle w:val="TextBody"/>
        <w:bidi w:val="0"/>
        <w:spacing w:lineRule="auto" w:line="288" w:before="0" w:after="220"/>
        <w:ind w:left="0" w:right="0" w:firstLine="720"/>
        <w:jc w:val="both"/>
        <w:rPr/>
      </w:pPr>
      <w:r>
        <w:rPr>
          <w:rFonts w:ascii="Times New Roman;serif" w:hAnsi="Times New Roman;serif"/>
          <w:b/>
          <w:color w:val="000000"/>
          <w:sz w:val="20"/>
          <w:u w:val="single"/>
        </w:rPr>
        <w:t>(a)</w:t>
      </w:r>
      <w:r>
        <w:rPr>
          <w:color w:val="000000"/>
        </w:rPr>
        <w:t>    </w:t>
      </w:r>
      <w:r>
        <w:rPr>
          <w:rFonts w:ascii="Times New Roman;serif" w:hAnsi="Times New Roman;serif"/>
          <w:b w:val="false"/>
          <w:color w:val="000000"/>
          <w:sz w:val="20"/>
        </w:rPr>
        <w:t xml:space="preserve">For the elimination of doubt, P1 JVCo Contribution Requests made in respect of the Committed Members’ respective P1 Committed Amounts shall be made commensurately and concurrently with Equity Contribution Requests (as defined in the Equity Contribution Agreement), which shall in each case be in an amount determined by the Board (subject to Section 3.2), and delivered to Holdings in accordance with the terms of the Equity Contribution Agreement;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w:t>
      </w:r>
      <w:r>
        <w:rPr>
          <w:rFonts w:ascii="Times New Roman;serif" w:hAnsi="Times New Roman;serif"/>
          <w:b w:val="false"/>
          <w:strike/>
          <w:color w:val="000000"/>
          <w:sz w:val="20"/>
        </w:rPr>
        <w:t>unless otherwise agreed as a Supermajority Matter, (x) to the extent that the Construction Loans are available to be drawn pursuant to and in accordance with the terms of the Financing Documents (as determined by the Board) (“Available Loans”)</w:t>
      </w:r>
      <w:r>
        <w:rPr>
          <w:color w:val="000000"/>
        </w:rPr>
        <w:t xml:space="preserve"> </w:t>
      </w:r>
      <w:r>
        <w:rPr>
          <w:rFonts w:ascii="Times New Roman;serif" w:hAnsi="Times New Roman;serif"/>
          <w:b/>
          <w:color w:val="000000"/>
          <w:sz w:val="20"/>
          <w:u w:val="single"/>
        </w:rPr>
        <w:t>(i) Section 3.9(b) shall apply prior to the application in full of the Remaining Accelerated Equity Amount and (ii) Section 3.9(c) shall apply thereafter.</w:t>
      </w:r>
    </w:p>
    <w:p>
      <w:pPr>
        <w:pStyle w:val="TextBody"/>
        <w:bidi w:val="0"/>
        <w:spacing w:lineRule="auto" w:line="288" w:before="0" w:after="220"/>
        <w:ind w:left="0" w:right="0" w:firstLine="720"/>
        <w:jc w:val="both"/>
        <w:rPr>
          <w:rFonts w:ascii="Times New Roman;serif" w:hAnsi="Times New Roman;serif"/>
          <w:b/>
          <w:color w:val="000000"/>
          <w:sz w:val="20"/>
          <w:u w:val="single"/>
        </w:rPr>
      </w:pPr>
      <w:r>
        <w:rPr>
          <w:rFonts w:ascii="Times New Roman;serif" w:hAnsi="Times New Roman;serif"/>
          <w:b/>
          <w:color w:val="000000"/>
          <w:sz w:val="20"/>
          <w:u w:val="single"/>
        </w:rPr>
        <w:t>(b)    On a date designated by (i) the TTE Member in its sole discretion in a written notice to the Company (such date designated by the TTE Member, the “TTE Accelerated Equity Date”), the TTE Member may contribute up to 100% of its P1 Remaining Committed Amount to the Company (the “TTE Accelerated Equity Amount”) and (ii) any FI Member Owner in its sole discretion in a written notice to the Company (such date designated by such FI Member Owner, a “FIMO Accelerated Equity Date”), such FI Member Owner may contribute up to 100% of such FI Member Owner’s FI P1 Remaining Committed Amount to the FI Member (each, a “FIMO Accelerated Equity Amount”), which FIMO Accelerated Equity Amount shall be automatically, without any further action by any Person, contributed by the FI Member to the Company. Promptly following (A) the TTE Accelerated Equity Date, the Company shall cause Holdings to deliver an ECS Reduction Certificate and updated ECS Allocation Schedule reflecting a reduction of the TTE Member’s equity credit support by the TTE Accelerated Equity Amount and (B) each FIMO Accelerated Equity Date, the Company shall cause Holdings to deliver an ECS Reduction Certificate and updated ECS Allocation Schedule reflecting a reduction of the applicable Accelerating FI Member Owner’s equity credit support by the corresponding FIMO Accelerated Equity Amount. Notwithstanding anything to the contrary herein, all Accelerated Equity Amounts shall be used solely to fund P1 Project Costs. On the Accelerated Equity Date and on each Equity Contribution Date thereafter prior to the Equity Contribution Date upon which the Remaining Accelerated Equity Amounts have been reduced to $0.00 in accordance with this Section 3.9(b), P1 JVCo Contribution Requests shall be made as follows:</w:t>
      </w:r>
    </w:p>
    <w:p>
      <w:pPr>
        <w:pStyle w:val="TextBody"/>
        <w:bidi w:val="0"/>
        <w:spacing w:lineRule="auto" w:line="288" w:before="0" w:after="220"/>
        <w:ind w:left="0" w:right="0" w:firstLine="720"/>
        <w:jc w:val="both"/>
        <w:rPr>
          <w:rFonts w:ascii="Times New Roman;serif" w:hAnsi="Times New Roman;serif"/>
          <w:b/>
          <w:color w:val="000000"/>
          <w:sz w:val="20"/>
          <w:u w:val="single"/>
        </w:rPr>
      </w:pPr>
      <w:r>
        <w:rPr>
          <w:rFonts w:ascii="Times New Roman;serif" w:hAnsi="Times New Roman;serif"/>
          <w:b/>
          <w:color w:val="000000"/>
          <w:sz w:val="20"/>
          <w:u w:val="single"/>
        </w:rPr>
        <w:t>(i)    the Board shall determine the amount that is required to enable RGLNG to pay any P1 Project Costs which are then due and payable or are reasonably anticipated to become due and payable prior to the next projected Equity Contribution Date (the “Gross Funding Amount”);</w:t>
      </w:r>
    </w:p>
    <w:p>
      <w:pPr>
        <w:pStyle w:val="TextBody"/>
        <w:bidi w:val="0"/>
        <w:spacing w:lineRule="auto" w:line="288" w:before="0" w:after="220"/>
        <w:ind w:left="0" w:right="0" w:firstLine="720"/>
        <w:jc w:val="both"/>
        <w:rPr>
          <w:rFonts w:ascii="Times New Roman;serif" w:hAnsi="Times New Roman;serif"/>
          <w:b/>
          <w:color w:val="000000"/>
          <w:sz w:val="20"/>
          <w:u w:val="single"/>
        </w:rPr>
      </w:pPr>
      <w:r>
        <w:rPr>
          <w:rFonts w:ascii="Times New Roman;serif" w:hAnsi="Times New Roman;serif"/>
          <w:b/>
          <w:color w:val="000000"/>
          <w:sz w:val="20"/>
          <w:u w:val="single"/>
        </w:rPr>
        <w:t>(ii)    the Board shall determine the amount of Construction Loans that are available to be drawn pursuant to and in accordance with the terms of the Financing Documents (as determined by the Board) to fund the Gross Funding Amount (the “Available Loans” and the quantum thereof the “Notional Debt Amount”);</w:t>
      </w:r>
    </w:p>
    <w:p>
      <w:pPr>
        <w:pStyle w:val="TextBody"/>
        <w:bidi w:val="0"/>
        <w:spacing w:lineRule="auto" w:line="288" w:before="0" w:after="220"/>
        <w:ind w:left="0" w:right="0" w:firstLine="630"/>
        <w:jc w:val="both"/>
        <w:rPr>
          <w:rFonts w:ascii="Times New Roman;serif" w:hAnsi="Times New Roman;serif"/>
          <w:b/>
          <w:color w:val="000000"/>
          <w:sz w:val="20"/>
          <w:u w:val="single"/>
        </w:rPr>
      </w:pPr>
      <w:r>
        <w:rPr>
          <w:rFonts w:ascii="Times New Roman;serif" w:hAnsi="Times New Roman;serif"/>
          <w:b/>
          <w:color w:val="000000"/>
          <w:sz w:val="20"/>
          <w:u w:val="single"/>
        </w:rPr>
        <w:t>(iii)    the Board shall subtract the Notional Debt Amount from the Gross Funding Amount to determine the “Notional Equity Amount”;</w:t>
      </w:r>
    </w:p>
    <w:p>
      <w:pPr>
        <w:pStyle w:val="TextBody"/>
        <w:bidi w:val="0"/>
        <w:spacing w:lineRule="auto" w:line="288" w:before="0" w:after="220"/>
        <w:ind w:left="0" w:right="0" w:firstLine="630"/>
        <w:jc w:val="both"/>
        <w:rPr>
          <w:rFonts w:ascii="Times New Roman;serif" w:hAnsi="Times New Roman;serif"/>
          <w:b/>
          <w:color w:val="000000"/>
          <w:sz w:val="20"/>
          <w:u w:val="single"/>
        </w:rPr>
      </w:pPr>
      <w:r>
        <w:rPr>
          <w:rFonts w:ascii="Times New Roman;serif" w:hAnsi="Times New Roman;serif"/>
          <w:b/>
          <w:color w:val="000000"/>
          <w:sz w:val="20"/>
          <w:u w:val="single"/>
        </w:rPr>
        <w:t xml:space="preserve">(iv)    the Board shall redetermine (A) the “Remaining TTE Accelerated Equity Amount” by subtracting the amount previously applied in accordance with this Section 3.9(b) from the Remaining TTE Accelerated Equity Amount and (B) with respect to any Accelerating FI Member Owner, the “Remaining FIMO Accelerated Equity Amount” of such Accelerating FI Member Owner by subtracting the amount previously applied in accordance with this Section 3.9(b) from the Remaining FIMO Accelerated Equity Amount of such Accelerating FI Member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Owner (the Remaining TTE Accelerated Equity Amount or Remaining FIMO Accelerated Equity Amount, when used with respect to the applicable Accelerating Holder, the “Remaining Accelerated Equity Amount” and, collectively, the “Remaining Accelerated Equity Amounts”);</w:t>
      </w:r>
    </w:p>
    <w:p>
      <w:pPr>
        <w:pStyle w:val="TextBody"/>
        <w:bidi w:val="0"/>
        <w:spacing w:lineRule="auto" w:line="288" w:before="0" w:after="220"/>
        <w:ind w:left="0" w:right="0" w:firstLine="630"/>
        <w:jc w:val="both"/>
        <w:rPr>
          <w:rFonts w:ascii="Times New Roman;serif" w:hAnsi="Times New Roman;serif"/>
          <w:b/>
          <w:color w:val="000000"/>
          <w:sz w:val="20"/>
          <w:u w:val="single"/>
        </w:rPr>
      </w:pPr>
      <w:r>
        <w:rPr>
          <w:rFonts w:ascii="Times New Roman;serif" w:hAnsi="Times New Roman;serif"/>
          <w:b/>
          <w:color w:val="000000"/>
          <w:sz w:val="20"/>
          <w:u w:val="single"/>
        </w:rPr>
        <w:t>(v)    the Board will determine the P1 Funding Percentage of each Committed Member (excluding any Accelerating Holder) and each Accelerating Holder (x) without giving effect to (A) the prior contribution of any Accelerated Equity Amount or (B) the application of Section 3.9(b)(viii) but (y) giving full effect to the application of the Accelerated Equity Amounts in accordance with Section 3.9(b)(vii) to be made on the applicable Equity Contribution Date and made on each prior Equity Contribution Date, as applicable, (respectively, the “Notional P1 Funding Percentages”) it being acknowledged and agreed that the Notional P1 Funding Percentages of the Committed Members shall be the same as the P1 Funding Percentages of the Committed Members as of immediately prior to the Accelerated Equity Date, assuming the funding of Equity Contributions by the Committed Members in accordance with Section 3.9(b)(vii) and Section 3.2(c);</w:t>
      </w:r>
    </w:p>
    <w:p>
      <w:pPr>
        <w:pStyle w:val="TextBody"/>
        <w:bidi w:val="0"/>
        <w:spacing w:lineRule="auto" w:line="288" w:before="0" w:after="220"/>
        <w:ind w:left="0" w:right="0" w:firstLine="630"/>
        <w:jc w:val="both"/>
        <w:rPr/>
      </w:pPr>
      <w:r>
        <w:rPr>
          <w:rFonts w:ascii="Times New Roman;serif" w:hAnsi="Times New Roman;serif"/>
          <w:b/>
          <w:color w:val="000000"/>
          <w:sz w:val="20"/>
          <w:u w:val="single"/>
        </w:rPr>
        <w:t xml:space="preserve">(vi)    the Board will cause the Company to issue a P1 JVCo Contribution Request to the Committed Members (for the elimination of doubt, other than in respect of any Accelerating Holder to the extent such Accelerating Holder’s (A) P1 Remaining Committed Amount or FI P1 Remaining Committed Amount, as applicable, has been reduced to $0.00 or (B) Remaining Accelerated Equity Amount is sufficient to satisfy such Accelerating Holder’s Notional P1 Funding Percentage of the Notional Equity Amount (any such Accelerating Holder that is required to fund Equity Contributions pursuant to this clause (vi) by virtue of this clause (B), a “Straddle Accelerating Holder”)) for an amount equal to (x) the Committed Members’ respective Notional P1 Funding Percentages of the Notional Equity Amount (provided that, with respect to any Straddle Accelerating Holder, such amount in this clause (x) will be reduced by the amount of such Straddle Accelerating Holder’s Remaining Accelerated Equity Amount) </w:t>
      </w:r>
      <w:r>
        <w:rPr>
          <w:rFonts w:ascii="Times New Roman;serif" w:hAnsi="Times New Roman;serif"/>
          <w:b/>
          <w:i/>
          <w:color w:val="000000"/>
          <w:sz w:val="20"/>
          <w:u w:val="single"/>
        </w:rPr>
        <w:t>plus</w:t>
      </w:r>
      <w:r>
        <w:rPr>
          <w:color w:val="000000"/>
          <w:u w:val="single"/>
        </w:rPr>
        <w:t xml:space="preserve"> </w:t>
      </w:r>
      <w:r>
        <w:rPr>
          <w:rFonts w:ascii="Times New Roman;serif" w:hAnsi="Times New Roman;serif"/>
          <w:b/>
          <w:color w:val="000000"/>
          <w:sz w:val="20"/>
          <w:u w:val="single"/>
        </w:rPr>
        <w:t xml:space="preserve">(y) if the Remaining Accelerated Equity Amount of any Accelerating Holder is less than the product of (1) the Notional Equity Amount </w:t>
      </w:r>
      <w:r>
        <w:rPr>
          <w:rFonts w:ascii="Times New Roman;serif" w:hAnsi="Times New Roman;serif"/>
          <w:b/>
          <w:i/>
          <w:color w:val="000000"/>
          <w:sz w:val="20"/>
          <w:u w:val="single"/>
        </w:rPr>
        <w:t>multiplied by</w:t>
      </w:r>
      <w:r>
        <w:rPr>
          <w:color w:val="000000"/>
          <w:u w:val="single"/>
        </w:rPr>
        <w:t xml:space="preserve"> </w:t>
      </w:r>
      <w:r>
        <w:rPr>
          <w:rFonts w:ascii="Times New Roman;serif" w:hAnsi="Times New Roman;serif"/>
          <w:b/>
          <w:color w:val="000000"/>
          <w:sz w:val="20"/>
          <w:u w:val="single"/>
        </w:rPr>
        <w:t xml:space="preserve">(2) such Accelerating Holder’s Notional P1 Funding Percentage, then such shortfall amount described in this clause (y), allocated to the Committed Members </w:t>
      </w:r>
      <w:r>
        <w:rPr>
          <w:rFonts w:ascii="Times New Roman;serif" w:hAnsi="Times New Roman;serif"/>
          <w:b/>
          <w:i/>
          <w:color w:val="000000"/>
          <w:sz w:val="20"/>
          <w:u w:val="single"/>
        </w:rPr>
        <w:t>pro rata</w:t>
      </w:r>
      <w:r>
        <w:rPr>
          <w:color w:val="000000"/>
          <w:u w:val="single"/>
        </w:rPr>
        <w:t xml:space="preserve"> </w:t>
      </w:r>
      <w:r>
        <w:rPr>
          <w:rFonts w:ascii="Times New Roman;serif" w:hAnsi="Times New Roman;serif"/>
          <w:b/>
          <w:color w:val="000000"/>
          <w:sz w:val="20"/>
          <w:u w:val="single"/>
        </w:rPr>
        <w:t>based on their Notional P1 Funding Percentages (it being understood that no such shortfall shall arise on the account of any Straddle Accelerating Holder);</w:t>
      </w:r>
    </w:p>
    <w:p>
      <w:pPr>
        <w:pStyle w:val="TextBody"/>
        <w:bidi w:val="0"/>
        <w:spacing w:lineRule="auto" w:line="288" w:before="0" w:after="220"/>
        <w:ind w:left="0" w:right="0" w:firstLine="630"/>
        <w:jc w:val="both"/>
        <w:rPr/>
      </w:pPr>
      <w:r>
        <w:rPr>
          <w:rFonts w:ascii="Times New Roman;serif" w:hAnsi="Times New Roman;serif"/>
          <w:b/>
          <w:color w:val="000000"/>
          <w:sz w:val="20"/>
          <w:u w:val="single"/>
        </w:rPr>
        <w:t xml:space="preserve">(vii)    each of (A) the Equity Contributions received from the Committed Members (for the elimination of doubt, other than any Accelerating Holder that is not a Straddle Accelerating Holder) pursuant to the P1 JVCo Contribution Requests and (B) with respect to any Accelerating Holder, such portion of the Remaining Accelerated Equity Amount equal to (x) the Notional Equity Amount </w:t>
      </w:r>
      <w:r>
        <w:rPr>
          <w:rFonts w:ascii="Times New Roman;serif" w:hAnsi="Times New Roman;serif"/>
          <w:b/>
          <w:i/>
          <w:color w:val="000000"/>
          <w:sz w:val="20"/>
          <w:u w:val="single"/>
        </w:rPr>
        <w:t>multiplied by</w:t>
      </w:r>
      <w:r>
        <w:rPr>
          <w:color w:val="000000"/>
          <w:u w:val="single"/>
        </w:rPr>
        <w:t xml:space="preserve"> </w:t>
      </w:r>
      <w:r>
        <w:rPr>
          <w:rFonts w:ascii="Times New Roman;serif" w:hAnsi="Times New Roman;serif"/>
          <w:b/>
          <w:color w:val="000000"/>
          <w:sz w:val="20"/>
          <w:u w:val="single"/>
        </w:rPr>
        <w:t xml:space="preserve">(y) such Accelerating Holder’s Notional P1 Funding Percentage (provided that, with respect to any Accelerating Holder, the amount in this clause (B) shall in no event exceed such Accelerating Holder’s Remaining Accelerated Equity Amount), will be applied to fund the Notional Equity Amount; </w:t>
      </w:r>
    </w:p>
    <w:p>
      <w:pPr>
        <w:pStyle w:val="TextBody"/>
        <w:bidi w:val="0"/>
        <w:spacing w:lineRule="auto" w:line="288" w:before="0" w:after="220"/>
        <w:ind w:left="0" w:right="0" w:firstLine="630"/>
        <w:jc w:val="both"/>
        <w:rPr/>
      </w:pPr>
      <w:r>
        <w:rPr>
          <w:rFonts w:ascii="Times New Roman;serif" w:hAnsi="Times New Roman;serif"/>
          <w:b/>
          <w:color w:val="000000"/>
          <w:sz w:val="20"/>
          <w:u w:val="single"/>
        </w:rPr>
        <w:t xml:space="preserve">(viii)    the Remaining Accelerated Equity Amounts of the Accelerating Holders will be applied, </w:t>
      </w:r>
      <w:r>
        <w:rPr>
          <w:rFonts w:ascii="Times New Roman;serif" w:hAnsi="Times New Roman;serif"/>
          <w:b/>
          <w:i/>
          <w:color w:val="000000"/>
          <w:sz w:val="20"/>
          <w:u w:val="single"/>
        </w:rPr>
        <w:t xml:space="preserve">pro rata </w:t>
      </w:r>
      <w:r>
        <w:rPr>
          <w:rFonts w:ascii="Times New Roman;serif" w:hAnsi="Times New Roman;serif"/>
          <w:b/>
          <w:color w:val="000000"/>
          <w:sz w:val="20"/>
          <w:u w:val="single"/>
        </w:rPr>
        <w:t>in accordance with the amount of their respective Remaining Accelerated Equity Amounts, to fund the Notional Debt Amount (or such portion thereof that equals the Remaining Accelerated Equity Amount after giving effect to Section 3.9(b)(vii)); and</w:t>
      </w:r>
    </w:p>
    <w:p>
      <w:pPr>
        <w:pStyle w:val="TextBody"/>
        <w:bidi w:val="0"/>
        <w:spacing w:lineRule="auto" w:line="288" w:before="0" w:after="220"/>
        <w:ind w:left="0" w:right="0" w:firstLine="630"/>
        <w:jc w:val="both"/>
        <w:rPr>
          <w:rFonts w:ascii="Times New Roman;serif" w:hAnsi="Times New Roman;serif"/>
          <w:b/>
          <w:color w:val="000000"/>
          <w:sz w:val="20"/>
          <w:u w:val="single"/>
        </w:rPr>
      </w:pPr>
      <w:r>
        <w:rPr>
          <w:rFonts w:ascii="Times New Roman;serif" w:hAnsi="Times New Roman;serif"/>
          <w:b/>
          <w:color w:val="000000"/>
          <w:sz w:val="20"/>
          <w:u w:val="single"/>
        </w:rPr>
        <w:t>(ix)    the Board will cause the drawing of Available Loans to fund any portion of the Notional Debt Amount not funded in accordance with Section 3.9(b)(vii) and Section 3.9(b)(viii).</w: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 xml:space="preserve">For illustrative purposes only, (x) if the Remaining TTE Accelerated Equity Amount is $40,000,000, the Remaining FIMO Accelerated Equity Amount of the GIP FI Member Owner is $80,000,000 (and no FI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color w:val="000000"/>
          <w:sz w:val="20"/>
          <w:u w:val="single"/>
        </w:rPr>
        <w:t>Member Owner other than the GIP FI Member Owner is an Accelerating FI Member Owner), the Gross Funding Amount is $100,000,000, there are $75,000,000 of Available Loans, and all Committed Members have theretofore funded their Equity Contributions in full as required by this Agreement (resulting in Notional P1 Funding Percentages of approximately 82.17% for the FI Member and 17.83% for the TTE Member), then (A) the Notional Equity Amount would be $25,000,000, (B) the Notional Debt Amount would be $75,000,000, (C) the Board would cause the Company to issue a P1 JVCo Contribution Request to the FI Member in respect of the FI P1 Remaining Committed Amounts of the GIC FI Member Owner and MIC FI Member Owner for $5,397,500 (</w:t>
      </w:r>
      <w:r>
        <w:rPr>
          <w:rFonts w:ascii="Times New Roman;serif" w:hAnsi="Times New Roman;serif"/>
          <w:b/>
          <w:i/>
          <w:color w:val="000000"/>
          <w:sz w:val="20"/>
          <w:u w:val="single"/>
        </w:rPr>
        <w:t>i.e.</w:t>
      </w:r>
      <w:r>
        <w:rPr>
          <w:rFonts w:ascii="Times New Roman;serif" w:hAnsi="Times New Roman;serif"/>
          <w:b/>
          <w:color w:val="000000"/>
          <w:sz w:val="20"/>
          <w:u w:val="single"/>
        </w:rPr>
        <w:t xml:space="preserve">, $25,000,000 * 21.59%) pursuant to Section 3.9(b)(vi), (D) the Board would direct the Company to cause the proceeds from each of (1) the honoring of such P1 JVCo Contribution Request, (2) $4,457,985 (i.e., $25,000,000 * 17.83%) of the Remaining TTE Accelerated Equity Amount and (3) $15,145,000 (i.e., $25,000,000 * 60.58%) of the Remaining FIMO Accelerated Equity Amount of the GIP FI Member Owner, to be applied in accordance with Section 3.9(b)(vii), (E) the Board would direct the Company to cause a portion of each of (1) the Remaining TTE Accelerated Equity Amount of $35,542,015 (i.e., (I) $40,000,000 </w:t>
      </w:r>
      <w:r>
        <w:rPr>
          <w:rFonts w:ascii="Times New Roman;serif" w:hAnsi="Times New Roman;serif"/>
          <w:b/>
          <w:i/>
          <w:color w:val="000000"/>
          <w:sz w:val="20"/>
          <w:u w:val="single"/>
        </w:rPr>
        <w:t>minus</w:t>
      </w:r>
      <w:r>
        <w:rPr>
          <w:color w:val="000000"/>
          <w:u w:val="single"/>
        </w:rPr>
        <w:t xml:space="preserve"> </w:t>
      </w:r>
      <w:r>
        <w:rPr>
          <w:rFonts w:ascii="Times New Roman;serif" w:hAnsi="Times New Roman;serif"/>
          <w:b/>
          <w:color w:val="000000"/>
          <w:sz w:val="20"/>
          <w:u w:val="single"/>
        </w:rPr>
        <w:t xml:space="preserve">(II) the $4,457,985 applied in accordance with Section 3.9(b)(vii), to be applied in accordance with Section 3.9(b)(viii)) and (2) the Remaining FIMO Accelerated Equity Amount of the GIP FI Member Owner of $64,855,000 (i.e., (I) $80,000,000 </w:t>
      </w:r>
      <w:r>
        <w:rPr>
          <w:rFonts w:ascii="Times New Roman;serif" w:hAnsi="Times New Roman;serif"/>
          <w:b/>
          <w:i/>
          <w:color w:val="000000"/>
          <w:sz w:val="20"/>
          <w:u w:val="single"/>
        </w:rPr>
        <w:t>minus</w:t>
      </w:r>
      <w:r>
        <w:rPr>
          <w:color w:val="000000"/>
          <w:u w:val="single"/>
        </w:rPr>
        <w:t xml:space="preserve"> </w:t>
      </w:r>
      <w:r>
        <w:rPr>
          <w:rFonts w:ascii="Times New Roman;serif" w:hAnsi="Times New Roman;serif"/>
          <w:b/>
          <w:color w:val="000000"/>
          <w:sz w:val="20"/>
          <w:u w:val="single"/>
        </w:rPr>
        <w:t>(II) the $15,145,000 applied in accordance with Section 3.9(b)(vii)</w:t>
      </w:r>
      <w:r>
        <w:rPr>
          <w:rFonts w:ascii="Times New Roman;serif" w:hAnsi="Times New Roman;serif"/>
          <w:b/>
          <w:i/>
          <w:color w:val="000000"/>
          <w:sz w:val="20"/>
          <w:u w:val="single"/>
        </w:rPr>
        <w:t xml:space="preserve">, </w:t>
      </w:r>
      <w:r>
        <w:rPr>
          <w:rFonts w:ascii="Times New Roman;serif" w:hAnsi="Times New Roman;serif"/>
          <w:b/>
          <w:color w:val="000000"/>
          <w:sz w:val="20"/>
          <w:u w:val="single"/>
        </w:rPr>
        <w:t>to be applied in accordance with Section 3.9(b)(viii)), such that, on a pro rata basis, $26,551,099.40 of the Remaining TTE Accelerated Equity Amount is applied in accordance with Section 3.9(b)(viii), and $48,448,900.60 of the Remaining FIMO Accelerated Equity Amount is applied in accordance with Section 3.9(b)(viii), and (F) no Available Loans would be drawn to cause the aggregate amount drawn as Equity Contributions and Available Loans plus the Remaining Accelerated Equity Amount to equal $100,000,000; and (y) if the Remaining TTE Accelerated Equity Amount is $2,000,000 and TTE Member’s P1 Remaining Committed Amount is $100,0000,000, no FI Member Owner is an Accelerating FI Member Owner, the Gross Funding Amount is $100,000,000, there are $75,000,000 of Available Loans, and all Committed Members have theretofore funded their Equity Contributions in full as required by this Agreement (resulting in Notional P1 Funding Percentages of approximately 82.17% for the FI Member and 17.83% for the TTE Member), then (A) the Notional Equity Amount would be $25,000,000, (B) the Notional Debt Amount would be $75,000,000, (C) the Board would cause the Company to issue (x) a P1 JVCo Contribution Request to the FI Member for $20,542,500 (i.e., $25,000,000 * 82.17%) pursuant to Section 3.9(b)(vi), and (y) a P1 JVCo Contribution Request to the TTE Member as a Straddle Accelerating Holder for $2,457,500 of its P1 Remaining Committed Amount pursuant to Section 3.9(b)(vi), (D) the Board would cause the proceeds from the honoring of such P1 JVCo Contribution Requests and an amount equal to the entirety of the Remaining TTE Accelerated Equity Amount of $2,000,000 to be applied in accordance with Section 3.9(b)(vii), (which, together with TTE Member’s funding under its respective P1 JVCo Contribution Request under subclause (y) of the foregoing clause (C), satisfies in full TTE Member’s respective Notional P1 Funding Percentage of the Notional Equity Amount, for a total of $4,457,500 (i.e., $25,000,000 * 17.83%)), (E) no amounts would be applied to the Notional Debt Amount in accordance with Section 3.9(b)(viii), as a result of the Remaining TTE Accelerated Equity Amount having been reduced to $0.00, and (F) Available Loans of $75,000,000 would be drawn to cause the aggregate amount drawn as Equity Contributions and Available Loans plus the Remaining TTE Accelerated Equity Amount to equal $100,000,000.</w:t>
      </w:r>
    </w:p>
    <w:p>
      <w:pPr>
        <w:pStyle w:val="TextBody"/>
        <w:bidi w:val="0"/>
        <w:spacing w:lineRule="auto" w:line="288" w:before="0" w:after="220"/>
        <w:ind w:left="0" w:right="0" w:firstLine="720"/>
        <w:jc w:val="both"/>
        <w:rPr/>
      </w:pPr>
      <w:r>
        <w:rPr>
          <w:rFonts w:ascii="Times New Roman;serif" w:hAnsi="Times New Roman;serif"/>
          <w:b/>
          <w:color w:val="000000"/>
          <w:sz w:val="20"/>
          <w:u w:val="single"/>
        </w:rPr>
        <w:t>(c)</w:t>
      </w:r>
      <w:r>
        <w:rPr>
          <w:color w:val="000000"/>
        </w:rPr>
        <w:t xml:space="preserve">     </w:t>
      </w:r>
      <w:r>
        <w:rPr>
          <w:rFonts w:ascii="Times New Roman;serif" w:hAnsi="Times New Roman;serif"/>
          <w:b/>
          <w:color w:val="000000"/>
          <w:sz w:val="20"/>
          <w:u w:val="single"/>
        </w:rPr>
        <w:t xml:space="preserve">On </w:t>
      </w:r>
      <w:r>
        <w:rPr>
          <w:rFonts w:ascii="Times New Roman;serif" w:hAnsi="Times New Roman;serif"/>
          <w:b w:val="false"/>
          <w:color w:val="000000"/>
          <w:sz w:val="20"/>
        </w:rPr>
        <w:t xml:space="preserve">and </w:t>
      </w:r>
      <w:r>
        <w:rPr>
          <w:rFonts w:ascii="Times New Roman;serif" w:hAnsi="Times New Roman;serif"/>
          <w:b/>
          <w:color w:val="000000"/>
          <w:sz w:val="20"/>
          <w:u w:val="single"/>
        </w:rPr>
        <w:t>after the date that all Remaining Accelerated Equity Amounts are reduced to $0.00, unless otherwise agreed as a Supermajority Matter, (x) to the extent</w:t>
      </w:r>
      <w:r>
        <w:rPr>
          <w:color w:val="000000"/>
          <w:u w:val="single"/>
        </w:rPr>
        <w:t xml:space="preserve"> </w:t>
      </w:r>
      <w:r>
        <w:rPr>
          <w:rFonts w:ascii="Times New Roman;serif" w:hAnsi="Times New Roman;serif"/>
          <w:b/>
          <w:color w:val="000000"/>
          <w:sz w:val="20"/>
          <w:u w:val="single"/>
        </w:rPr>
        <w:t xml:space="preserve">of Available Loans and </w:t>
      </w:r>
      <w:r>
        <w:rPr>
          <w:rFonts w:ascii="Times New Roman;serif" w:hAnsi="Times New Roman;serif"/>
          <w:b w:val="false"/>
          <w:color w:val="000000"/>
          <w:sz w:val="20"/>
        </w:rPr>
        <w:t>unless the Board has determined that it is not in the Company’s best interest to draw on such Available Loans (Available Loans subject to such a determination, the “</w:t>
      </w:r>
      <w:r>
        <w:rPr>
          <w:rFonts w:ascii="Times New Roman;serif" w:hAnsi="Times New Roman;serif"/>
          <w:b w:val="false"/>
          <w:color w:val="000000"/>
          <w:sz w:val="20"/>
          <w:u w:val="single"/>
        </w:rPr>
        <w:t>Unavailable Loans</w:t>
      </w:r>
      <w:r>
        <w:rPr>
          <w:color w:val="000000"/>
        </w:rPr>
        <w:t>”</w:t>
      </w:r>
      <w:r>
        <w:rPr>
          <w:rFonts w:ascii="Times New Roman;serif" w:hAnsi="Times New Roman;serif"/>
          <w:b w:val="false"/>
          <w:color w:val="000000"/>
          <w:sz w:val="20"/>
        </w:rPr>
        <w:t xml:space="preserve">), no Equity Contribution Requests shall be made prior to the time that the D:E Ratio first equals 75:25, (y) from and after the time that the D:E Ratio first equals 75:25 until the Equity Funding Adjustment Date and for so long as the Construction Loans constitute Available Loans and do not constitute Unavailable Loans, Equity Contribution Requests will request equity contributions in an </w:t>
      </w:r>
      <w:r>
        <w:rPr>
          <w:rFonts w:ascii="Times New Roman;serif" w:hAnsi="Times New Roman;serif"/>
          <w:b/>
          <w:color w:val="000000"/>
          <w:sz w:val="20"/>
          <w:u w:val="single"/>
        </w:rPr>
        <w:t xml:space="preserve">aggregate </w:t>
      </w:r>
      <w:r>
        <w:rPr>
          <w:rFonts w:ascii="Times New Roman;serif" w:hAnsi="Times New Roman;serif"/>
          <w:b w:val="false"/>
          <w:color w:val="000000"/>
          <w:sz w:val="20"/>
        </w:rPr>
        <w:t xml:space="preserve">amount that is no greater than the amount necessary to satisfy the pro rata funding requirements under the Financing Documents, </w:t>
      </w:r>
      <w:r>
        <w:rPr>
          <w:rFonts w:ascii="Times New Roman;serif" w:hAnsi="Times New Roman;serif"/>
          <w:b/>
          <w:color w:val="000000"/>
          <w:sz w:val="20"/>
          <w:u w:val="single"/>
        </w:rPr>
        <w:t xml:space="preserve">based on the Committed Members’ respective P1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color w:val="000000"/>
          <w:sz w:val="20"/>
          <w:u w:val="single"/>
        </w:rPr>
        <w:t xml:space="preserve">Funding Percentage, </w:t>
      </w:r>
      <w:r>
        <w:rPr>
          <w:rFonts w:ascii="Times New Roman;serif" w:hAnsi="Times New Roman;serif"/>
          <w:b w:val="false"/>
          <w:color w:val="000000"/>
          <w:sz w:val="20"/>
        </w:rPr>
        <w:t xml:space="preserve">taking into account any Construction Loan borrowing being made substantially concurrently with such equity contributions, and (z) at all times after the Equity Funding Adjustment Date or on any </w:t>
      </w:r>
      <w:r>
        <w:rPr>
          <w:rFonts w:ascii="Times New Roman;serif" w:hAnsi="Times New Roman;serif"/>
          <w:b/>
          <w:color w:val="000000"/>
          <w:sz w:val="20"/>
          <w:u w:val="single"/>
        </w:rPr>
        <w:t xml:space="preserve">P1 </w:t>
      </w:r>
      <w:r>
        <w:rPr>
          <w:rFonts w:ascii="Times New Roman;serif" w:hAnsi="Times New Roman;serif"/>
          <w:b w:val="false"/>
          <w:color w:val="000000"/>
          <w:sz w:val="20"/>
        </w:rPr>
        <w:t xml:space="preserve">JVCo Contribution Date that the Construction Loans are not Available Loans, Equity Contribution Requests will request equity contributions in </w:t>
      </w:r>
      <w:r>
        <w:rPr>
          <w:rFonts w:ascii="Times New Roman;serif" w:hAnsi="Times New Roman;serif"/>
          <w:b w:val="false"/>
          <w:strike/>
          <w:color w:val="000000"/>
          <w:sz w:val="20"/>
        </w:rPr>
        <w:t>the</w:t>
      </w:r>
      <w:r>
        <w:rPr>
          <w:color w:val="000000"/>
        </w:rPr>
        <w:t xml:space="preserve"> </w:t>
      </w:r>
      <w:r>
        <w:rPr>
          <w:rFonts w:ascii="Times New Roman;serif" w:hAnsi="Times New Roman;serif"/>
          <w:b/>
          <w:color w:val="000000"/>
          <w:sz w:val="20"/>
          <w:u w:val="single"/>
        </w:rPr>
        <w:t>an aggregate</w:t>
      </w:r>
      <w:r>
        <w:rPr>
          <w:color w:val="000000"/>
        </w:rPr>
        <w:t xml:space="preserve"> </w:t>
      </w:r>
      <w:r>
        <w:rPr>
          <w:rFonts w:ascii="Times New Roman;serif" w:hAnsi="Times New Roman;serif"/>
          <w:b w:val="false"/>
          <w:color w:val="000000"/>
          <w:sz w:val="20"/>
        </w:rPr>
        <w:t>amount that is required to enable RGLNG to pay any P1 Project Costs which are then due and payable or are reasonably anticipated to become due and payable prior to the next projected Equity Contribution Date</w:t>
      </w:r>
      <w:r>
        <w:rPr>
          <w:rFonts w:ascii="Times New Roman;serif" w:hAnsi="Times New Roman;serif"/>
          <w:b/>
          <w:color w:val="000000"/>
          <w:sz w:val="20"/>
        </w:rPr>
        <w:t xml:space="preserve">. All </w:t>
      </w:r>
      <w:r>
        <w:rPr>
          <w:rFonts w:ascii="Times New Roman;serif" w:hAnsi="Times New Roman;serif"/>
          <w:b/>
          <w:color w:val="000000"/>
          <w:sz w:val="20"/>
          <w:u w:val="single"/>
        </w:rPr>
        <w:t xml:space="preserve">, based on the Committed Members’ respective P1 Funding Percentage. </w:t>
      </w:r>
    </w:p>
    <w:p>
      <w:pPr>
        <w:pStyle w:val="TextBody"/>
        <w:bidi w:val="0"/>
        <w:spacing w:lineRule="auto" w:line="288"/>
        <w:ind w:left="0" w:right="0" w:firstLine="720"/>
        <w:jc w:val="left"/>
        <w:rPr/>
      </w:pPr>
      <w:r>
        <w:rPr>
          <w:rFonts w:ascii="Times New Roman;serif" w:hAnsi="Times New Roman;serif"/>
          <w:b/>
          <w:color w:val="000000"/>
          <w:sz w:val="20"/>
          <w:u w:val="single"/>
        </w:rPr>
        <w:t xml:space="preserve">(d)    Except as set forth in Section 3.9(b) or Section 3.9(c), all </w:t>
      </w:r>
      <w:r>
        <w:rPr>
          <w:rFonts w:ascii="Times New Roman;serif" w:hAnsi="Times New Roman;serif"/>
          <w:b w:val="false"/>
          <w:color w:val="000000"/>
          <w:sz w:val="20"/>
        </w:rPr>
        <w:t>other requests for Equity Contributions shall, if authorized to be made pursuant to the express terms of this Agreement, be made upon the request of the Board in accordance with this Agreement (including at the direction of a Member in accordance with Section 10.4(d)), and no Member shall otherwise have the right to make P1 JVCo Contribution Requests hereunder. No Member shall have any right to make Equity Contributions to the Company other than as expressly provided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Exhibit C</w:t>
      </w:r>
    </w:p>
    <w:p>
      <w:pPr>
        <w:pStyle w:val="TextBody"/>
        <w:bidi w:val="0"/>
        <w:spacing w:lineRule="auto" w:line="288" w:before="0" w:after="220"/>
        <w:jc w:val="center"/>
        <w:rPr>
          <w:rFonts w:ascii="Times New Roman;serif" w:hAnsi="Times New Roman;serif"/>
          <w:b w:val="false"/>
          <w:color w:val="000000"/>
          <w:sz w:val="20"/>
        </w:rPr>
      </w:pPr>
      <w:r>
        <w:rPr>
          <w:rFonts w:ascii="Times New Roman;serif" w:hAnsi="Times New Roman;serif"/>
          <w:b w:val="false"/>
          <w:color w:val="000000"/>
          <w:sz w:val="20"/>
        </w:rPr>
        <w:t>Amendments to Section 13.2(d)</w:t>
      </w:r>
    </w:p>
    <w:p>
      <w:pPr>
        <w:pStyle w:val="TextBody"/>
        <w:bidi w:val="0"/>
        <w:spacing w:lineRule="auto" w:line="288" w:before="0" w:after="220"/>
        <w:jc w:val="both"/>
        <w:rPr/>
      </w:pPr>
      <w:r>
        <w:rPr>
          <w:rFonts w:ascii="Times New Roman;serif" w:hAnsi="Times New Roman;serif"/>
          <w:b w:val="false"/>
          <w:color w:val="000000"/>
          <w:sz w:val="20"/>
        </w:rPr>
        <w:t>Section 13.2    </w:t>
      </w:r>
      <w:r>
        <w:rPr>
          <w:rFonts w:ascii="Times New Roman;serif" w:hAnsi="Times New Roman;serif"/>
          <w:b w:val="false"/>
          <w:color w:val="000000"/>
          <w:sz w:val="20"/>
          <w:u w:val="single"/>
        </w:rPr>
        <w:t>Consequences of Events of Default</w:t>
      </w:r>
      <w:r>
        <w:rPr>
          <w:rFonts w:ascii="Times New Roman;serif" w:hAnsi="Times New Roman;serif"/>
          <w:b w:val="false"/>
          <w:color w:val="000000"/>
          <w:sz w:val="20"/>
        </w:rPr>
        <w:t>.</w:t>
      </w:r>
    </w:p>
    <w:p>
      <w:pPr>
        <w:pStyle w:val="TextBody"/>
        <w:bidi w:val="0"/>
        <w:spacing w:lineRule="auto" w:line="288" w:before="0" w:after="220"/>
        <w:ind w:left="0" w:right="0" w:firstLine="720"/>
        <w:jc w:val="both"/>
        <w:rPr/>
      </w:pPr>
      <w:r>
        <w:rPr>
          <w:rFonts w:ascii="Times New Roman;serif" w:hAnsi="Times New Roman;serif"/>
          <w:b w:val="false"/>
          <w:color w:val="000000"/>
          <w:sz w:val="20"/>
        </w:rPr>
        <w:t>(d)    If the Defaulting Holder disputes in good faith the occurrence of an Event of Default (other than an Event of Default described in Section 13(a)(vii), Section 13.1(b) or Section 13.1(c)(vii), it being understood that the occurrence of an Event of Default described in Section 13.1(a)(vii), Section 13.1(b) or Section 13.1(c)(vii) cannot be disputed in good faith pursuant to this Section 13.2(d)), for so long as the Defaulting Holder diligently pursues a final determination as to the occurrence of an Event of Default, including, if necessary, by the prompt final determination of such dispute by the arbitration tribunal in accordance with Section 16.6, the consequences set forth in Section 13.2(b)</w:t>
      </w:r>
      <w:r>
        <w:rPr>
          <w:color w:val="000000"/>
          <w:u w:val="single"/>
        </w:rPr>
        <w:t xml:space="preserve"> </w:t>
      </w:r>
      <w:r>
        <w:rPr>
          <w:rFonts w:ascii="Times New Roman;serif" w:hAnsi="Times New Roman;serif"/>
          <w:b/>
          <w:color w:val="000000"/>
          <w:sz w:val="20"/>
          <w:u w:val="single"/>
        </w:rPr>
        <w:t>and Section 13.7, as applicable</w:t>
      </w:r>
      <w:r>
        <w:rPr>
          <w:rFonts w:ascii="Times New Roman;serif" w:hAnsi="Times New Roman;serif"/>
          <w:b w:val="false"/>
          <w:color w:val="000000"/>
          <w:sz w:val="20"/>
        </w:rPr>
        <w:t xml:space="preserve">, shall not apply; </w:t>
      </w:r>
      <w:r>
        <w:rPr>
          <w:rFonts w:ascii="Times New Roman;serif" w:hAnsi="Times New Roman;serif"/>
          <w:b w:val="false"/>
          <w:color w:val="000000"/>
          <w:sz w:val="20"/>
          <w:u w:val="single"/>
        </w:rPr>
        <w:t>provided</w:t>
      </w:r>
      <w:r>
        <w:rPr>
          <w:rFonts w:ascii="Times New Roman;serif" w:hAnsi="Times New Roman;serif"/>
          <w:b w:val="false"/>
          <w:color w:val="000000"/>
          <w:sz w:val="20"/>
        </w:rPr>
        <w:t>, upon final determination of such dispute that an Event of Default occurred, or if at any point the Defaulting Holder delays or otherwise fails to diligently pursue a final determination, the consequences set forth in Section 13.2(b)</w:t>
      </w:r>
      <w:r>
        <w:rPr>
          <w:color w:val="000000"/>
          <w:u w:val="single"/>
        </w:rPr>
        <w:t xml:space="preserve"> </w:t>
      </w:r>
      <w:r>
        <w:rPr>
          <w:rFonts w:ascii="Times New Roman;serif" w:hAnsi="Times New Roman;serif"/>
          <w:b/>
          <w:color w:val="000000"/>
          <w:sz w:val="20"/>
          <w:u w:val="single"/>
        </w:rPr>
        <w:t>and Section 13.7, as applicable</w:t>
      </w:r>
      <w:r>
        <w:rPr>
          <w:rFonts w:ascii="Times New Roman;serif" w:hAnsi="Times New Roman;serif"/>
          <w:b w:val="false"/>
          <w:color w:val="000000"/>
          <w:sz w:val="20"/>
        </w:rPr>
        <w:t>, shall apply.</w:t>
      </w:r>
    </w:p>
    <w:p>
      <w:pPr>
        <w:pStyle w:val="TextBody"/>
        <w:bidi w:val="0"/>
        <w:spacing w:before="0" w:after="2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Exhibit D</w:t>
      </w:r>
    </w:p>
    <w:p>
      <w:pPr>
        <w:pStyle w:val="TextBody"/>
        <w:bidi w:val="0"/>
        <w:spacing w:lineRule="auto" w:line="288" w:before="0" w:after="220"/>
        <w:jc w:val="center"/>
        <w:rPr>
          <w:rFonts w:ascii="Times New Roman;serif" w:hAnsi="Times New Roman;serif"/>
          <w:b w:val="false"/>
          <w:color w:val="000000"/>
          <w:sz w:val="20"/>
        </w:rPr>
      </w:pPr>
      <w:r>
        <w:rPr>
          <w:rFonts w:ascii="Times New Roman;serif" w:hAnsi="Times New Roman;serif"/>
          <w:b w:val="false"/>
          <w:color w:val="000000"/>
          <w:sz w:val="20"/>
        </w:rPr>
        <w:t>Amendments to Section 13.5(a)</w:t>
      </w:r>
    </w:p>
    <w:p>
      <w:pPr>
        <w:pStyle w:val="TextBody"/>
        <w:bidi w:val="0"/>
        <w:spacing w:lineRule="auto" w:line="288" w:before="0" w:after="220"/>
        <w:jc w:val="both"/>
        <w:rPr/>
      </w:pPr>
      <w:r>
        <w:rPr>
          <w:rFonts w:ascii="Times New Roman;serif" w:hAnsi="Times New Roman;serif"/>
          <w:b w:val="false"/>
          <w:color w:val="000000"/>
          <w:sz w:val="20"/>
        </w:rPr>
        <w:t>Section 13.5    </w:t>
      </w:r>
      <w:r>
        <w:rPr>
          <w:rFonts w:ascii="Times New Roman;serif" w:hAnsi="Times New Roman;serif"/>
          <w:b w:val="false"/>
          <w:color w:val="000000"/>
          <w:sz w:val="20"/>
          <w:u w:val="single"/>
        </w:rPr>
        <w:t>Covering Equity Loans</w:t>
      </w:r>
      <w:r>
        <w:rPr>
          <w:rFonts w:ascii="Times New Roman;serif" w:hAnsi="Times New Roman;serif"/>
          <w:b w:val="false"/>
          <w:color w:val="000000"/>
          <w:sz w:val="20"/>
        </w:rPr>
        <w:t>.</w:t>
      </w:r>
    </w:p>
    <w:p>
      <w:pPr>
        <w:pStyle w:val="TextBody"/>
        <w:bidi w:val="0"/>
        <w:spacing w:lineRule="auto" w:line="288" w:before="0" w:after="220"/>
        <w:ind w:left="0" w:right="0" w:firstLine="720"/>
        <w:jc w:val="both"/>
        <w:rPr/>
      </w:pPr>
      <w:r>
        <w:rPr>
          <w:rFonts w:ascii="Times New Roman;serif" w:hAnsi="Times New Roman;serif"/>
          <w:b w:val="false"/>
          <w:color w:val="000000"/>
          <w:sz w:val="20"/>
        </w:rPr>
        <w:t>(a)    Any loan extended by Curing Holders to a Payment Defaulting Holder in accordance with Section 13.3(c) after the date that their respective P1 Remaining Committed Amounts or FI P1 Remaining Committed Amounts, as applicable, are reduced to $0.00</w:t>
      </w:r>
      <w:r>
        <w:rPr>
          <w:rFonts w:ascii="Times New Roman;serif" w:hAnsi="Times New Roman;serif"/>
          <w:b/>
          <w:color w:val="000000"/>
          <w:sz w:val="20"/>
          <w:u w:val="single"/>
        </w:rPr>
        <w:t>, any loan deemed extended by Curing Holders to a Rebalancing Payment Defaulting Holder in accordance with Section 13.7(c),</w:t>
      </w:r>
      <w:r>
        <w:rPr>
          <w:color w:val="000000"/>
        </w:rPr>
        <w:t xml:space="preserve"> </w:t>
      </w:r>
      <w:r>
        <w:rPr>
          <w:rFonts w:ascii="Times New Roman;serif" w:hAnsi="Times New Roman;serif"/>
          <w:b w:val="false"/>
          <w:color w:val="000000"/>
          <w:sz w:val="20"/>
        </w:rPr>
        <w:t>and any Bridging Equity Loan that is converted in accordance with Section 13.4(d) shall constitute a “</w:t>
      </w:r>
      <w:r>
        <w:rPr>
          <w:rFonts w:ascii="Times New Roman;serif" w:hAnsi="Times New Roman;serif"/>
          <w:b w:val="false"/>
          <w:color w:val="000000"/>
          <w:sz w:val="20"/>
          <w:u w:val="single"/>
        </w:rPr>
        <w:t>Covering Equity Loan</w:t>
      </w:r>
      <w:r>
        <w:rPr>
          <w:color w:val="000000"/>
        </w:rPr>
        <w:t>”</w:t>
      </w:r>
      <w:r>
        <w:rPr>
          <w:rFonts w:ascii="Times New Roman;serif" w:hAnsi="Times New Roman;serif"/>
          <w:b w:val="false"/>
          <w:color w:val="000000"/>
          <w:sz w:val="20"/>
        </w:rPr>
        <w:t xml:space="preserve">. Covering Equity Loans shall bear interest at the Default Rate until repaid. </w:t>
      </w:r>
    </w:p>
    <w:p>
      <w:pPr>
        <w:pStyle w:val="TextBody"/>
        <w:bidi w:val="0"/>
        <w:spacing w:before="0" w:after="2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10.2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2" w:after="220"/>
        <w:jc w:val="left"/>
        <w:rPr>
          <w:rFonts w:ascii="Times New Roman;serif" w:hAnsi="Times New Roman;serif"/>
          <w:b w:val="false"/>
          <w:color w:val="000000"/>
          <w:sz w:val="20"/>
        </w:rPr>
      </w:pPr>
      <w:r>
        <w:rPr>
          <w:rFonts w:ascii="Times New Roman;serif" w:hAnsi="Times New Roman;serif"/>
          <w:b w:val="false"/>
          <w:color w:val="000000"/>
          <w:sz w:val="20"/>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 xml:space="preserve">OMNIBUS AMENDMENT TO </w:t>
        <w:br/>
        <w:t xml:space="preserve">AMENDED AND RESTATED LIMITED LIABILITY COMPANY AGREEMENT </w:t>
        <w:br/>
        <w:t>AND</w:t>
        <w:br/>
        <w:t>SUBSCRIPTION AGREEMENTS</w:t>
      </w:r>
    </w:p>
    <w:p>
      <w:pPr>
        <w:pStyle w:val="TextBody"/>
        <w:bidi w:val="0"/>
        <w:spacing w:lineRule="auto" w:line="288" w:before="0" w:after="220"/>
        <w:ind w:left="0" w:right="0" w:firstLine="720"/>
        <w:jc w:val="both"/>
        <w:rPr/>
      </w:pPr>
      <w:r>
        <w:rPr>
          <w:rFonts w:ascii="Times New Roman;serif" w:hAnsi="Times New Roman;serif"/>
          <w:b w:val="false"/>
          <w:color w:val="000000"/>
          <w:sz w:val="20"/>
        </w:rPr>
        <w:t>This Omnibus Amendment (this “</w:t>
      </w:r>
      <w:r>
        <w:rPr>
          <w:rFonts w:ascii="Times New Roman;serif" w:hAnsi="Times New Roman;serif"/>
          <w:b w:val="false"/>
          <w:color w:val="000000"/>
          <w:sz w:val="20"/>
          <w:u w:val="single"/>
        </w:rPr>
        <w:t>Amendment</w:t>
      </w:r>
      <w:r>
        <w:rPr>
          <w:color w:val="000000"/>
        </w:rPr>
        <w:t>”</w:t>
      </w:r>
      <w:r>
        <w:rPr>
          <w:rFonts w:ascii="Times New Roman;serif" w:hAnsi="Times New Roman;serif"/>
          <w:b w:val="false"/>
          <w:color w:val="000000"/>
          <w:sz w:val="20"/>
        </w:rPr>
        <w:t>) is being entered into, effective as of March 2, 2026, by and among Rio Grande LNG Train 4 Intermediate Holdings, LLC, a Delaware limited liability company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Rio Grande LNG Phase 2 Intermediate Super Holdings, LLC, a Delaware limited liability company (the “</w:t>
      </w:r>
      <w:r>
        <w:rPr>
          <w:rFonts w:ascii="Times New Roman;serif" w:hAnsi="Times New Roman;serif"/>
          <w:b w:val="false"/>
          <w:color w:val="000000"/>
          <w:sz w:val="20"/>
          <w:u w:val="single"/>
        </w:rPr>
        <w:t>NextDecade Member</w:t>
      </w:r>
      <w:r>
        <w:rPr>
          <w:color w:val="000000"/>
        </w:rPr>
        <w:t>”</w:t>
      </w:r>
      <w:r>
        <w:rPr>
          <w:rFonts w:ascii="Times New Roman;serif" w:hAnsi="Times New Roman;serif"/>
          <w:b w:val="false"/>
          <w:color w:val="000000"/>
          <w:sz w:val="20"/>
        </w:rPr>
        <w:t>), Global LNG North America Corp., a Delaware corporation (the “</w:t>
      </w:r>
      <w:r>
        <w:rPr>
          <w:rFonts w:ascii="Times New Roman;serif" w:hAnsi="Times New Roman;serif"/>
          <w:b w:val="false"/>
          <w:color w:val="000000"/>
          <w:sz w:val="20"/>
          <w:u w:val="single"/>
        </w:rPr>
        <w:t>TTE Member</w:t>
      </w:r>
      <w:r>
        <w:rPr>
          <w:color w:val="000000"/>
        </w:rPr>
        <w:t>”</w:t>
      </w:r>
      <w:r>
        <w:rPr>
          <w:rFonts w:ascii="Times New Roman;serif" w:hAnsi="Times New Roman;serif"/>
          <w:b w:val="false"/>
          <w:color w:val="000000"/>
          <w:sz w:val="20"/>
        </w:rPr>
        <w:t>), GIP V Velocity Aggregator T4, L.P., a Delaware limited partnership (the “</w:t>
      </w:r>
      <w:r>
        <w:rPr>
          <w:rFonts w:ascii="Times New Roman;serif" w:hAnsi="Times New Roman;serif"/>
          <w:b w:val="false"/>
          <w:color w:val="000000"/>
          <w:sz w:val="20"/>
          <w:u w:val="single"/>
        </w:rPr>
        <w:t>FI Member</w:t>
      </w:r>
      <w:r>
        <w:rPr>
          <w:color w:val="000000"/>
        </w:rPr>
        <w:t>”</w:t>
      </w:r>
      <w:r>
        <w:rPr>
          <w:rFonts w:ascii="Times New Roman;serif" w:hAnsi="Times New Roman;serif"/>
          <w:b w:val="false"/>
          <w:color w:val="000000"/>
          <w:sz w:val="20"/>
        </w:rPr>
        <w:t>), NextDecade LNG, LLC a limited liability company organized under the laws of the State of Delaware (“</w:t>
      </w:r>
      <w:r>
        <w:rPr>
          <w:rFonts w:ascii="Times New Roman;serif" w:hAnsi="Times New Roman;serif"/>
          <w:b w:val="false"/>
          <w:color w:val="000000"/>
          <w:sz w:val="20"/>
          <w:u w:val="single"/>
        </w:rPr>
        <w:t>Sponsor</w:t>
      </w:r>
      <w:r>
        <w:rPr>
          <w:color w:val="000000"/>
        </w:rPr>
        <w:t>”</w:t>
      </w:r>
      <w:r>
        <w:rPr>
          <w:rFonts w:ascii="Times New Roman;serif" w:hAnsi="Times New Roman;serif"/>
          <w:b w:val="false"/>
          <w:color w:val="000000"/>
          <w:sz w:val="20"/>
        </w:rPr>
        <w:t>), NextDecade Corporation (“</w:t>
      </w:r>
      <w:r>
        <w:rPr>
          <w:rFonts w:ascii="Times New Roman;serif" w:hAnsi="Times New Roman;serif"/>
          <w:b w:val="false"/>
          <w:color w:val="000000"/>
          <w:sz w:val="20"/>
          <w:u w:val="single"/>
        </w:rPr>
        <w:t>NextDecade Parent</w:t>
      </w:r>
      <w:r>
        <w:rPr>
          <w:color w:val="000000"/>
        </w:rPr>
        <w:t>”</w:t>
      </w:r>
      <w:r>
        <w:rPr>
          <w:rFonts w:ascii="Times New Roman;serif" w:hAnsi="Times New Roman;serif"/>
          <w:b w:val="false"/>
          <w:color w:val="000000"/>
          <w:sz w:val="20"/>
        </w:rPr>
        <w:t>), GIP V Velocity Acquisition Partners T4, L.P., a Delaware limited partnership (“</w:t>
      </w:r>
      <w:r>
        <w:rPr>
          <w:rFonts w:ascii="Times New Roman;serif" w:hAnsi="Times New Roman;serif"/>
          <w:b w:val="false"/>
          <w:color w:val="000000"/>
          <w:sz w:val="20"/>
          <w:u w:val="single"/>
        </w:rPr>
        <w:t>GIP Acquisition Partners</w:t>
      </w:r>
      <w:r>
        <w:rPr>
          <w:color w:val="000000"/>
        </w:rPr>
        <w:t>”</w:t>
      </w:r>
      <w:r>
        <w:rPr>
          <w:rFonts w:ascii="Times New Roman;serif" w:hAnsi="Times New Roman;serif"/>
          <w:b w:val="false"/>
          <w:color w:val="000000"/>
          <w:sz w:val="20"/>
        </w:rPr>
        <w:t>), GIM Participation Velocity, L.P., a Delaware limited partnership (together with GIP Acquisition Partners, the “</w:t>
      </w:r>
      <w:r>
        <w:rPr>
          <w:rFonts w:ascii="Times New Roman;serif" w:hAnsi="Times New Roman;serif"/>
          <w:b w:val="false"/>
          <w:color w:val="000000"/>
          <w:sz w:val="20"/>
          <w:u w:val="single"/>
        </w:rPr>
        <w:t>GIP FI Member Owner</w:t>
      </w:r>
      <w:r>
        <w:rPr>
          <w:color w:val="000000"/>
        </w:rPr>
        <w:t>”</w:t>
      </w:r>
      <w:r>
        <w:rPr>
          <w:rFonts w:ascii="Times New Roman;serif" w:hAnsi="Times New Roman;serif"/>
          <w:b w:val="false"/>
          <w:color w:val="000000"/>
          <w:sz w:val="20"/>
        </w:rPr>
        <w:t>), Devonshire Investment Pte. Ltd., a Singapore exempt private company (the “</w:t>
      </w:r>
      <w:r>
        <w:rPr>
          <w:rFonts w:ascii="Times New Roman;serif" w:hAnsi="Times New Roman;serif"/>
          <w:b w:val="false"/>
          <w:color w:val="000000"/>
          <w:sz w:val="20"/>
          <w:u w:val="single"/>
        </w:rPr>
        <w:t>GIC FI Member Owner</w:t>
      </w:r>
      <w:r>
        <w:rPr>
          <w:color w:val="000000"/>
        </w:rPr>
        <w:t>”</w:t>
      </w:r>
      <w:r>
        <w:rPr>
          <w:rFonts w:ascii="Times New Roman;serif" w:hAnsi="Times New Roman;serif"/>
          <w:b w:val="false"/>
          <w:color w:val="000000"/>
          <w:sz w:val="20"/>
        </w:rPr>
        <w:t>), and MIC TI Holding Company 2 RSC Limited, an ADGM Restricted Scope Company (the “</w:t>
      </w:r>
      <w:r>
        <w:rPr>
          <w:rFonts w:ascii="Times New Roman;serif" w:hAnsi="Times New Roman;serif"/>
          <w:b w:val="false"/>
          <w:color w:val="000000"/>
          <w:sz w:val="20"/>
          <w:u w:val="single"/>
        </w:rPr>
        <w:t>MIC FI Member Owner</w:t>
      </w:r>
      <w:r>
        <w:rPr>
          <w:color w:val="000000"/>
        </w:rPr>
        <w:t xml:space="preserve">” </w:t>
      </w:r>
      <w:r>
        <w:rPr>
          <w:rFonts w:ascii="Times New Roman;serif" w:hAnsi="Times New Roman;serif"/>
          <w:b w:val="false"/>
          <w:color w:val="000000"/>
          <w:sz w:val="20"/>
        </w:rPr>
        <w:t>and, together with the Company, the NextDecade Member, the TTE Member, the FI Member, Sponsor, NextDecade Parent, the GIP FI Member Owner and the GIC FI Member Owner, the “</w:t>
      </w:r>
      <w:r>
        <w:rPr>
          <w:rFonts w:ascii="Times New Roman;serif" w:hAnsi="Times New Roman;serif"/>
          <w:b w:val="false"/>
          <w:color w:val="000000"/>
          <w:sz w:val="20"/>
          <w:u w:val="single"/>
        </w:rPr>
        <w:t>Parties</w:t>
      </w:r>
      <w:r>
        <w:rPr>
          <w:color w:val="000000"/>
        </w:rPr>
        <w:t>”</w:t>
      </w:r>
      <w:r>
        <w:rPr>
          <w:rFonts w:ascii="Times New Roman;serif" w:hAnsi="Times New Roman;serif"/>
          <w:b w:val="false"/>
          <w:color w:val="000000"/>
          <w:sz w:val="20"/>
        </w:rPr>
        <w:t xml:space="preserve">). Capitalized terms used but not defined herein have the meanings given to them in the LLC Agreement (defined below). </w:t>
      </w:r>
    </w:p>
    <w:p>
      <w:pPr>
        <w:pStyle w:val="TextBody"/>
        <w:bidi w:val="0"/>
        <w:spacing w:lineRule="auto" w:line="288" w:before="0" w:after="220"/>
        <w:ind w:left="0" w:right="0" w:firstLine="720"/>
        <w:jc w:val="both"/>
        <w:rPr/>
      </w:pPr>
      <w:r>
        <w:rPr>
          <w:rFonts w:ascii="Times New Roman;serif" w:hAnsi="Times New Roman;serif"/>
          <w:b w:val="false"/>
          <w:color w:val="000000"/>
          <w:sz w:val="20"/>
        </w:rPr>
        <w:t>WHEREAS, reference is hereby made to (i) that certain Amended and Restated Limited Liability Company Agreement of the Company, dated as of September 9, 2025, by and among the NextDecade Member, the TTE Member, the FI Member and the other parties thereto for the limited purposes set forth therein, as the same was amended by that certain Consent and Waiver Letter re: ADNOC Investment, dated January 23, 2026 (as amended, restated or otherwise modified in accordance with the terms therein, the “</w:t>
      </w:r>
      <w:r>
        <w:rPr>
          <w:rFonts w:ascii="Times New Roman;serif" w:hAnsi="Times New Roman;serif"/>
          <w:b w:val="false"/>
          <w:color w:val="000000"/>
          <w:sz w:val="20"/>
          <w:u w:val="single"/>
        </w:rPr>
        <w:t>LLC Agreement</w:t>
      </w:r>
      <w:r>
        <w:rPr>
          <w:color w:val="000000"/>
        </w:rPr>
        <w:t>”</w:t>
      </w:r>
      <w:r>
        <w:rPr>
          <w:rFonts w:ascii="Times New Roman;serif" w:hAnsi="Times New Roman;serif"/>
          <w:b w:val="false"/>
          <w:color w:val="000000"/>
          <w:sz w:val="20"/>
        </w:rPr>
        <w:t>), (ii) that certain Subscription Agreement, dated as of August 7, 2025, by and among TTE Member, Sponsor, NextDecade Member, the Company and (solely for the limited purposes of being bound by and having the benefits of certain sections thereto) NextDecade Parent (the “</w:t>
      </w:r>
      <w:r>
        <w:rPr>
          <w:rFonts w:ascii="Times New Roman;serif" w:hAnsi="Times New Roman;serif"/>
          <w:b w:val="false"/>
          <w:color w:val="000000"/>
          <w:sz w:val="20"/>
          <w:u w:val="single"/>
        </w:rPr>
        <w:t>TTE Subscription Agreement</w:t>
      </w:r>
      <w:r>
        <w:rPr>
          <w:color w:val="000000"/>
        </w:rPr>
        <w:t>”</w:t>
      </w:r>
      <w:r>
        <w:rPr>
          <w:rFonts w:ascii="Times New Roman;serif" w:hAnsi="Times New Roman;serif"/>
          <w:b w:val="false"/>
          <w:color w:val="000000"/>
          <w:sz w:val="20"/>
        </w:rPr>
        <w:t>), and (iii) that certain Subscription Agreement, dated as of August 7, 2025, by and among FI Member, Sponsor, NextDecade Member, the Company, FI Member Owners, and, solely for the limited purposes set forth therein, NextDecade Parent (the “</w:t>
      </w:r>
      <w:r>
        <w:rPr>
          <w:rFonts w:ascii="Times New Roman;serif" w:hAnsi="Times New Roman;serif"/>
          <w:b w:val="false"/>
          <w:color w:val="000000"/>
          <w:sz w:val="20"/>
          <w:u w:val="single"/>
        </w:rPr>
        <w:t>FI Subscription Agreement</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WHEREAS, pursuant to Section 16.2 of the LLC Agreement, the amendments of the LLC Agreement contemplated herein must be written and signed by (a) each Substantial Member, (b) each Class B Member holding a Class B Voting Percentage equal to or greater than 12.5% (other than FI Member to the extent it is directly or indirectly owned by two or more FI Member Owners) and (c) to the extent it is directly or indirectly owned by two or more FI Member Owners, FI Member at the direction of each FI Member Owner holding an indirect Class B Voting Percentage equal to or greater than 12.5% to be effective (such signatories, the “Requisite Signatories”);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WHEREAS, pursuant to Section 9.2 of the TTE Subscription Agreement, the amendments of the TTE Subscription Agreement must be written and signed by the parties thereto in order to be effective;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WHEREAS, pursuant to Section 9.2 of the FI Subscription Agreement, the amendments of the FI Subscription Agreement must be written and signed by the parties thereto in order to be effective; and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WHEREAS, the Parties desires to amend the LLC Agreement, TTE Subscription Agreement, FI Subscription Agreement, as applicable, as described below.</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2100"/>
                <wp:effectExtent l="0" t="0" r="0" b="0"/>
                <wp:wrapNone/>
                <wp:docPr id="45" name="Frame4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|US-DOCS\167766912.11||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|US-DOCS\167766912.11||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in consideration of the premises set forth above and for other good and valuable consideration, the receipt and adequacy of which are hereby acknowledged, the Parties, intending to be legally bound hereby, agree as follows:</w:t>
      </w:r>
    </w:p>
    <w:p>
      <w:pPr>
        <w:pStyle w:val="TextBody"/>
        <w:bidi w:val="0"/>
        <w:spacing w:lineRule="auto" w:line="288" w:before="0" w:after="22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Amendments to the LLC Agreement</w:t>
      </w:r>
      <w:r>
        <w:rPr>
          <w:rFonts w:ascii="Times New Roman;serif" w:hAnsi="Times New Roman;serif"/>
          <w:b w:val="false"/>
          <w:color w:val="000000"/>
          <w:sz w:val="20"/>
        </w:rPr>
        <w: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(i)The definition of “Available Loans” in Section 1.1 of the LLC Agreement is hereby amended and restated in its entirety as follows:</w:t>
      </w:r>
    </w:p>
    <w:p>
      <w:pPr>
        <w:pStyle w:val="TextBody"/>
        <w:bidi w:val="0"/>
        <w:spacing w:lineRule="auto" w:line="288" w:before="0" w:after="240"/>
        <w:ind w:left="0" w:right="0" w:firstLine="2160"/>
        <w:jc w:val="both"/>
        <w:rPr/>
      </w:pPr>
      <w:r>
        <w:rPr>
          <w:color w:val="000000"/>
        </w:rPr>
        <w:t>“</w:t>
      </w:r>
      <w:r>
        <w:rPr>
          <w:rFonts w:ascii="Times New Roman;serif" w:hAnsi="Times New Roman;serif"/>
          <w:b w:val="false"/>
          <w:color w:val="000000"/>
          <w:sz w:val="20"/>
          <w:u w:val="single"/>
        </w:rPr>
        <w:t>Available Loans</w:t>
      </w:r>
      <w:r>
        <w:rPr>
          <w:color w:val="000000"/>
        </w:rPr>
        <w:t xml:space="preserve">” </w:t>
      </w:r>
      <w:r>
        <w:rPr>
          <w:rFonts w:ascii="Times New Roman;serif" w:hAnsi="Times New Roman;serif"/>
          <w:b w:val="false"/>
          <w:color w:val="000000"/>
          <w:sz w:val="20"/>
        </w:rPr>
        <w:t>has the meaning set forth in Section 3.9(b)(ii).</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(ii)The definition of “D:E Ratio” in Section 1.1 of the LLC Agreement is hereby amended and restated in its entirety as follows:</w:t>
      </w:r>
    </w:p>
    <w:p>
      <w:pPr>
        <w:pStyle w:val="TextBody"/>
        <w:bidi w:val="0"/>
        <w:spacing w:lineRule="auto" w:line="288" w:before="0" w:after="240"/>
        <w:ind w:left="0" w:right="0" w:firstLine="1350"/>
        <w:jc w:val="both"/>
        <w:rPr/>
      </w:pPr>
      <w:r>
        <w:rPr>
          <w:color w:val="000000"/>
        </w:rPr>
        <w:t>“</w:t>
      </w:r>
      <w:r>
        <w:rPr>
          <w:rFonts w:ascii="Times New Roman;serif" w:hAnsi="Times New Roman;serif"/>
          <w:b w:val="false"/>
          <w:color w:val="000000"/>
          <w:sz w:val="20"/>
          <w:u w:val="single"/>
        </w:rPr>
        <w:t>D:E Ratio</w:t>
      </w:r>
      <w:r>
        <w:rPr>
          <w:color w:val="000000"/>
        </w:rPr>
        <w:t xml:space="preserve">” </w:t>
      </w:r>
      <w:r>
        <w:rPr>
          <w:rFonts w:ascii="Times New Roman;serif" w:hAnsi="Times New Roman;serif"/>
          <w:b w:val="false"/>
          <w:color w:val="000000"/>
          <w:sz w:val="20"/>
        </w:rPr>
        <w:t>means, as of any time and giving pro forma effect to the drawings of Construction Loans and the making of Equity Contributions on or in respect of such time, the ratio of (i) outstanding principal amounts of the Construction Loans as of such time plus the aggregate amount applied to fund the Notional Debt Amount in accordance with Section 3.9(b)(viii) to (ii) the Aggregate Funded Equity as of such time.</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(iii)The definition of “FI Member Owner Binding Provisions” in Section 1.1 of the LLC Agreement is hereby amended and restated in its entirety as follows: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0"/>
          <w:u w:val="single"/>
        </w:rPr>
        <w:t>FI Member Owner Binding Provisions</w:t>
      </w:r>
      <w:r>
        <w:rPr>
          <w:color w:val="000000"/>
        </w:rPr>
        <w:t xml:space="preserve">” </w:t>
      </w:r>
      <w:r>
        <w:rPr>
          <w:rFonts w:ascii="Times New Roman;serif" w:hAnsi="Times New Roman;serif"/>
          <w:b w:val="false"/>
          <w:color w:val="000000"/>
          <w:sz w:val="20"/>
        </w:rPr>
        <w:t>means the proviso to Section 2.12(j), Sections 3.10(f), 3.11, 3.12, 4.5, 11.2, 11.3, 11.4, 11.6, 12.1, 12.2, 12.3, 12.5 and 12.6 and Articles XIII, XV and XVI (including, for the avoidance of doubt, Section 16.18 in respect of the guarantee of the obligations under Section 3.2(b)).</w:t>
      </w:r>
    </w:p>
    <w:p>
      <w:pPr>
        <w:pStyle w:val="TextBody"/>
        <w:bidi w:val="0"/>
        <w:spacing w:lineRule="auto" w:line="288" w:before="0" w:after="220"/>
        <w:ind w:left="0" w:right="0" w:firstLine="720"/>
        <w:jc w:val="both"/>
        <w:rPr/>
      </w:pPr>
      <w:r>
        <w:rPr>
          <w:rFonts w:ascii="Times New Roman;serif" w:hAnsi="Times New Roman;serif"/>
          <w:b w:val="false"/>
          <w:color w:val="000000"/>
          <w:sz w:val="20"/>
        </w:rPr>
        <w:t>(iv)The definition of “</w:t>
      </w:r>
      <w:r>
        <w:rPr>
          <w:rFonts w:ascii="Times New Roman;serif" w:hAnsi="Times New Roman;serif"/>
          <w:b w:val="false"/>
          <w:color w:val="000000"/>
          <w:sz w:val="20"/>
          <w:u w:val="single"/>
        </w:rPr>
        <w:t>Funding Percentage</w:t>
      </w:r>
      <w:r>
        <w:rPr>
          <w:color w:val="000000"/>
        </w:rPr>
        <w:t xml:space="preserve">” </w:t>
      </w:r>
      <w:r>
        <w:rPr>
          <w:rFonts w:ascii="Times New Roman;serif" w:hAnsi="Times New Roman;serif"/>
          <w:b w:val="false"/>
          <w:color w:val="000000"/>
          <w:sz w:val="20"/>
        </w:rPr>
        <w:t>in Section 1.1 of the LLC Agreement is hereby amended and restated in its entirety as follows:</w:t>
      </w:r>
    </w:p>
    <w:p>
      <w:pPr>
        <w:pStyle w:val="TextBody"/>
        <w:bidi w:val="0"/>
        <w:spacing w:lineRule="auto" w:line="288" w:before="0" w:after="240"/>
        <w:jc w:val="both"/>
        <w:rPr/>
      </w:pPr>
      <w:r>
        <w:rPr>
          <w:color w:val="000000"/>
        </w:rPr>
        <w:t>“</w:t>
      </w:r>
      <w:r>
        <w:rPr>
          <w:rFonts w:ascii="Times New Roman;serif" w:hAnsi="Times New Roman;serif"/>
          <w:b w:val="false"/>
          <w:color w:val="000000"/>
          <w:sz w:val="20"/>
          <w:u w:val="single"/>
        </w:rPr>
        <w:t>Funding Percentage</w:t>
      </w:r>
      <w:r>
        <w:rPr>
          <w:color w:val="000000"/>
        </w:rPr>
        <w:t xml:space="preserve">” </w:t>
      </w:r>
      <w:r>
        <w:rPr>
          <w:rFonts w:ascii="Times New Roman;serif" w:hAnsi="Times New Roman;serif"/>
          <w:b w:val="false"/>
          <w:color w:val="000000"/>
          <w:sz w:val="20"/>
        </w:rPr>
        <w:t xml:space="preserve">means: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(a)prior to the time at which the Aggregate Accelerated Funding Amount has been funded to the T4 Liquefaction Owner and the balance on deposit in the Accelerated Cash Collateral Account is $0.00, (i) with respect to any Committed Member (other than the NextDecade Member), 0%, (ii) with respect to any FI Member Owner (for the benefit of the FI Member), 0% and (iii) with respect to the NextDecade Member, 100%;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(b)on or after the time at which the Aggregate Accelerated Funding Amount has been funded to the T4 Liquefaction Owner and the balance on deposit in the Accelerated Cash Collateral Account is $0.00, but prior to the date on which the ND Accelerated Funding Rebalancing has been achieved, (i) with respect to any Committed Member (other than the NextDecade Member), its Class B Funding Percentage at such time, (ii) with respect to any FI Member Owner (for the benefit of the FI Member), its Base Funding Percentage at such time </w:t>
      </w:r>
      <w:r>
        <w:rPr>
          <w:rFonts w:ascii="Times New Roman;serif" w:hAnsi="Times New Roman;serif"/>
          <w:b w:val="false"/>
          <w:i/>
          <w:color w:val="000000"/>
          <w:sz w:val="20"/>
        </w:rPr>
        <w:t xml:space="preserve">multiplied by </w:t>
      </w:r>
      <w:r>
        <w:rPr>
          <w:rFonts w:ascii="Times New Roman;serif" w:hAnsi="Times New Roman;serif"/>
          <w:b w:val="false"/>
          <w:color w:val="000000"/>
          <w:sz w:val="20"/>
        </w:rPr>
        <w:t xml:space="preserve">the Class B Funding Percentage of the FI Member at such time, and (iii) with respect to NextDecade Member, 0%; and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(c)on or after the time at which the ND Accelerated Funding Rebalancing has been achieved, (i) with respect to any Committed Member, its Base Funding Percentage at such time and (ii) with respect to any FI Member Owner (for the benefit of the FI Member), its Base Funding Percentage at such time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the Base Funding Percentage of the FI Member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(v)The definition of “Unavailable Loans” in Section 1.1 of the LLC Agreement is hereby amended and restated in its entirety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Unavailable Loans</w:t>
      </w:r>
      <w:r>
        <w:rPr>
          <w:color w:val="000000"/>
        </w:rPr>
        <w:t xml:space="preserve">” </w:t>
      </w:r>
      <w:r>
        <w:rPr>
          <w:rFonts w:ascii="Times New Roman;serif" w:hAnsi="Times New Roman;serif"/>
          <w:b w:val="false"/>
          <w:color w:val="000000"/>
          <w:sz w:val="20"/>
        </w:rPr>
        <w:t>has the meaning set forth in Section 3.9(c).</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(vi)The definition of “Rebalancing” is removed from Section 1.1 of the LLC Agreement in its entirety.</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(vii)Section 1.1 of the LLC Agreement is hereby amended to add the following defined terms in alphabetical order: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Abandoned</w:t>
      </w:r>
      <w:r>
        <w:rPr>
          <w:color w:val="000000"/>
        </w:rPr>
        <w:t xml:space="preserve">” </w:t>
      </w:r>
      <w:r>
        <w:rPr>
          <w:rFonts w:ascii="Times New Roman;serif" w:hAnsi="Times New Roman;serif"/>
          <w:b w:val="false"/>
          <w:color w:val="000000"/>
          <w:sz w:val="20"/>
        </w:rPr>
        <w:t xml:space="preserve">has the meaning set forth in Section 3.12(b).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Accelerated Funding Advance</w:t>
      </w:r>
      <w:r>
        <w:rPr>
          <w:color w:val="000000"/>
        </w:rPr>
        <w:t xml:space="preserve">” </w:t>
      </w:r>
      <w:r>
        <w:rPr>
          <w:rFonts w:ascii="Times New Roman;serif" w:hAnsi="Times New Roman;serif"/>
          <w:b w:val="false"/>
          <w:color w:val="000000"/>
          <w:sz w:val="20"/>
        </w:rPr>
        <w:t>has the meaning set forth in Section 3.12(c).</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Accelerated Funding Debt</w:t>
      </w:r>
      <w:r>
        <w:rPr>
          <w:color w:val="000000"/>
        </w:rPr>
        <w:t xml:space="preserve">” </w:t>
      </w:r>
      <w:r>
        <w:rPr>
          <w:rFonts w:ascii="Times New Roman;serif" w:hAnsi="Times New Roman;serif"/>
          <w:b w:val="false"/>
          <w:color w:val="000000"/>
          <w:sz w:val="20"/>
        </w:rPr>
        <w:t xml:space="preserve">has the meaning set forth in Section 3.12(c).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Gross Funding Amount</w:t>
      </w:r>
      <w:r>
        <w:rPr>
          <w:color w:val="000000"/>
        </w:rPr>
        <w:t xml:space="preserve">” </w:t>
      </w:r>
      <w:r>
        <w:rPr>
          <w:rFonts w:ascii="Times New Roman;serif" w:hAnsi="Times New Roman;serif"/>
          <w:b w:val="false"/>
          <w:color w:val="000000"/>
          <w:sz w:val="20"/>
        </w:rPr>
        <w:t>has the meaning set forth in Section 3.9(b)(i).</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ND Accelerated Funding Rebalancing</w:t>
      </w:r>
      <w:r>
        <w:rPr>
          <w:color w:val="000000"/>
        </w:rPr>
        <w:t xml:space="preserve">” </w:t>
      </w:r>
      <w:r>
        <w:rPr>
          <w:rFonts w:ascii="Times New Roman;serif" w:hAnsi="Times New Roman;serif"/>
          <w:b w:val="false"/>
          <w:color w:val="000000"/>
          <w:sz w:val="20"/>
        </w:rPr>
        <w:t>means the first time after Closing on which each Committed Member has made Equity Contributions that cause (a) the aggregate Equity Contributions of such Committed Member divided by (b) the aggregate Equity Contributions of all Committed Members, to equal its Capital Percentage.</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Notional Debt Amount</w:t>
      </w:r>
      <w:r>
        <w:rPr>
          <w:color w:val="000000"/>
        </w:rPr>
        <w:t xml:space="preserve">” </w:t>
      </w:r>
      <w:r>
        <w:rPr>
          <w:rFonts w:ascii="Times New Roman;serif" w:hAnsi="Times New Roman;serif"/>
          <w:b w:val="false"/>
          <w:color w:val="000000"/>
          <w:sz w:val="20"/>
        </w:rPr>
        <w:t>has the meaning set forth in Section 3.9(b)(ii).</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Notional Equity Amount</w:t>
      </w:r>
      <w:r>
        <w:rPr>
          <w:color w:val="000000"/>
        </w:rPr>
        <w:t xml:space="preserve">” </w:t>
      </w:r>
      <w:r>
        <w:rPr>
          <w:rFonts w:ascii="Times New Roman;serif" w:hAnsi="Times New Roman;serif"/>
          <w:b w:val="false"/>
          <w:color w:val="000000"/>
          <w:sz w:val="20"/>
        </w:rPr>
        <w:t>has the meaning set forth in Section 3.9(b)(iii).</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Notional Equity Contribution Amount</w:t>
      </w:r>
      <w:r>
        <w:rPr>
          <w:color w:val="000000"/>
        </w:rPr>
        <w:t xml:space="preserve">” </w:t>
      </w:r>
      <w:r>
        <w:rPr>
          <w:rFonts w:ascii="Times New Roman;serif" w:hAnsi="Times New Roman;serif"/>
          <w:b w:val="false"/>
          <w:color w:val="000000"/>
          <w:sz w:val="20"/>
        </w:rPr>
        <w:t xml:space="preserve">has the meaning set forth in Section 3.12(b). </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Notional Funding Percentages</w:t>
      </w:r>
      <w:r>
        <w:rPr>
          <w:color w:val="000000"/>
        </w:rPr>
        <w:t xml:space="preserve">” </w:t>
      </w:r>
      <w:r>
        <w:rPr>
          <w:rFonts w:ascii="Times New Roman;serif" w:hAnsi="Times New Roman;serif"/>
          <w:b w:val="false"/>
          <w:color w:val="000000"/>
          <w:sz w:val="20"/>
        </w:rPr>
        <w:t>has the meaning set forth in Section 3.9(b)(v).</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Event</w:t>
      </w:r>
      <w:r>
        <w:rPr>
          <w:color w:val="000000"/>
        </w:rPr>
        <w:t xml:space="preserve">” </w:t>
      </w:r>
      <w:r>
        <w:rPr>
          <w:rFonts w:ascii="Times New Roman;serif" w:hAnsi="Times New Roman;serif"/>
          <w:b w:val="false"/>
          <w:color w:val="000000"/>
          <w:sz w:val="20"/>
        </w:rPr>
        <w:t>has the meaning set forth in Section 3.12(a).</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Event Date</w:t>
      </w:r>
      <w:r>
        <w:rPr>
          <w:color w:val="000000"/>
        </w:rPr>
        <w:t xml:space="preserve">” </w:t>
      </w:r>
      <w:r>
        <w:rPr>
          <w:rFonts w:ascii="Times New Roman;serif" w:hAnsi="Times New Roman;serif"/>
          <w:b w:val="false"/>
          <w:color w:val="000000"/>
          <w:sz w:val="20"/>
        </w:rPr>
        <w:t>has the meaning set forth in Section 3.12(a).</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Notice</w:t>
      </w:r>
      <w:r>
        <w:rPr>
          <w:color w:val="000000"/>
        </w:rPr>
        <w:t xml:space="preserve">” </w:t>
      </w:r>
      <w:r>
        <w:rPr>
          <w:rFonts w:ascii="Times New Roman;serif" w:hAnsi="Times New Roman;serif"/>
          <w:b w:val="false"/>
          <w:color w:val="000000"/>
          <w:sz w:val="20"/>
        </w:rPr>
        <w:t>has the meaning set forth in Section 3.12(a).</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Payment Default</w:t>
      </w:r>
      <w:r>
        <w:rPr>
          <w:color w:val="000000"/>
        </w:rPr>
        <w:t xml:space="preserve">” </w:t>
      </w:r>
      <w:r>
        <w:rPr>
          <w:rFonts w:ascii="Times New Roman;serif" w:hAnsi="Times New Roman;serif"/>
          <w:b w:val="false"/>
          <w:color w:val="000000"/>
          <w:sz w:val="20"/>
        </w:rPr>
        <w:t>has the meaning set forth in Section 13.7(a).</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Payment Default Notice</w:t>
      </w:r>
      <w:r>
        <w:rPr>
          <w:color w:val="000000"/>
        </w:rPr>
        <w:t xml:space="preserve">” </w:t>
      </w:r>
      <w:r>
        <w:rPr>
          <w:rFonts w:ascii="Times New Roman;serif" w:hAnsi="Times New Roman;serif"/>
          <w:b w:val="false"/>
          <w:color w:val="000000"/>
          <w:sz w:val="20"/>
        </w:rPr>
        <w:t>has the meaning set forth in Section 13.7(a)(i).</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Rebalancing Payment Defaulting Holder</w:t>
      </w:r>
      <w:r>
        <w:rPr>
          <w:color w:val="000000"/>
        </w:rPr>
        <w:t xml:space="preserve">” </w:t>
      </w:r>
      <w:r>
        <w:rPr>
          <w:rFonts w:ascii="Times New Roman;serif" w:hAnsi="Times New Roman;serif"/>
          <w:b w:val="false"/>
          <w:color w:val="000000"/>
          <w:sz w:val="20"/>
        </w:rPr>
        <w:t>has the meaning set forth in Section 13.7(a)(i).</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Remaining Accelerated Funding Debt</w:t>
      </w:r>
      <w:r>
        <w:rPr>
          <w:color w:val="000000"/>
        </w:rPr>
        <w:t xml:space="preserve">” </w:t>
      </w:r>
      <w:r>
        <w:rPr>
          <w:rFonts w:ascii="Times New Roman;serif" w:hAnsi="Times New Roman;serif"/>
          <w:b w:val="false"/>
          <w:color w:val="000000"/>
          <w:sz w:val="20"/>
        </w:rPr>
        <w:t>has the meaning set forth in Section 13.7(b).</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Remaining TTE Accelerated Equity Amount</w:t>
      </w:r>
      <w:r>
        <w:rPr>
          <w:color w:val="000000"/>
        </w:rPr>
        <w:t xml:space="preserve">” </w:t>
      </w:r>
      <w:r>
        <w:rPr>
          <w:rFonts w:ascii="Times New Roman;serif" w:hAnsi="Times New Roman;serif"/>
          <w:b w:val="false"/>
          <w:color w:val="000000"/>
          <w:sz w:val="20"/>
        </w:rPr>
        <w:t>has the meaning set forth in Section 3.9(b)(iv).</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Straddle Accelerating Holder</w:t>
      </w:r>
      <w:r>
        <w:rPr>
          <w:color w:val="000000"/>
        </w:rPr>
        <w:t xml:space="preserve">” </w:t>
      </w:r>
      <w:r>
        <w:rPr>
          <w:rFonts w:ascii="Times New Roman;serif" w:hAnsi="Times New Roman;serif"/>
          <w:b w:val="false"/>
          <w:color w:val="000000"/>
          <w:sz w:val="20"/>
        </w:rPr>
        <w:t>has the meaning set forth in Section 3.9(b)(vi).</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T4 FID</w:t>
      </w:r>
      <w:r>
        <w:rPr>
          <w:color w:val="000000"/>
        </w:rPr>
        <w:t xml:space="preserve">” </w:t>
      </w:r>
      <w:r>
        <w:rPr>
          <w:rFonts w:ascii="Times New Roman;serif" w:hAnsi="Times New Roman;serif"/>
          <w:b w:val="false"/>
          <w:color w:val="000000"/>
          <w:sz w:val="20"/>
        </w:rPr>
        <w:t>means the positive final investment decision to proceed with the Train 4 Project, as evidenced solely and definitively by the disbursement of the initial drawing of the Indebtedness under the Financing Documents.</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TTE Accelerated Equity Amount</w:t>
      </w:r>
      <w:r>
        <w:rPr>
          <w:color w:val="000000"/>
        </w:rPr>
        <w:t xml:space="preserve">” </w:t>
      </w:r>
      <w:r>
        <w:rPr>
          <w:rFonts w:ascii="Times New Roman;serif" w:hAnsi="Times New Roman;serif"/>
          <w:b w:val="false"/>
          <w:color w:val="000000"/>
          <w:sz w:val="20"/>
        </w:rPr>
        <w:t>has the meaning set forth in Section 3.9(b).</w:t>
      </w:r>
    </w:p>
    <w:p>
      <w:pPr>
        <w:pStyle w:val="TextBody"/>
        <w:bidi w:val="0"/>
        <w:spacing w:lineRule="auto" w:line="288" w:before="0" w:after="240"/>
        <w:jc w:val="both"/>
        <w:rPr/>
      </w:pPr>
      <w:r>
        <w:rPr>
          <w:color w:val="000000"/>
        </w:rPr>
        <w:t>    “</w:t>
      </w:r>
      <w:r>
        <w:rPr>
          <w:rFonts w:ascii="Times New Roman;serif" w:hAnsi="Times New Roman;serif"/>
          <w:b w:val="false"/>
          <w:color w:val="000000"/>
          <w:sz w:val="20"/>
          <w:u w:val="single"/>
        </w:rPr>
        <w:t>TTE Accelerated Equity Date</w:t>
      </w:r>
      <w:r>
        <w:rPr>
          <w:color w:val="000000"/>
        </w:rPr>
        <w:t xml:space="preserve">” </w:t>
      </w:r>
      <w:r>
        <w:rPr>
          <w:rFonts w:ascii="Times New Roman;serif" w:hAnsi="Times New Roman;serif"/>
          <w:b w:val="false"/>
          <w:color w:val="000000"/>
          <w:sz w:val="20"/>
        </w:rPr>
        <w:t>has the meaning set forth in Section 3.9(b).</w:t>
      </w:r>
    </w:p>
    <w:p>
      <w:pPr>
        <w:pStyle w:val="TextBody"/>
        <w:bidi w:val="0"/>
        <w:spacing w:lineRule="auto" w:line="288" w:before="0" w:after="220"/>
        <w:ind w:left="0" w:right="0" w:firstLine="720"/>
        <w:jc w:val="both"/>
        <w:rPr/>
      </w:pPr>
      <w:r>
        <w:rPr>
          <w:rFonts w:ascii="Times New Roman;serif" w:hAnsi="Times New Roman;serif"/>
          <w:b w:val="false"/>
          <w:color w:val="000000"/>
          <w:sz w:val="20"/>
        </w:rPr>
        <w:t xml:space="preserve">(viii)Section 3.2(b) of the LLC Agreement is hereby amended and restated in its entirety, to delete the stricken text (indicated textually in the same manner as the following example: </w:t>
      </w:r>
      <w:r>
        <w:rPr>
          <w:rFonts w:ascii="Times New Roman;serif" w:hAnsi="Times New Roman;serif"/>
          <w:b w:val="false"/>
          <w:strike/>
          <w:color w:val="000000"/>
          <w:sz w:val="20"/>
        </w:rPr>
        <w:t>stricken text</w:t>
      </w:r>
      <w:r>
        <w:rPr>
          <w:rFonts w:ascii="Times New Roman;serif" w:hAnsi="Times New Roman;serif"/>
          <w:b w:val="false"/>
          <w:color w:val="000000"/>
          <w:sz w:val="20"/>
        </w:rPr>
        <w:t xml:space="preserve">) and to add the double-underlined text (indicated textually in the same manner as the following example: </w:t>
      </w:r>
      <w:r>
        <w:rPr>
          <w:rFonts w:ascii="Times New Roman;serif" w:hAnsi="Times New Roman;serif"/>
          <w:b/>
          <w:color w:val="000000"/>
          <w:sz w:val="20"/>
          <w:u w:val="single"/>
        </w:rPr>
        <w:t>double-underlined text</w:t>
      </w:r>
      <w:r>
        <w:rPr>
          <w:rFonts w:ascii="Times New Roman;serif" w:hAnsi="Times New Roman;serif"/>
          <w:b w:val="false"/>
          <w:color w:val="000000"/>
          <w:sz w:val="20"/>
        </w:rPr>
        <w:t xml:space="preserve">) as set forth in the redline comparison of the LLC Agreement attached hereto as </w:t>
      </w:r>
      <w:r>
        <w:rPr>
          <w:rFonts w:ascii="Times New Roman;serif" w:hAnsi="Times New Roman;serif"/>
          <w:b w:val="false"/>
          <w:color w:val="000000"/>
          <w:sz w:val="20"/>
          <w:u w:val="single"/>
        </w:rPr>
        <w:t>Exhibit A</w:t>
      </w:r>
      <w:r>
        <w:rPr>
          <w:rFonts w:ascii="Times New Roman;serif" w:hAnsi="Times New Roman;serif"/>
          <w:b w:val="false"/>
          <w:color w:val="000000"/>
          <w:sz w:val="20"/>
        </w:rPr>
        <w:t>.</w:t>
      </w:r>
    </w:p>
    <w:p>
      <w:pPr>
        <w:pStyle w:val="TextBody"/>
        <w:bidi w:val="0"/>
        <w:spacing w:lineRule="auto" w:line="288" w:before="0" w:after="220"/>
        <w:ind w:left="0" w:right="0" w:firstLine="720"/>
        <w:jc w:val="both"/>
        <w:rPr/>
      </w:pPr>
      <w:r>
        <w:rPr>
          <w:rFonts w:ascii="Times New Roman;serif" w:hAnsi="Times New Roman;serif"/>
          <w:b w:val="false"/>
          <w:color w:val="000000"/>
          <w:sz w:val="20"/>
        </w:rPr>
        <w:t xml:space="preserve">(ix)Section 3.9 of the LLC Agreement is hereby amended and restated in its entirety, to delete the stricken text (indicated textually in the same manner as the following example: </w:t>
      </w:r>
      <w:r>
        <w:rPr>
          <w:rFonts w:ascii="Times New Roman;serif" w:hAnsi="Times New Roman;serif"/>
          <w:b w:val="false"/>
          <w:strike/>
          <w:color w:val="000000"/>
          <w:sz w:val="20"/>
        </w:rPr>
        <w:t>stricken text</w:t>
      </w:r>
      <w:r>
        <w:rPr>
          <w:rFonts w:ascii="Times New Roman;serif" w:hAnsi="Times New Roman;serif"/>
          <w:b w:val="false"/>
          <w:color w:val="000000"/>
          <w:sz w:val="20"/>
        </w:rPr>
        <w:t xml:space="preserve">) and to add the double-underlined text (indicated textually in the same manner as the following example: </w:t>
      </w:r>
      <w:r>
        <w:rPr>
          <w:rFonts w:ascii="Times New Roman;serif" w:hAnsi="Times New Roman;serif"/>
          <w:b/>
          <w:color w:val="000000"/>
          <w:sz w:val="20"/>
          <w:u w:val="single"/>
        </w:rPr>
        <w:t>double-underlined text</w:t>
      </w:r>
      <w:r>
        <w:rPr>
          <w:rFonts w:ascii="Times New Roman;serif" w:hAnsi="Times New Roman;serif"/>
          <w:b w:val="false"/>
          <w:color w:val="000000"/>
          <w:sz w:val="20"/>
        </w:rPr>
        <w:t xml:space="preserve">) as set forth in the redline comparison of the LLC Agreement attached hereto as </w:t>
      </w:r>
      <w:r>
        <w:rPr>
          <w:rFonts w:ascii="Times New Roman;serif" w:hAnsi="Times New Roman;serif"/>
          <w:b w:val="false"/>
          <w:color w:val="000000"/>
          <w:sz w:val="20"/>
          <w:u w:val="single"/>
        </w:rPr>
        <w:t>Exhibit B</w:t>
      </w:r>
      <w:r>
        <w:rPr>
          <w:rFonts w:ascii="Times New Roman;serif" w:hAnsi="Times New Roman;serif"/>
          <w:b w:val="false"/>
          <w:color w:val="000000"/>
          <w:sz w:val="20"/>
        </w:rPr>
        <w: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(x)Article III of the LLC Agreement is hereby amended by adding a new Section 3.12 immediately after Section 3.11 of the LLC Agreement, which shall read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rPr>
        <w:t>Section 3.12    </w:t>
      </w:r>
      <w:r>
        <w:rPr>
          <w:rFonts w:ascii="Times New Roman;serif" w:hAnsi="Times New Roman;serif"/>
          <w:b w:val="false"/>
          <w:color w:val="000000"/>
          <w:sz w:val="20"/>
          <w:u w:val="single"/>
        </w:rPr>
        <w:t>Rebalancing</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(a)Promptly following the earlier to occur of (x) the Project Completion Date, and (y) the Abandonment of the Train 4 Project (but in any event within five Business Days after such occurrence) (each of the occurrences in (x) and (y), a “</w:t>
      </w:r>
      <w:r>
        <w:rPr>
          <w:rFonts w:ascii="Times New Roman;serif" w:hAnsi="Times New Roman;serif"/>
          <w:b w:val="false"/>
          <w:color w:val="000000"/>
          <w:sz w:val="20"/>
          <w:u w:val="single"/>
        </w:rPr>
        <w:t>Rebalancing Event</w:t>
      </w:r>
      <w:r>
        <w:rPr>
          <w:color w:val="000000"/>
        </w:rPr>
        <w:t>”</w:t>
      </w:r>
      <w:r>
        <w:rPr>
          <w:rFonts w:ascii="Times New Roman;serif" w:hAnsi="Times New Roman;serif"/>
          <w:b w:val="false"/>
          <w:color w:val="000000"/>
          <w:sz w:val="20"/>
        </w:rPr>
        <w:t>), the Board shall calculate and deliver a written notice to all Members and FI Member Owners that specifies the following (the “</w:t>
      </w:r>
      <w:r>
        <w:rPr>
          <w:rFonts w:ascii="Times New Roman;serif" w:hAnsi="Times New Roman;serif"/>
          <w:b w:val="false"/>
          <w:color w:val="000000"/>
          <w:sz w:val="20"/>
          <w:u w:val="single"/>
        </w:rPr>
        <w:t>Rebalancing Notice</w:t>
      </w:r>
      <w:r>
        <w:rPr>
          <w:color w:val="000000"/>
        </w:rPr>
        <w:t>”</w:t>
      </w:r>
      <w:r>
        <w:rPr>
          <w:rFonts w:ascii="Times New Roman;serif" w:hAnsi="Times New Roman;serif"/>
          <w:b w:val="false"/>
          <w:color w:val="000000"/>
          <w:sz w:val="20"/>
        </w:rPr>
        <w:t>): (i) the date of the relevant Rebalancing Event (the “</w:t>
      </w:r>
      <w:r>
        <w:rPr>
          <w:rFonts w:ascii="Times New Roman;serif" w:hAnsi="Times New Roman;serif"/>
          <w:b w:val="false"/>
          <w:color w:val="000000"/>
          <w:sz w:val="20"/>
          <w:u w:val="single"/>
        </w:rPr>
        <w:t>Rebalancing Event Date</w:t>
      </w:r>
      <w:r>
        <w:rPr>
          <w:color w:val="000000"/>
        </w:rPr>
        <w:t>”</w:t>
      </w:r>
      <w:r>
        <w:rPr>
          <w:rFonts w:ascii="Times New Roman;serif" w:hAnsi="Times New Roman;serif"/>
          <w:b w:val="false"/>
          <w:color w:val="000000"/>
          <w:sz w:val="20"/>
        </w:rPr>
        <w:t xml:space="preserve">); (ii) the aggregate amount of direct or indirect Equity Contributions made by each Member and FI Member Owner (including, for the elimination of doubt, any direct or indirect Initial Contribution by such Member and FI Member Owner and any deemed Equity Contribution of Pre-Completion Revenues allocated to such Member or FI Member Owner in accordance with </w:t>
      </w:r>
      <w:r>
        <w:rPr>
          <w:rFonts w:ascii="Times New Roman;serif" w:hAnsi="Times New Roman;serif"/>
          <w:b w:val="false"/>
          <w:color w:val="000000"/>
          <w:sz w:val="20"/>
          <w:u w:val="single"/>
        </w:rPr>
        <w:t>Section 3.3</w:t>
      </w:r>
      <w:r>
        <w:rPr>
          <w:rFonts w:ascii="Times New Roman;serif" w:hAnsi="Times New Roman;serif"/>
          <w:b w:val="false"/>
          <w:color w:val="000000"/>
          <w:sz w:val="20"/>
        </w:rPr>
        <w:t xml:space="preserve">); (iii) the aggregate amount of direct or indirect Equity Contributions made by all Members and FI Member Owners (including, for the elimination of doubt, all direct or indirect Initial Contributions by the Members and FI Member Owners and all deemed Equity Contributions of Pre-Completion Revenues allocated to the Members and FI Member Owners in accordance with </w:t>
      </w:r>
      <w:r>
        <w:rPr>
          <w:rFonts w:ascii="Times New Roman;serif" w:hAnsi="Times New Roman;serif"/>
          <w:b w:val="false"/>
          <w:color w:val="000000"/>
          <w:sz w:val="20"/>
          <w:u w:val="single"/>
        </w:rPr>
        <w:t>Section 3.3</w:t>
      </w:r>
      <w:r>
        <w:rPr>
          <w:rFonts w:ascii="Times New Roman;serif" w:hAnsi="Times New Roman;serif"/>
          <w:b w:val="false"/>
          <w:color w:val="000000"/>
          <w:sz w:val="20"/>
        </w:rPr>
        <w:t>); (iv) the Notional Equity Contribution Amount of each Member and FI Member Owner; and (v) the Accelerated Funding Amount of each Member and FI Member Owner.</w:t>
      </w:r>
    </w:p>
    <w:p>
      <w:pPr>
        <w:pStyle w:val="TextBody"/>
        <w:bidi w:val="0"/>
        <w:spacing w:lineRule="auto" w:line="288" w:before="0" w:after="240"/>
        <w:ind w:left="0" w:right="0" w:firstLine="720"/>
        <w:jc w:val="both"/>
        <w:rPr/>
      </w:pPr>
      <w:r>
        <w:rPr>
          <w:rFonts w:ascii="Times New Roman;serif" w:hAnsi="Times New Roman;serif"/>
          <w:b w:val="false"/>
          <w:color w:val="000000"/>
          <w:sz w:val="20"/>
        </w:rPr>
        <w:t>(b)For purposes hereof, “</w:t>
      </w:r>
      <w:r>
        <w:rPr>
          <w:rFonts w:ascii="Times New Roman;serif" w:hAnsi="Times New Roman;serif"/>
          <w:b w:val="false"/>
          <w:color w:val="000000"/>
          <w:sz w:val="20"/>
          <w:u w:val="single"/>
        </w:rPr>
        <w:t>Abandoned</w:t>
      </w:r>
      <w:r>
        <w:rPr>
          <w:color w:val="000000"/>
        </w:rPr>
        <w:t xml:space="preserve">” </w:t>
      </w:r>
      <w:r>
        <w:rPr>
          <w:rFonts w:ascii="Times New Roman;serif" w:hAnsi="Times New Roman;serif"/>
          <w:b w:val="false"/>
          <w:color w:val="000000"/>
          <w:sz w:val="20"/>
        </w:rPr>
        <w:t>means Train Abandonment (as defined in the Definitions Agreement) and the derivate term “Abandonment” shall be construed accordingly, (ii) the “</w:t>
      </w:r>
      <w:r>
        <w:rPr>
          <w:rFonts w:ascii="Times New Roman;serif" w:hAnsi="Times New Roman;serif"/>
          <w:b w:val="false"/>
          <w:color w:val="000000"/>
          <w:sz w:val="20"/>
          <w:u w:val="single"/>
        </w:rPr>
        <w:t>Notional Equity Contribution Amount</w:t>
      </w:r>
      <w:r>
        <w:rPr>
          <w:color w:val="000000"/>
        </w:rPr>
        <w:t xml:space="preserve">” </w:t>
      </w:r>
      <w:r>
        <w:rPr>
          <w:rFonts w:ascii="Times New Roman;serif" w:hAnsi="Times New Roman;serif"/>
          <w:b w:val="false"/>
          <w:color w:val="000000"/>
          <w:sz w:val="20"/>
        </w:rPr>
        <w:t xml:space="preserve">of each Member and FI Member Owner means an amount equal to the aggregate sum of (A) the aggregate amount of Equity Contributions made by all Members (including the FI Member) at T4 FID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 xml:space="preserve">(x) with respect to all Members other than the FI Member, the Capital Percentage of such Member at T4 FID and (y) with respect to the FI Member Owners, the Capital Percentage of the FI Member at T4 FID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 xml:space="preserve">the Base Funding Percentage of such FI Member Owner at T4 FID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(B) the aggregate amount of Equity Contributions made (or deemed made) by all Members (including the FI Member) in accordance with this Agreement on each JVCo Contribution Date occurring after FID and prior to the applicable Rebalancing Event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 xml:space="preserve">(x) with respect to all Members other than the FI Member, the Capital Percentage of such Member on such JVCo Contribution Date and (y) with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respect to the FI Member Owners, the Capital Percentage of the FI Member on such JVCo Contribution Date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the Base Funding Percentage of such FI Member Owner on such JVCo Contribution Date, and (iii) “</w:t>
      </w:r>
      <w:r>
        <w:rPr>
          <w:rFonts w:ascii="Times New Roman;serif" w:hAnsi="Times New Roman;serif"/>
          <w:b w:val="false"/>
          <w:color w:val="000000"/>
          <w:sz w:val="20"/>
          <w:u w:val="single"/>
        </w:rPr>
        <w:t>Accelerated Funding Amount</w:t>
      </w:r>
      <w:r>
        <w:rPr>
          <w:color w:val="000000"/>
        </w:rPr>
        <w:t xml:space="preserve">” </w:t>
      </w:r>
      <w:r>
        <w:rPr>
          <w:rFonts w:ascii="Times New Roman;serif" w:hAnsi="Times New Roman;serif"/>
          <w:b w:val="false"/>
          <w:color w:val="000000"/>
          <w:sz w:val="20"/>
        </w:rPr>
        <w:t xml:space="preserve">means, with respect to each Member and FI Member Owner, the positive or negative amount (as applicable) yielded by subtracting (x) the Notional Equity Contribution Amount of such Member or FI Member Owner from (y) the aggregate amount of Equity Contributions made by such Member or FI Member Owner, as applicable (including, for the elimination of doubt, any direct or indirect Initial Contribution by such Member and FI Member Owner and any deemed Equity Contribution of Pre-Completion Revenues allocated to such Member or FI Member in accordance with </w:t>
      </w:r>
      <w:r>
        <w:rPr>
          <w:rFonts w:ascii="Times New Roman;serif" w:hAnsi="Times New Roman;serif"/>
          <w:b w:val="false"/>
          <w:color w:val="000000"/>
          <w:sz w:val="20"/>
          <w:u w:val="single"/>
        </w:rPr>
        <w:t>Section 3.3</w:t>
      </w:r>
      <w:r>
        <w:rPr>
          <w:rFonts w:ascii="Times New Roman;serif" w:hAnsi="Times New Roman;serif"/>
          <w:b w:val="false"/>
          <w:color w:val="000000"/>
          <w:sz w:val="20"/>
        </w:rPr>
        <w:t xml:space="preserve">); provided, that in no event shall the Accelerated Funding Amount of any Member or FI Member Owner exceed, in the case of a Member, the Committed Amount of such Member or, in the case of an FI Member Owner, the Committed Amount of the FI Member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the Base Funding Percentage of such FI Member Owner.</w:t>
      </w:r>
    </w:p>
    <w:p>
      <w:pPr>
        <w:pStyle w:val="TextBody"/>
        <w:bidi w:val="0"/>
        <w:spacing w:lineRule="auto" w:line="288" w:before="0" w:after="240"/>
        <w:ind w:left="0" w:right="0" w:firstLine="720"/>
        <w:jc w:val="both"/>
        <w:rPr/>
      </w:pPr>
      <w:r>
        <w:rPr>
          <w:rFonts w:ascii="Times New Roman;serif" w:hAnsi="Times New Roman;serif"/>
          <w:b w:val="false"/>
          <w:color w:val="000000"/>
          <w:sz w:val="20"/>
        </w:rPr>
        <w:t>(c)If the Accelerated Funding Amount of a Member or FI Member Owner is negative, then the Accelerated Funding Amount of such Member or FI Member Owner shall be an “</w:t>
      </w:r>
      <w:r>
        <w:rPr>
          <w:rFonts w:ascii="Times New Roman;serif" w:hAnsi="Times New Roman;serif"/>
          <w:b w:val="false"/>
          <w:color w:val="000000"/>
          <w:sz w:val="20"/>
          <w:u w:val="single"/>
        </w:rPr>
        <w:t>Accelerated Funding Debt</w:t>
      </w:r>
      <w:r>
        <w:rPr>
          <w:color w:val="000000"/>
        </w:rPr>
        <w:t xml:space="preserve">” </w:t>
      </w:r>
      <w:r>
        <w:rPr>
          <w:rFonts w:ascii="Times New Roman;serif" w:hAnsi="Times New Roman;serif"/>
          <w:b w:val="false"/>
          <w:color w:val="000000"/>
          <w:sz w:val="20"/>
        </w:rPr>
        <w:t>deemed owed by such Member or FI Member Owner. If the Accelerated Funding Amount of a Member or FI Member Owner is positive, then the Accelerated Funding Amount of such Member or FI Member Owner shall be an “</w:t>
      </w:r>
      <w:r>
        <w:rPr>
          <w:rFonts w:ascii="Times New Roman;serif" w:hAnsi="Times New Roman;serif"/>
          <w:b w:val="false"/>
          <w:color w:val="000000"/>
          <w:sz w:val="20"/>
          <w:u w:val="single"/>
        </w:rPr>
        <w:t>Accelerated Funding Advance</w:t>
      </w:r>
      <w:r>
        <w:rPr>
          <w:color w:val="000000"/>
        </w:rPr>
        <w:t xml:space="preserve">” </w:t>
      </w:r>
      <w:r>
        <w:rPr>
          <w:rFonts w:ascii="Times New Roman;serif" w:hAnsi="Times New Roman;serif"/>
          <w:b w:val="false"/>
          <w:color w:val="000000"/>
          <w:sz w:val="20"/>
        </w:rPr>
        <w:t>deemed made by such Member or FI Member Owner.</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(d)Each Member or FI Member Owner that owes Accelerated Funding Debt shall pay to each Member or FI Member Owner that made an Accelerated Funding Advance an amount equal to (x) the Accelerated Funding Debt owed by such Member or FI Member Owner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(y) the percentage yielded by dividing (I) the Accelerated Funding Advance of each such Member or FI Member Owner that made an Accelerated Funding Advance by (II) the Accelerated Funding Advances of all such Members or FI Member Owners that made an Accelerated Funding Advance (provided, that, subject to any requisite consent required under this Agreement, the relevant parties may, upon mutual agreement, structure such payment as a contribution to and special distribution from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(e)Except as set forth in </w:t>
      </w:r>
      <w:r>
        <w:rPr>
          <w:rFonts w:ascii="Times New Roman;serif" w:hAnsi="Times New Roman;serif"/>
          <w:b w:val="false"/>
          <w:color w:val="000000"/>
          <w:sz w:val="20"/>
          <w:u w:val="single"/>
        </w:rPr>
        <w:t>Section 13.7</w:t>
      </w:r>
      <w:r>
        <w:rPr>
          <w:rFonts w:ascii="Times New Roman;serif" w:hAnsi="Times New Roman;serif"/>
          <w:b w:val="false"/>
          <w:color w:val="000000"/>
          <w:sz w:val="20"/>
        </w:rPr>
        <w:t xml:space="preserve">, as applicable, each of the Accelerated Funding Advances shall, from and after the Rebalancing Event Date, constitute an interest-free advance payable in cash on the tenth Business Day after receipt of the Rebalancing Notice delivered pursuant to </w:t>
      </w:r>
      <w:r>
        <w:rPr>
          <w:rFonts w:ascii="Times New Roman;serif" w:hAnsi="Times New Roman;serif"/>
          <w:b w:val="false"/>
          <w:color w:val="000000"/>
          <w:sz w:val="20"/>
          <w:u w:val="single"/>
        </w:rPr>
        <w:t>Section 3.12(a)</w:t>
      </w:r>
      <w:r>
        <w:rPr>
          <w:rFonts w:ascii="Times New Roman;serif" w:hAnsi="Times New Roman;serif"/>
          <w:b w:val="false"/>
          <w:color w:val="000000"/>
          <w:sz w:val="20"/>
        </w:rPr>
        <w:t xml:space="preserve">. All such payments of Accelerated Funding Advances shall be made via wire transfer of immediately available funds to an account designated by the recipient thereof. The Accelerated Funding Advances shall be an unsecured general obligation of the applicable Member or FI Member Owner and the obligations in respect thereof shall be absolute and unconditional and payment of the principal amount thereof shall not be subject to any defense, counterclaim or right of offset (except as set forth in </w:t>
      </w:r>
      <w:r>
        <w:rPr>
          <w:rFonts w:ascii="Times New Roman;serif" w:hAnsi="Times New Roman;serif"/>
          <w:b w:val="false"/>
          <w:color w:val="000000"/>
          <w:sz w:val="20"/>
          <w:u w:val="single"/>
        </w:rPr>
        <w:t>Section 3.12(f)</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(f)Each Member and FI Member Owner owing an Accelerated Funding Debt may set off such Member or FI Member Owner’s </w:t>
      </w:r>
      <w:r>
        <w:rPr>
          <w:rFonts w:ascii="Times New Roman;serif" w:hAnsi="Times New Roman;serif"/>
          <w:b w:val="false"/>
          <w:i/>
          <w:color w:val="000000"/>
          <w:sz w:val="20"/>
        </w:rPr>
        <w:t xml:space="preserve">pro rata </w:t>
      </w:r>
      <w:r>
        <w:rPr>
          <w:rFonts w:ascii="Times New Roman;serif" w:hAnsi="Times New Roman;serif"/>
          <w:b w:val="false"/>
          <w:color w:val="000000"/>
          <w:sz w:val="20"/>
        </w:rPr>
        <w:t>share of the principal amount of any Bridging Equity Loan or Covering Equity Loan owed by any Member or FI Member Owner to which an Accelerated Funding Advance is owed against the principal amount of such Accelerated Funding Debt. If any Member or FI Member Owner owes the NextDecade Member an Accelerated Funding Debt, then such Member or FI Member Owner may set off such Accelerated Funding Debt to the NextDecade Member to the extent specified under Section 5.11 of the FI Subscription Agreement or Section 5.10 of the TTE Subscription Agreement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(g)For the avoidance of doubt, (i) the obligations of the Members and FI Member Owners under this </w:t>
      </w:r>
      <w:r>
        <w:rPr>
          <w:rFonts w:ascii="Times New Roman;serif" w:hAnsi="Times New Roman;serif"/>
          <w:b w:val="false"/>
          <w:color w:val="000000"/>
          <w:sz w:val="20"/>
          <w:u w:val="single"/>
        </w:rPr>
        <w:t>Section 3.12</w:t>
      </w:r>
      <w:r>
        <w:rPr>
          <w:color w:val="000000"/>
        </w:rPr>
        <w:t xml:space="preserve"> </w:t>
      </w:r>
      <w:r>
        <w:rPr>
          <w:rFonts w:ascii="Times New Roman;serif" w:hAnsi="Times New Roman;serif"/>
          <w:b w:val="false"/>
          <w:color w:val="000000"/>
          <w:sz w:val="20"/>
        </w:rPr>
        <w:t xml:space="preserve">shall be deemed “material” for purposes of </w:t>
      </w:r>
      <w:r>
        <w:rPr>
          <w:rFonts w:ascii="Times New Roman;serif" w:hAnsi="Times New Roman;serif"/>
          <w:b w:val="false"/>
          <w:color w:val="000000"/>
          <w:sz w:val="20"/>
          <w:u w:val="single"/>
        </w:rPr>
        <w:t>Article XIII</w:t>
      </w:r>
      <w:r>
        <w:rPr>
          <w:color w:val="000000"/>
        </w:rPr>
        <w:t xml:space="preserve"> </w:t>
      </w:r>
      <w:r>
        <w:rPr>
          <w:rFonts w:ascii="Times New Roman;serif" w:hAnsi="Times New Roman;serif"/>
          <w:b w:val="false"/>
          <w:color w:val="000000"/>
          <w:sz w:val="20"/>
        </w:rPr>
        <w:t xml:space="preserve">and (ii) unless expressly stated otherwise, any reference to “Member” in this </w:t>
      </w:r>
      <w:r>
        <w:rPr>
          <w:rFonts w:ascii="Times New Roman;serif" w:hAnsi="Times New Roman;serif"/>
          <w:b w:val="false"/>
          <w:color w:val="000000"/>
          <w:sz w:val="20"/>
          <w:u w:val="single"/>
        </w:rPr>
        <w:t>Section 3.12</w:t>
      </w:r>
      <w:r>
        <w:rPr>
          <w:color w:val="000000"/>
        </w:rPr>
        <w:t xml:space="preserve"> </w:t>
      </w:r>
      <w:r>
        <w:rPr>
          <w:rFonts w:ascii="Times New Roman;serif" w:hAnsi="Times New Roman;serif"/>
          <w:b w:val="false"/>
          <w:color w:val="000000"/>
          <w:sz w:val="20"/>
        </w:rPr>
        <w:t xml:space="preserve">shall be deemed to exclude the FI Member (for so long as it is directly or indirectly owned by two or more FI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Member Owners) to the extent that such reference would result in double-counting in respect of amounts allocable to the FI Member and FI Member Owners.”</w:t>
      </w:r>
    </w:p>
    <w:p>
      <w:pPr>
        <w:pStyle w:val="TextBody"/>
        <w:bidi w:val="0"/>
        <w:spacing w:lineRule="auto" w:line="288" w:before="0" w:after="220"/>
        <w:ind w:left="0" w:right="0" w:firstLine="720"/>
        <w:jc w:val="both"/>
        <w:rPr/>
      </w:pPr>
      <w:r>
        <w:rPr>
          <w:rFonts w:ascii="Times New Roman;serif" w:hAnsi="Times New Roman;serif"/>
          <w:b w:val="false"/>
          <w:color w:val="000000"/>
          <w:sz w:val="20"/>
        </w:rPr>
        <w:t xml:space="preserve">(xi)Section 13.2(d) of the LLC Agreement is hereby amended and restated in its entirety, to delete the stricken text (indicated textually in the same manner as the following example: </w:t>
      </w:r>
      <w:r>
        <w:rPr>
          <w:rFonts w:ascii="Times New Roman;serif" w:hAnsi="Times New Roman;serif"/>
          <w:b w:val="false"/>
          <w:strike/>
          <w:color w:val="000000"/>
          <w:sz w:val="20"/>
        </w:rPr>
        <w:t>stricken text</w:t>
      </w:r>
      <w:r>
        <w:rPr>
          <w:rFonts w:ascii="Times New Roman;serif" w:hAnsi="Times New Roman;serif"/>
          <w:b w:val="false"/>
          <w:color w:val="000000"/>
          <w:sz w:val="20"/>
        </w:rPr>
        <w:t xml:space="preserve">) and to add the double-underlined text (indicated textually in the same manner as the following example: </w:t>
      </w:r>
      <w:r>
        <w:rPr>
          <w:rFonts w:ascii="Times New Roman;serif" w:hAnsi="Times New Roman;serif"/>
          <w:b w:val="false"/>
          <w:color w:val="000000"/>
          <w:sz w:val="20"/>
          <w:u w:val="single"/>
        </w:rPr>
        <w:t>double-underlined text</w:t>
      </w:r>
      <w:r>
        <w:rPr>
          <w:rFonts w:ascii="Times New Roman;serif" w:hAnsi="Times New Roman;serif"/>
          <w:b w:val="false"/>
          <w:color w:val="000000"/>
          <w:sz w:val="20"/>
        </w:rPr>
        <w:t xml:space="preserve">) as set forth in the redline comparison of the LLC Agreement attached hereto as </w:t>
      </w:r>
      <w:r>
        <w:rPr>
          <w:rFonts w:ascii="Times New Roman;serif" w:hAnsi="Times New Roman;serif"/>
          <w:b w:val="false"/>
          <w:color w:val="000000"/>
          <w:sz w:val="20"/>
          <w:u w:val="single"/>
        </w:rPr>
        <w:t>Exhibit C</w:t>
      </w:r>
      <w:r>
        <w:rPr>
          <w:rFonts w:ascii="Times New Roman;serif" w:hAnsi="Times New Roman;serif"/>
          <w:b w:val="false"/>
          <w:color w:val="000000"/>
          <w:sz w:val="20"/>
        </w:rPr>
        <w:t>.</w:t>
      </w:r>
    </w:p>
    <w:p>
      <w:pPr>
        <w:pStyle w:val="TextBody"/>
        <w:bidi w:val="0"/>
        <w:spacing w:lineRule="auto" w:line="288" w:before="0" w:after="220"/>
        <w:ind w:left="0" w:right="0" w:firstLine="720"/>
        <w:jc w:val="both"/>
        <w:rPr/>
      </w:pPr>
      <w:r>
        <w:rPr>
          <w:rFonts w:ascii="Times New Roman;serif" w:hAnsi="Times New Roman;serif"/>
          <w:b w:val="false"/>
          <w:color w:val="000000"/>
          <w:sz w:val="20"/>
        </w:rPr>
        <w:t xml:space="preserve">(xii)Section 13.5(a) of the LLC Agreement is hereby amended and restated in its entirety, to delete the stricken text (indicated textually in the same manner as the following example: </w:t>
      </w:r>
      <w:r>
        <w:rPr>
          <w:rFonts w:ascii="Times New Roman;serif" w:hAnsi="Times New Roman;serif"/>
          <w:b w:val="false"/>
          <w:strike/>
          <w:color w:val="000000"/>
          <w:sz w:val="20"/>
        </w:rPr>
        <w:t>stricken text</w:t>
      </w:r>
      <w:r>
        <w:rPr>
          <w:rFonts w:ascii="Times New Roman;serif" w:hAnsi="Times New Roman;serif"/>
          <w:b w:val="false"/>
          <w:color w:val="000000"/>
          <w:sz w:val="20"/>
        </w:rPr>
        <w:t xml:space="preserve">) and to add the double-underlined text (indicated textually in the same manner as the following example: </w:t>
      </w:r>
      <w:r>
        <w:rPr>
          <w:rFonts w:ascii="Times New Roman;serif" w:hAnsi="Times New Roman;serif"/>
          <w:b w:val="false"/>
          <w:color w:val="000000"/>
          <w:sz w:val="20"/>
          <w:u w:val="single"/>
        </w:rPr>
        <w:t>double-underlined text</w:t>
      </w:r>
      <w:r>
        <w:rPr>
          <w:rFonts w:ascii="Times New Roman;serif" w:hAnsi="Times New Roman;serif"/>
          <w:b w:val="false"/>
          <w:color w:val="000000"/>
          <w:sz w:val="20"/>
        </w:rPr>
        <w:t xml:space="preserve">) as set forth in the redline comparison of the LLC Agreement attached hereto as </w:t>
      </w:r>
      <w:r>
        <w:rPr>
          <w:rFonts w:ascii="Times New Roman;serif" w:hAnsi="Times New Roman;serif"/>
          <w:b w:val="false"/>
          <w:color w:val="000000"/>
          <w:sz w:val="20"/>
          <w:u w:val="single"/>
        </w:rPr>
        <w:t>Exhibit D</w:t>
      </w:r>
      <w:r>
        <w:rPr>
          <w:rFonts w:ascii="Times New Roman;serif" w:hAnsi="Times New Roman;serif"/>
          <w:b w:val="false"/>
          <w:color w:val="000000"/>
          <w:sz w:val="20"/>
        </w:rPr>
        <w:t>.</w:t>
      </w:r>
    </w:p>
    <w:p>
      <w:pPr>
        <w:pStyle w:val="TextBody"/>
        <w:bidi w:val="0"/>
        <w:spacing w:lineRule="auto" w:line="288" w:before="0" w:after="2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(xiii)Article XIII of the LLC Agreement is hereby amended by adding a new Section 13.7 immediately after Section 13.6 of the LLC Agreement, which shall read as follows: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rPr>
        <w:t>Section 13.7        </w:t>
      </w:r>
      <w:r>
        <w:rPr>
          <w:rFonts w:ascii="Times New Roman;serif" w:hAnsi="Times New Roman;serif"/>
          <w:b w:val="false"/>
          <w:color w:val="000000"/>
          <w:sz w:val="20"/>
          <w:u w:val="single"/>
        </w:rPr>
        <w:t>Rebalancing Payment Default</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0"/>
        </w:rPr>
        <w:t>(a)In addition to the rights and obligations contained in Section 13.2, if any Member or FI Member Owner shall have received notice of any Event of Default specified in Section 13.1(a)(vi) or Section 13.1(c)(vi) for breach of obligations under Section 3.12 (a “</w:t>
      </w:r>
      <w:r>
        <w:rPr>
          <w:rFonts w:ascii="Times New Roman;serif" w:hAnsi="Times New Roman;serif"/>
          <w:b w:val="false"/>
          <w:color w:val="000000"/>
          <w:sz w:val="20"/>
          <w:u w:val="single"/>
        </w:rPr>
        <w:t>Rebalancing Payment Default</w:t>
      </w:r>
      <w:r>
        <w:rPr>
          <w:color w:val="000000"/>
        </w:rPr>
        <w:t>”</w:t>
      </w:r>
      <w:r>
        <w:rPr>
          <w:rFonts w:ascii="Times New Roman;serif" w:hAnsi="Times New Roman;serif"/>
          <w:b w:val="false"/>
          <w:color w:val="000000"/>
          <w:sz w:val="20"/>
        </w:rPr>
        <w:t>) from the Company or any other Person authorized to give a Default Notice under this Agreement then:</w:t>
      </w:r>
    </w:p>
    <w:p>
      <w:pPr>
        <w:pStyle w:val="TextBody"/>
        <w:bidi w:val="0"/>
        <w:spacing w:lineRule="auto" w:line="288" w:before="0" w:after="240"/>
        <w:jc w:val="both"/>
        <w:rPr/>
      </w:pPr>
      <w:r>
        <w:rPr>
          <w:rFonts w:ascii="Times New Roman;serif" w:hAnsi="Times New Roman;serif"/>
          <w:b w:val="false"/>
          <w:color w:val="000000"/>
          <w:sz w:val="20"/>
        </w:rPr>
        <w:t>(i)without prejudice to the exercise of any other contractual rights held hereunder, any Non-Defaulting Holders may at any time request in writing, delivered to the Company, each Member and each FI Member Owner (a “</w:t>
      </w:r>
      <w:r>
        <w:rPr>
          <w:rFonts w:ascii="Times New Roman;serif" w:hAnsi="Times New Roman;serif"/>
          <w:b w:val="false"/>
          <w:color w:val="000000"/>
          <w:sz w:val="20"/>
          <w:u w:val="single"/>
        </w:rPr>
        <w:t>Rebalancing Payment Default Notice</w:t>
      </w:r>
      <w:r>
        <w:rPr>
          <w:color w:val="000000"/>
        </w:rPr>
        <w:t>”</w:t>
      </w:r>
      <w:r>
        <w:rPr>
          <w:rFonts w:ascii="Times New Roman;serif" w:hAnsi="Times New Roman;serif"/>
          <w:b w:val="false"/>
          <w:color w:val="000000"/>
          <w:sz w:val="20"/>
        </w:rPr>
        <w:t>), that the Company, and the Company shall, take such action (including initiating any proceeding) and exercise any rights and remedies available under this Agreement, at law or in equity, to obtain payment by the Member or FI Member Owner that is alleged (or whose Affiliate is alleged) to have made a Rebalancing Payment Default (a “</w:t>
      </w:r>
      <w:r>
        <w:rPr>
          <w:rFonts w:ascii="Times New Roman;serif" w:hAnsi="Times New Roman;serif"/>
          <w:b w:val="false"/>
          <w:color w:val="000000"/>
          <w:sz w:val="20"/>
          <w:u w:val="single"/>
        </w:rPr>
        <w:t>Rebalancing Payment Defaulting Holder</w:t>
      </w:r>
      <w:r>
        <w:rPr>
          <w:color w:val="000000"/>
        </w:rPr>
        <w:t>”</w:t>
      </w:r>
      <w:r>
        <w:rPr>
          <w:rFonts w:ascii="Times New Roman;serif" w:hAnsi="Times New Roman;serif"/>
          <w:b w:val="false"/>
          <w:color w:val="000000"/>
          <w:sz w:val="20"/>
        </w:rPr>
        <w:t>) of the Rebalancing Payment Default to the Member(s) or FI Member Owner(s) to which such Rebalancing Payment Defaulting Holder owes an Accelerated Funding Debt, along with all costs, fees and expenses (including documented, out-of-pocket attorney’s fees), in all cases without duplication of recovery after considering any amounts received pursuant to the execution of other remedies set forth in this Article XIII; and</w:t>
      </w:r>
    </w:p>
    <w:p>
      <w:pPr>
        <w:pStyle w:val="TextBody"/>
        <w:bidi w:val="0"/>
        <w:spacing w:lineRule="auto" w:line="288" w:before="0" w:after="240"/>
        <w:jc w:val="both"/>
        <w:rPr/>
      </w:pPr>
      <w:r>
        <w:rPr>
          <w:rFonts w:ascii="Times New Roman;serif" w:hAnsi="Times New Roman;serif"/>
          <w:b w:val="false"/>
          <w:color w:val="000000"/>
          <w:sz w:val="20"/>
        </w:rPr>
        <w:t xml:space="preserve">(ii)if such Rebalancing Payment Default is not cured within 120 days following the Rebalancing Payment Default Notice, then, on any date thereafter, (A) the Rebalancing Payment Defaulting Holder (or FI Member in respect of an FI Member Owner that is a Rebalancing Payment Defaulting Holder) shall forfeit that number of Capital Units (which, in the case of FI Member in respect of an FI Member that is a Rebalancing Payment Defaulting Holder, such FI Member Owner’s Class B-2 Units, and to the extent that the number of such Class B-2 Units are insufficient, such FI Member Owner’s Class B-1 Units) equal to (x) the amount of such Member’s or, if applicable, such FI Member Owner’s deemed Accelerated Funding Debt that remains unpaid as of such date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(y) $1.00, and (B) the Company may redeem all remaining Capital Units of the Rebalancing Payment Defaulting Holder (other than such Capital Units that are subject of Section 13.5(c), which shall be exchanged in accordance therewith immediately prior to such redemption of the Rebalancing Payment Defaulting Holder’s remaining Capital Units after such exchange) in exchange for a payment equal to (I)(x) the number of such remaining Capital Units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 xml:space="preserve">(y) the lower of (1) [***]% of Fair Market Value of each such Capital Unit and (2) $[***] per Capital Unit </w:t>
      </w:r>
      <w:r>
        <w:rPr>
          <w:rFonts w:ascii="Times New Roman;serif" w:hAnsi="Times New Roman;serif"/>
          <w:b w:val="false"/>
          <w:i/>
          <w:color w:val="000000"/>
          <w:sz w:val="20"/>
        </w:rPr>
        <w:t xml:space="preserve">minus </w:t>
      </w:r>
      <w:r>
        <w:rPr>
          <w:rFonts w:ascii="Times New Roman;serif" w:hAnsi="Times New Roman;serif"/>
          <w:b w:val="false"/>
          <w:color w:val="000000"/>
          <w:sz w:val="20"/>
        </w:rPr>
        <w:t xml:space="preserve">(II) the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in respect of a deemed Defaulting Holder Loans (which shall be paid by the Company to the relevant deemed Curing Holder in cash on the date of such redemption, in satisfaction of such outstanding amount of interest). Notwithstanding anything to the contrary herein, a Rebalancing Payment Defaulting Holder shall not have any right to approve or consent to any amendment to this Agreement that is reasonably necessary to give effect to the foregoing.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(b)If a Rebalancing Payment Default is not cured within 15 Business Days following the Rebalancing Payment Default Notice, then each Member and, as applicable, FI Member Owner that made an Accelerated Funding Advance shall be deemed to have cured the Rebalancing Payment Default as Curing Holders in the amount equal to the Rebalancing Payment Defaulting Holder’s deemed Accelerated Funding Debt that remains outstanding as of such date (the “</w:t>
      </w:r>
      <w:r>
        <w:rPr>
          <w:rFonts w:ascii="Times New Roman;serif" w:hAnsi="Times New Roman;serif"/>
          <w:b w:val="false"/>
          <w:color w:val="000000"/>
          <w:sz w:val="20"/>
          <w:u w:val="single"/>
        </w:rPr>
        <w:t>Remaining Accelerated Funding Debt</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(c)The amount of such Remaining Accelerated Funding Debt shall be deemed a loan by the relevant Curing Holders to the Rebalancing Payment Defaulting Holder. Except in connection with the conversion of a Bridging Equity Loan in accordance with Section 13.4(e) or a Covering Equity Loan pursuant to Section 13.5(c), in no event shall the payment of a Cure Amount hereunder be treated as or deemed to be an Equity Contribution by the Curing Holder for purposes of Article IV or as a Member Loan from a Curing Holder to the Company.”</w:t>
      </w:r>
    </w:p>
    <w:p>
      <w:pPr>
        <w:pStyle w:val="TextBody"/>
        <w:bidi w:val="0"/>
        <w:spacing w:lineRule="auto" w:line="288" w:before="0" w:after="22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Amendments to the TTE Subscription Agreement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(d)Section 6.8 of the TTE Subscription Agreement is hereby amended and restated in its entirety to read as follows:</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0"/>
        </w:rPr>
        <w:t>[RESERVED.]”</w:t>
      </w:r>
    </w:p>
    <w:p>
      <w:pPr>
        <w:pStyle w:val="TextBody"/>
        <w:bidi w:val="0"/>
        <w:spacing w:lineRule="auto" w:line="288" w:before="0" w:after="24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Amendments to the FI Subscription Agreement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(e)Section 6.8 of the FI Subscription Agreement is hereby amended and restated in its entirety to read as follows:</w:t>
      </w:r>
    </w:p>
    <w:p>
      <w:pPr>
        <w:pStyle w:val="TextBody"/>
        <w:bidi w:val="0"/>
        <w:spacing w:lineRule="auto" w:line="240" w:before="0" w:after="240"/>
        <w:ind w:left="0" w:right="0" w:firstLine="720"/>
        <w:jc w:val="left"/>
        <w:rPr>
          <w:color w:val="000000"/>
        </w:rPr>
      </w:pPr>
      <w:r>
        <w:rPr>
          <w:color w:val="000000"/>
        </w:rPr>
        <w:t>“</w:t>
      </w:r>
      <w:r>
        <w:rPr>
          <w:rFonts w:ascii="Times New Roman;serif" w:hAnsi="Times New Roman;serif"/>
          <w:b w:val="false"/>
          <w:color w:val="000000"/>
          <w:sz w:val="20"/>
        </w:rPr>
        <w:t>[RESERVED.]”</w:t>
      </w:r>
    </w:p>
    <w:p>
      <w:pPr>
        <w:pStyle w:val="TextBody"/>
        <w:bidi w:val="0"/>
        <w:spacing w:lineRule="auto" w:line="288" w:before="0" w:after="22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Effect of Amendment</w:t>
      </w:r>
      <w:r>
        <w:rPr>
          <w:rFonts w:ascii="Times New Roman;serif" w:hAnsi="Times New Roman;serif"/>
          <w:b w:val="false"/>
          <w:color w:val="000000"/>
          <w:sz w:val="20"/>
        </w:rPr>
        <w:t>. Except as expressly provided in this Amendment, all of the terms and provisions of the LLC Agreement, TTE Subscription Agreement and FI Subscription Agreement are and will remain in full force and effect and are hereby ratified and confirmed by the Parties. On and after the date hereof, each reference in each of the LLC Agreement, TTE Subscription Agreement and FI Subscription Agreement to “this Agreement,” “the Agreement,” “hereof,” “herein” and “hereunder” and words of similar import, and each reference to each of the LLC Agreement, TTE Subscription Agreement and FI Subscription Agreement in any other agreements or instruments executed and delivered pursuant to, or in connection with, the LLC Agreement, TTE Subscription Agreement and FI Subscription Agreement, shall be deemed to be a reference to the LLC Agreement, TTE Subscription Agreement and FI Subscription Agreement, as applicable, as amended by this Amendment.</w:t>
      </w:r>
    </w:p>
    <w:p>
      <w:pPr>
        <w:pStyle w:val="TextBody"/>
        <w:bidi w:val="0"/>
        <w:spacing w:lineRule="auto" w:line="288" w:before="0" w:after="220"/>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This Amendment, and all claims or causes of action (whether in contract, tort or statute) that may be based on, arise out of or relate to this Amendment, or the negotiation, execution or performance of this Amendment, shall be governed by and construed in accordance with the laws of the State of Delaware, without giving effect to any choice or conflict of laws provision or rule that would cause the application of the laws of any jurisdiction other than Delaware.</w:t>
      </w:r>
    </w:p>
    <w:p>
      <w:pPr>
        <w:pStyle w:val="TextBody"/>
        <w:bidi w:val="0"/>
        <w:spacing w:lineRule="auto" w:line="288" w:before="0" w:after="220"/>
        <w:ind w:left="0" w:right="0" w:firstLine="72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Counterparts; Electronic Signature</w:t>
      </w:r>
      <w:r>
        <w:rPr>
          <w:rFonts w:ascii="Times New Roman;serif" w:hAnsi="Times New Roman;serif"/>
          <w:b w:val="false"/>
          <w:color w:val="000000"/>
          <w:sz w:val="20"/>
        </w:rPr>
        <w:t xml:space="preserve">. This Amendment may be signed by facsimile or by emailing a pdf file and may be signed in counterparts, each of which shall be deemed an original and all of which together shall constitute one and the same agreement, to the fullest extent permitted by law. The parties to this Amendment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irrevocably and unreservedly agree that this Amendment may be executed by way of electronic signatures and that such Amendment, or any part thereof, shall not be challenged or denied any legal effect, validity or enforceability solely on the ground that it is in the form of an electronic record.</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20"/>
        <w:jc w:val="left"/>
        <w:rPr>
          <w:color w:val="000000"/>
        </w:rPr>
      </w:pPr>
      <w:r>
        <w:rPr>
          <w:color w:val="000000"/>
        </w:rPr>
        <w:t>    </w:t>
      </w:r>
      <w:r>
        <w:rPr>
          <w:rFonts w:ascii="Times New Roman;serif" w:hAnsi="Times New Roman;serif"/>
          <w:b w:val="false"/>
          <w:color w:val="000000"/>
          <w:sz w:val="20"/>
        </w:rPr>
        <w:t>IN WITNESS WHEREOF, each of the undersigned has duly executed this Agreement (or caused this Agreement to be executed on its behalf by its officer or representative thereunto duly authorized) as of the date first above written.</w:t>
      </w:r>
    </w:p>
    <w:p>
      <w:pPr>
        <w:pStyle w:val="TextBody"/>
        <w:bidi w:val="0"/>
        <w:spacing w:before="0" w:after="220"/>
        <w:jc w:val="left"/>
        <w:rPr/>
      </w:pPr>
      <w:r>
        <w:rPr/>
      </w:r>
    </w:p>
    <w:tbl>
      <w:tblPr>
        <w:tblW w:w="9660" w:type="dxa"/>
        <w:jc w:val="left"/>
        <w:tblInd w:w="0" w:type="dxa"/>
        <w:tblLayout w:type="fixed"/>
        <w:tblCellMar>
          <w:top w:w="28" w:type="dxa"/>
          <w:left w:w="28" w:type="dxa"/>
          <w:bottom w:w="28" w:type="dxa"/>
          <w:right w:w="28" w:type="dxa"/>
        </w:tblCellMar>
      </w:tblPr>
      <w:tblGrid>
        <w:gridCol w:w="1928"/>
        <w:gridCol w:w="1697"/>
        <w:gridCol w:w="1700"/>
        <w:gridCol w:w="1270"/>
        <w:gridCol w:w="1270"/>
        <w:gridCol w:w="1795"/>
      </w:tblGrid>
      <w:tr>
        <w:trPr/>
        <w:tc>
          <w:tcPr>
            <w:tcW w:w="1928"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RIO GRANDE LNG INTERMEDIATE HOLDINGS, LLC</w:t>
            </w:r>
          </w:p>
          <w:p>
            <w:pPr>
              <w:pStyle w:val="TableContents"/>
              <w:bidi w:val="0"/>
              <w:spacing w:lineRule="auto" w:line="288" w:before="0" w:after="22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Vera de Gyarfas</w:t>
            </w:r>
            <w:r>
              <w:rPr>
                <w:rFonts w:ascii="Times New Roman;serif" w:hAnsi="Times New Roman;serif"/>
                <w:b w:val="false"/>
                <w:color w:val="000000"/>
                <w:sz w:val="20"/>
              </w:rPr>
              <w:t>_________________</w:t>
              <w:br/>
              <w:t>Name:    Vera de Gyarfas</w:t>
              <w:br/>
              <w:t>Title:    General Counsel and Secretary</w:t>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20"/>
              <w:jc w:val="left"/>
              <w:rPr>
                <w:rFonts w:ascii="Times New Roman;serif" w:hAnsi="Times New Roman;serif"/>
                <w:b w:val="false"/>
                <w:color w:val="000000"/>
                <w:sz w:val="20"/>
              </w:rPr>
            </w:pPr>
            <w:r>
              <w:rPr>
                <w:rFonts w:ascii="Times New Roman;serif" w:hAnsi="Times New Roman;serif"/>
                <w:b w:val="false"/>
                <w:color w:val="000000"/>
                <w:sz w:val="20"/>
              </w:rPr>
              <w:t>GIP V VELOCITY ACQUISITION PARTNERS, L.P.</w:t>
            </w:r>
          </w:p>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By: GIP Velocity GP, LLC, its general partner</w:t>
            </w:r>
          </w:p>
          <w:p>
            <w:pPr>
              <w:pStyle w:val="TableContents"/>
              <w:bidi w:val="0"/>
              <w:spacing w:lineRule="auto" w:line="288" w:before="0" w:after="22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Gregg Myers</w:t>
            </w:r>
            <w:r>
              <w:rPr>
                <w:rFonts w:ascii="Times New Roman;serif" w:hAnsi="Times New Roman;serif"/>
                <w:b w:val="false"/>
                <w:color w:val="000000"/>
                <w:sz w:val="20"/>
              </w:rPr>
              <w:t>___________________</w:t>
              <w:br/>
              <w:t>Name:    Gregg Myers</w:t>
              <w:br/>
              <w:t>Title:    Chief Financial Officer</w:t>
            </w:r>
          </w:p>
        </w:tc>
      </w:tr>
      <w:tr>
        <w:trPr/>
        <w:tc>
          <w:tcPr>
            <w:tcW w:w="53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RIO GRANDE LNG INTERMEDIATE SUPER HOLDINGS, LLC</w:t>
            </w:r>
          </w:p>
          <w:p>
            <w:pPr>
              <w:pStyle w:val="TableContents"/>
              <w:bidi w:val="0"/>
              <w:spacing w:lineRule="auto" w:line="288" w:before="0" w:after="22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Vera de Gyarfas</w:t>
            </w:r>
            <w:r>
              <w:rPr>
                <w:rFonts w:ascii="Times New Roman;serif" w:hAnsi="Times New Roman;serif"/>
                <w:b w:val="false"/>
                <w:color w:val="000000"/>
                <w:sz w:val="20"/>
              </w:rPr>
              <w:t>_________________</w:t>
              <w:br/>
              <w:t>Name:    Vera de Gyarfas</w:t>
              <w:br/>
              <w:t>Title:    General Counsel and Secretary</w:t>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20"/>
              <w:jc w:val="left"/>
              <w:rPr>
                <w:rFonts w:ascii="Times New Roman;serif" w:hAnsi="Times New Roman;serif"/>
                <w:b w:val="false"/>
                <w:color w:val="000000"/>
                <w:sz w:val="20"/>
              </w:rPr>
            </w:pPr>
            <w:r>
              <w:rPr>
                <w:rFonts w:ascii="Times New Roman;serif" w:hAnsi="Times New Roman;serif"/>
                <w:b w:val="false"/>
                <w:color w:val="000000"/>
                <w:sz w:val="20"/>
              </w:rPr>
              <w:t>GIM PARTICIPATION VELOCITY, L.P.</w:t>
            </w:r>
          </w:p>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By: GIP Velocity GP, LLC, its general partner</w:t>
            </w:r>
          </w:p>
          <w:p>
            <w:pPr>
              <w:pStyle w:val="TableContents"/>
              <w:bidi w:val="0"/>
              <w:spacing w:lineRule="auto" w:line="288" w:before="0" w:after="22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Gregg Myers</w:t>
            </w:r>
            <w:r>
              <w:rPr>
                <w:rFonts w:ascii="Times New Roman;serif" w:hAnsi="Times New Roman;serif"/>
                <w:b w:val="false"/>
                <w:color w:val="000000"/>
                <w:sz w:val="20"/>
              </w:rPr>
              <w:t>___________________</w:t>
              <w:br/>
              <w:t>Name:    Gregg Myers</w:t>
              <w:br/>
              <w:t>Title:    Chief Financial Officer</w:t>
            </w:r>
          </w:p>
        </w:tc>
      </w:tr>
      <w:tr>
        <w:trPr/>
        <w:tc>
          <w:tcPr>
            <w:tcW w:w="53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20"/>
              <w:jc w:val="left"/>
              <w:rPr>
                <w:rFonts w:ascii="Times New Roman;serif" w:hAnsi="Times New Roman;serif"/>
                <w:b w:val="false"/>
                <w:color w:val="000000"/>
                <w:sz w:val="20"/>
              </w:rPr>
            </w:pPr>
            <w:r>
              <w:rPr>
                <w:rFonts w:ascii="Times New Roman;serif" w:hAnsi="Times New Roman;serif"/>
                <w:b w:val="false"/>
                <w:color w:val="000000"/>
                <w:sz w:val="20"/>
              </w:rPr>
              <w:t xml:space="preserve">NEXTDECADE CORPORATION </w:t>
            </w:r>
          </w:p>
          <w:p>
            <w:pPr>
              <w:pStyle w:val="TableContents"/>
              <w:bidi w:val="0"/>
              <w:spacing w:lineRule="auto" w:line="288" w:before="0" w:after="22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Vera de Gyarfas</w:t>
            </w:r>
            <w:r>
              <w:rPr>
                <w:rFonts w:ascii="Times New Roman;serif" w:hAnsi="Times New Roman;serif"/>
                <w:b w:val="false"/>
                <w:color w:val="000000"/>
                <w:sz w:val="20"/>
              </w:rPr>
              <w:t>_________________</w:t>
              <w:br/>
              <w:t>Name:    Vera de Gyarfas</w:t>
              <w:br/>
              <w:t>Title:    General Counsel and Corporate Secretary</w:t>
            </w:r>
          </w:p>
        </w:tc>
        <w:tc>
          <w:tcPr>
            <w:tcW w:w="4335" w:type="dxa"/>
            <w:gridSpan w:val="3"/>
            <w:tcBorders/>
            <w:tcMar>
              <w:top w:w="0" w:type="dxa"/>
              <w:left w:w="0" w:type="dxa"/>
              <w:bottom w:w="0" w:type="dxa"/>
              <w:right w:w="0" w:type="dxa"/>
            </w:tcMar>
            <w:vAlign w:val="center"/>
          </w:tcPr>
          <w:p>
            <w:pPr>
              <w:pStyle w:val="TableContents"/>
              <w:bidi w:val="0"/>
              <w:spacing w:lineRule="auto" w:line="288" w:before="0" w:after="220"/>
              <w:jc w:val="left"/>
              <w:rPr>
                <w:rFonts w:ascii="Times New Roman;serif" w:hAnsi="Times New Roman;serif"/>
                <w:b w:val="false"/>
                <w:color w:val="000000"/>
                <w:sz w:val="20"/>
              </w:rPr>
            </w:pPr>
            <w:r>
              <w:rPr>
                <w:rFonts w:ascii="Times New Roman;serif" w:hAnsi="Times New Roman;serif"/>
                <w:b w:val="false"/>
                <w:color w:val="000000"/>
                <w:sz w:val="20"/>
              </w:rPr>
              <w:t>GIP V VELOCITY AGGREGATOR, L.P.</w:t>
            </w:r>
          </w:p>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By: GIP Velocity GP, LLC, its general partner</w:t>
            </w:r>
          </w:p>
          <w:p>
            <w:pPr>
              <w:pStyle w:val="TableContents"/>
              <w:bidi w:val="0"/>
              <w:spacing w:lineRule="auto" w:line="288" w:before="0" w:after="22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Gregg Myers</w:t>
            </w:r>
            <w:r>
              <w:rPr>
                <w:rFonts w:ascii="Times New Roman;serif" w:hAnsi="Times New Roman;serif"/>
                <w:b w:val="false"/>
                <w:color w:val="000000"/>
                <w:sz w:val="20"/>
              </w:rPr>
              <w:t>___________________</w:t>
              <w:br/>
              <w:t>Name:    Gregg Myers</w:t>
              <w:br/>
              <w:t>Title:    Chief Financial Officer</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20"/>
              <w:jc w:val="left"/>
              <w:rPr>
                <w:rFonts w:ascii="Times New Roman;serif" w:hAnsi="Times New Roman;serif"/>
                <w:b w:val="false"/>
                <w:color w:val="000000"/>
                <w:sz w:val="20"/>
              </w:rPr>
            </w:pPr>
            <w:r>
              <w:rPr>
                <w:rFonts w:ascii="Times New Roman;serif" w:hAnsi="Times New Roman;serif"/>
                <w:b w:val="false"/>
                <w:color w:val="000000"/>
                <w:sz w:val="20"/>
              </w:rPr>
              <w:t xml:space="preserve">NEXTDECADE LNG, LLC </w:t>
            </w:r>
          </w:p>
          <w:p>
            <w:pPr>
              <w:pStyle w:val="TableContents"/>
              <w:bidi w:val="0"/>
              <w:spacing w:lineRule="auto" w:line="288" w:before="0" w:after="24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Vera de Gyarfas</w:t>
            </w:r>
            <w:r>
              <w:rPr>
                <w:rFonts w:ascii="Times New Roman;serif" w:hAnsi="Times New Roman;serif"/>
                <w:b w:val="false"/>
                <w:color w:val="000000"/>
                <w:sz w:val="20"/>
              </w:rPr>
              <w:t>_________________</w:t>
              <w:br/>
              <w:t>Name:    Vera de Gyarfas</w:t>
              <w:br/>
              <w:t>Title:    General Counsel and Secretary</w:t>
            </w:r>
          </w:p>
        </w:tc>
        <w:tc>
          <w:tcPr>
            <w:tcW w:w="4335" w:type="dxa"/>
            <w:gridSpan w:val="3"/>
            <w:tcBorders/>
            <w:tcMar>
              <w:top w:w="0" w:type="dxa"/>
              <w:left w:w="0" w:type="dxa"/>
              <w:bottom w:w="0" w:type="dxa"/>
              <w:right w:w="0" w:type="dxa"/>
            </w:tcMar>
            <w:vAlign w:val="center"/>
          </w:tcPr>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DEVONSHIRE INVESTMENT PTE. LTD.</w:t>
            </w:r>
          </w:p>
          <w:p>
            <w:pPr>
              <w:pStyle w:val="TableContents"/>
              <w:bidi w:val="0"/>
              <w:spacing w:lineRule="auto" w:line="288" w:before="0" w:after="240"/>
              <w:jc w:val="left"/>
              <w:rPr/>
            </w:pPr>
            <w:r>
              <w:rPr>
                <w:rFonts w:ascii="Times New Roman;serif" w:hAnsi="Times New Roman;serif"/>
                <w:b w:val="false"/>
                <w:color w:val="000000"/>
                <w:sz w:val="20"/>
              </w:rPr>
              <w:t>By: ___</w:t>
            </w:r>
            <w:r>
              <w:rPr>
                <w:rFonts w:ascii="Times New Roman;serif" w:hAnsi="Times New Roman;serif"/>
                <w:b w:val="false"/>
                <w:color w:val="000000"/>
                <w:sz w:val="20"/>
                <w:u w:val="single"/>
              </w:rPr>
              <w:t>/s/ Diego Canales</w:t>
            </w:r>
            <w:r>
              <w:rPr>
                <w:rFonts w:ascii="Times New Roman;serif" w:hAnsi="Times New Roman;serif"/>
                <w:b w:val="false"/>
                <w:color w:val="000000"/>
                <w:sz w:val="20"/>
              </w:rPr>
              <w:t>__________________</w:t>
              <w:br/>
              <w:t>Name:    Diego Canales</w:t>
              <w:br/>
              <w:t>Title:    Authorized Signatory</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T4 JVCo Omnibus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T4 JVCo Omnibus Amendment </w:t>
                      </w:r>
                    </w:p>
                  </w:txbxContent>
                </v:textbox>
                <w10:wrap type="none"/>
              </v:rect>
            </w:pict>
          </mc:Fallback>
        </mc:AlternateContent>
      </w:r>
    </w:p>
    <w:tbl>
      <w:tblPr>
        <w:tblW w:w="4602" w:type="dxa"/>
        <w:jc w:val="left"/>
        <w:tblInd w:w="0" w:type="dxa"/>
        <w:tblLayout w:type="fixed"/>
        <w:tblCellMar>
          <w:top w:w="28" w:type="dxa"/>
          <w:left w:w="28" w:type="dxa"/>
          <w:bottom w:w="28" w:type="dxa"/>
          <w:right w:w="28" w:type="dxa"/>
        </w:tblCellMar>
      </w:tblPr>
      <w:tblGrid>
        <w:gridCol w:w="1533"/>
        <w:gridCol w:w="1347"/>
        <w:gridCol w:w="1350"/>
        <w:gridCol w:w="109"/>
        <w:gridCol w:w="109"/>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GLOBAL LNG NORTH AMERICA CORP.</w:t>
            </w:r>
          </w:p>
          <w:p>
            <w:pPr>
              <w:pStyle w:val="TableContents"/>
              <w:bidi w:val="0"/>
              <w:spacing w:lineRule="auto" w:line="288" w:before="0" w:after="440"/>
              <w:jc w:val="left"/>
              <w:rPr/>
            </w:pPr>
            <w:r>
              <w:rPr>
                <w:rFonts w:ascii="Times New Roman;serif" w:hAnsi="Times New Roman;serif"/>
                <w:b w:val="false"/>
                <w:color w:val="000000"/>
                <w:sz w:val="20"/>
              </w:rPr>
              <w:t>By: ____</w:t>
            </w:r>
            <w:r>
              <w:rPr>
                <w:rFonts w:ascii="Times New Roman;serif" w:hAnsi="Times New Roman;serif"/>
                <w:b w:val="false"/>
                <w:color w:val="000000"/>
                <w:sz w:val="20"/>
                <w:u w:val="single"/>
              </w:rPr>
              <w:t xml:space="preserve">/s/Arnaud Lenail-Chouteau </w:t>
            </w:r>
            <w:r>
              <w:rPr>
                <w:rFonts w:ascii="Times New Roman;serif" w:hAnsi="Times New Roman;serif"/>
                <w:b w:val="false"/>
                <w:color w:val="000000"/>
                <w:sz w:val="20"/>
              </w:rPr>
              <w:t>_______</w:t>
              <w:br/>
              <w:t>Name:    Arnaud Lenail-Chouteau</w:t>
              <w:br/>
              <w:t>Title:    VP LNG Assets and Business Development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T4 JVCo Omnibus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T4 JVCo Omnibus Amendment </w:t>
                      </w:r>
                    </w:p>
                  </w:txbxContent>
                </v:textbox>
                <w10:wrap type="none"/>
              </v:rect>
            </w:pict>
          </mc:Fallback>
        </mc:AlternateContent>
      </w:r>
    </w:p>
    <w:tbl>
      <w:tblPr>
        <w:tblW w:w="4452" w:type="dxa"/>
        <w:jc w:val="left"/>
        <w:tblInd w:w="0" w:type="dxa"/>
        <w:tblLayout w:type="fixed"/>
        <w:tblCellMar>
          <w:top w:w="28" w:type="dxa"/>
          <w:left w:w="28" w:type="dxa"/>
          <w:bottom w:w="28" w:type="dxa"/>
          <w:right w:w="28" w:type="dxa"/>
        </w:tblCellMar>
      </w:tblPr>
      <w:tblGrid>
        <w:gridCol w:w="1479"/>
        <w:gridCol w:w="1300"/>
        <w:gridCol w:w="1301"/>
        <w:gridCol w:w="109"/>
        <w:gridCol w:w="109"/>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MIC TI HOLDING COMPANY 2 RSC LIMITED</w:t>
            </w:r>
          </w:p>
          <w:p>
            <w:pPr>
              <w:pStyle w:val="TableContents"/>
              <w:bidi w:val="0"/>
              <w:spacing w:lineRule="auto" w:line="288" w:before="0" w:after="440"/>
              <w:jc w:val="left"/>
              <w:rPr/>
            </w:pPr>
            <w:r>
              <w:rPr>
                <w:rFonts w:ascii="Times New Roman;serif" w:hAnsi="Times New Roman;serif"/>
                <w:b w:val="false"/>
                <w:color w:val="000000"/>
                <w:sz w:val="20"/>
              </w:rPr>
              <w:t>By: __</w:t>
            </w:r>
            <w:r>
              <w:rPr>
                <w:rFonts w:ascii="Times New Roman;serif" w:hAnsi="Times New Roman;serif"/>
                <w:b w:val="false"/>
                <w:color w:val="000000"/>
                <w:sz w:val="20"/>
                <w:u w:val="single"/>
              </w:rPr>
              <w:t>/s/ Saed Arrar</w:t>
            </w:r>
            <w:r>
              <w:rPr>
                <w:rFonts w:ascii="Times New Roman;serif" w:hAnsi="Times New Roman;serif"/>
                <w:b w:val="false"/>
                <w:color w:val="000000"/>
                <w:sz w:val="20"/>
              </w:rPr>
              <w:t>______________________</w:t>
              <w:br/>
              <w:t>Name:    Saed Arrar</w:t>
              <w:br/>
              <w:t>Title:    Authorised Signatory</w:t>
            </w:r>
          </w:p>
          <w:p>
            <w:pPr>
              <w:pStyle w:val="TableContents"/>
              <w:bidi w:val="0"/>
              <w:spacing w:lineRule="auto" w:line="288" w:before="0" w:after="440"/>
              <w:jc w:val="left"/>
              <w:rPr/>
            </w:pPr>
            <w:r>
              <w:rPr>
                <w:rFonts w:ascii="Times New Roman;serif" w:hAnsi="Times New Roman;serif"/>
                <w:b w:val="false"/>
                <w:color w:val="000000"/>
                <w:sz w:val="20"/>
              </w:rPr>
              <w:t>By: __</w:t>
            </w:r>
            <w:r>
              <w:rPr>
                <w:rFonts w:ascii="Times New Roman;serif" w:hAnsi="Times New Roman;serif"/>
                <w:b w:val="false"/>
                <w:color w:val="000000"/>
                <w:sz w:val="20"/>
                <w:u w:val="single"/>
              </w:rPr>
              <w:t>/s/ Kevin Taylaur</w:t>
            </w:r>
            <w:r>
              <w:rPr>
                <w:rFonts w:ascii="Times New Roman;serif" w:hAnsi="Times New Roman;serif"/>
                <w:b w:val="false"/>
                <w:color w:val="000000"/>
                <w:sz w:val="20"/>
              </w:rPr>
              <w:t>___________________</w:t>
              <w:br/>
              <w:t>Name:    Kevin Taylaur</w:t>
              <w:br/>
              <w:t>Title:    Authorised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20"/>
        <w:ind w:left="0" w:right="0" w:firstLine="720"/>
        <w:jc w:val="left"/>
        <w:rPr/>
      </w:pPr>
      <w:r>
        <w:rPr/>
      </w:r>
    </w:p>
    <w:p>
      <w:pPr>
        <w:pStyle w:val="TextBody"/>
        <w:bidi w:val="0"/>
        <w:spacing w:before="0" w:after="220"/>
        <w:jc w:val="left"/>
        <w:rPr/>
      </w:pPr>
      <w:r>
        <w:rPr/>
      </w:r>
    </w:p>
    <w:p>
      <w:pPr>
        <w:pStyle w:val="TextBody"/>
        <w:bidi w:val="0"/>
        <w:spacing w:before="0" w:after="2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T4 JVCo Omnibus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Signature Page to T4 JVCo Omnibus Amendment </w:t>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lineRule="auto" w:line="288" w:before="0" w:after="220"/>
        <w:jc w:val="center"/>
        <w:rPr>
          <w:rFonts w:ascii="Times New Roman;serif" w:hAnsi="Times New Roman;serif"/>
          <w:b w:val="false"/>
          <w:color w:val="000000"/>
          <w:sz w:val="20"/>
        </w:rPr>
      </w:pPr>
      <w:r>
        <w:rPr>
          <w:rFonts w:ascii="Times New Roman;serif" w:hAnsi="Times New Roman;serif"/>
          <w:b w:val="false"/>
          <w:color w:val="000000"/>
          <w:sz w:val="20"/>
        </w:rPr>
        <w:t>Amendments to Section 3.2(b)</w:t>
      </w:r>
    </w:p>
    <w:p>
      <w:pPr>
        <w:pStyle w:val="TextBody"/>
        <w:bidi w:val="0"/>
        <w:spacing w:lineRule="auto" w:line="288" w:before="0" w:after="220"/>
        <w:jc w:val="both"/>
        <w:rPr/>
      </w:pPr>
      <w:r>
        <w:rPr>
          <w:rFonts w:ascii="Times New Roman;serif" w:hAnsi="Times New Roman;serif"/>
          <w:b w:val="false"/>
          <w:color w:val="000000"/>
          <w:sz w:val="20"/>
        </w:rPr>
        <w:t>Section 3.2    </w:t>
      </w:r>
      <w:r>
        <w:rPr>
          <w:rFonts w:ascii="Times New Roman;serif" w:hAnsi="Times New Roman;serif"/>
          <w:b w:val="false"/>
          <w:color w:val="000000"/>
          <w:sz w:val="20"/>
          <w:u w:val="single"/>
        </w:rPr>
        <w:t>Committed Contributions</w:t>
      </w:r>
      <w:r>
        <w:rPr>
          <w:rFonts w:ascii="Times New Roman;serif" w:hAnsi="Times New Roman;serif"/>
          <w:b w:val="false"/>
          <w:color w:val="000000"/>
          <w:sz w:val="20"/>
        </w:rPr>
        <w:t>.</w:t>
      </w:r>
    </w:p>
    <w:p>
      <w:pPr>
        <w:pStyle w:val="TextBody"/>
        <w:bidi w:val="0"/>
        <w:spacing w:lineRule="auto" w:line="288" w:before="0" w:after="220"/>
        <w:ind w:left="0" w:right="0" w:firstLine="720"/>
        <w:jc w:val="both"/>
        <w:rPr/>
      </w:pPr>
      <w:r>
        <w:rPr>
          <w:rFonts w:ascii="Times New Roman;serif" w:hAnsi="Times New Roman;serif"/>
          <w:b w:val="false"/>
          <w:color w:val="000000"/>
          <w:sz w:val="20"/>
        </w:rPr>
        <w:t>(b)    </w:t>
      </w:r>
      <w:r>
        <w:rPr>
          <w:rFonts w:ascii="Times New Roman;serif" w:hAnsi="Times New Roman;serif"/>
          <w:b w:val="false"/>
          <w:color w:val="000000"/>
          <w:sz w:val="20"/>
          <w:u w:val="single"/>
        </w:rPr>
        <w:t>Subsequent Contributions</w:t>
      </w:r>
      <w:r>
        <w:rPr>
          <w:rFonts w:ascii="Times New Roman;serif" w:hAnsi="Times New Roman;serif"/>
          <w:b w:val="false"/>
          <w:color w:val="000000"/>
          <w:sz w:val="20"/>
        </w:rPr>
        <w:t>. Subject to Section 3.1(b) and Section 3.1(c), the Committed Members shall make Equity Contributions (but in the aggregate, together with all Equity Contributions made or deemed made after the initial contributions contemplated by Section 3.2(a), not to exceed the Committed Amounts) on each JVCo Contribution Date occurring after the date hereof as follows:</w:t>
      </w:r>
    </w:p>
    <w:p>
      <w:pPr>
        <w:pStyle w:val="TextBody"/>
        <w:bidi w:val="0"/>
        <w:spacing w:lineRule="auto" w:line="288" w:before="0" w:after="220"/>
        <w:jc w:val="both"/>
        <w:rPr>
          <w:rFonts w:ascii="Times New Roman;serif" w:hAnsi="Times New Roman;serif"/>
          <w:b w:val="false"/>
          <w:color w:val="000000"/>
          <w:sz w:val="20"/>
        </w:rPr>
      </w:pPr>
      <w:r>
        <w:rPr>
          <w:rFonts w:ascii="Times New Roman;serif" w:hAnsi="Times New Roman;serif"/>
          <w:b w:val="false"/>
          <w:color w:val="000000"/>
          <w:sz w:val="20"/>
        </w:rPr>
        <w:t xml:space="preserve">(i)    prior to the funding in full of the Aggregate Accelerated Funding Amount by the Class A Member, the Class A Member shall make an Equity Contribution in cash in an amount equal to the amount set forth in the JVCo Contribution Request for such JVCo Contribution Date (it being acknowledged and agreed that none of the other Committed Members shall be obligated to make any Equity Contribution under this Agreement prior to the date on which the Aggregate Accelerated Funding Amount has been funded to the T4 Liquefaction Owner and the balance on deposit in the Accelerated Cash Collateral Account is $0.00); </w:t>
      </w:r>
    </w:p>
    <w:p>
      <w:pPr>
        <w:pStyle w:val="TextBody"/>
        <w:bidi w:val="0"/>
        <w:spacing w:lineRule="auto" w:line="288" w:before="0" w:after="220"/>
        <w:jc w:val="both"/>
        <w:rPr/>
      </w:pPr>
      <w:r>
        <w:rPr>
          <w:rFonts w:ascii="Times New Roman;serif" w:hAnsi="Times New Roman;serif"/>
          <w:b w:val="false"/>
          <w:color w:val="000000"/>
          <w:sz w:val="20"/>
        </w:rPr>
        <w:t>(ii)    on and after the funding in full of the Aggregate Accelerated Funding Amount by the Class A Member</w:t>
      </w:r>
      <w:r>
        <w:rPr>
          <w:color w:val="000000"/>
          <w:u w:val="single"/>
        </w:rPr>
        <w:t xml:space="preserve"> </w:t>
      </w:r>
      <w:r>
        <w:rPr>
          <w:rFonts w:ascii="Times New Roman;serif" w:hAnsi="Times New Roman;serif"/>
          <w:b/>
          <w:color w:val="000000"/>
          <w:sz w:val="20"/>
          <w:u w:val="single"/>
        </w:rPr>
        <w:t>and prior to the TTE Accelerated Equity Date</w:t>
      </w:r>
      <w:r>
        <w:rPr>
          <w:rFonts w:ascii="Times New Roman;serif" w:hAnsi="Times New Roman;serif"/>
          <w:b w:val="false"/>
          <w:color w:val="000000"/>
          <w:sz w:val="20"/>
        </w:rPr>
        <w:t xml:space="preserve">, each of the Committed Members shall make an Equity Contribution in cash in an amount equal to its Funding Percentage of (A) the Aggregate Equity Contributions as of such JVCo Contribution Date less (B) any portion of Aggregate Accelerated Funding Amount contributed on such date pursuant to Section 3.2(b)(i);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no Committed Member shall have any obligation to fund any Equity Contribution to the extent that the Board decides to fund 100% of the T4 Project Costs which are then due and payable (or are reasonably anticipated to become due and payable prior to the next projected JVCo Contribution Date) with respect to such JVCo Contribution Date with a borrowing under the T4 Financing Agreements; </w:t>
      </w:r>
      <w:r>
        <w:rPr>
          <w:rFonts w:ascii="Times New Roman;serif" w:hAnsi="Times New Roman;serif"/>
          <w:b/>
          <w:color w:val="000000"/>
          <w:sz w:val="20"/>
          <w:u w:val="single"/>
        </w:rPr>
        <w:t>and</w: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(iii)    on and after the funding in full of the Aggregate Accelerated Funding Amount by the Class A Member and on and after the TTE Accelerated Equity Date, each of the Committed Members shall make an Equity Contribution in with Section 3.9 and Section 3.2(c).</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20"/>
        <w:jc w:val="center"/>
        <w:rPr/>
      </w:pPr>
      <w:r>
        <w:rPr/>
      </w:r>
    </w:p>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lineRule="auto" w:line="288" w:before="0" w:after="220"/>
        <w:jc w:val="center"/>
        <w:rPr>
          <w:rFonts w:ascii="Times New Roman;serif" w:hAnsi="Times New Roman;serif"/>
          <w:b w:val="false"/>
          <w:color w:val="000000"/>
          <w:sz w:val="20"/>
        </w:rPr>
      </w:pPr>
      <w:r>
        <w:rPr>
          <w:rFonts w:ascii="Times New Roman;serif" w:hAnsi="Times New Roman;serif"/>
          <w:b w:val="false"/>
          <w:color w:val="000000"/>
          <w:sz w:val="20"/>
        </w:rPr>
        <w:t>Amendments to Section 3.9</w:t>
      </w:r>
    </w:p>
    <w:p>
      <w:pPr>
        <w:pStyle w:val="TextBody"/>
        <w:bidi w:val="0"/>
        <w:spacing w:lineRule="auto" w:line="288" w:before="0" w:after="220"/>
        <w:ind w:left="0" w:right="0" w:firstLine="720"/>
        <w:jc w:val="both"/>
        <w:rPr/>
      </w:pPr>
      <w:r>
        <w:rPr>
          <w:rFonts w:ascii="Times New Roman;serif" w:hAnsi="Times New Roman;serif"/>
          <w:b/>
          <w:color w:val="000000"/>
          <w:sz w:val="20"/>
          <w:u w:val="single"/>
        </w:rPr>
        <w:t>(a)</w:t>
      </w:r>
      <w:r>
        <w:rPr>
          <w:color w:val="000000"/>
        </w:rPr>
        <w:t>    </w:t>
      </w:r>
      <w:r>
        <w:rPr>
          <w:rFonts w:ascii="Times New Roman;serif" w:hAnsi="Times New Roman;serif"/>
          <w:b w:val="false"/>
          <w:color w:val="000000"/>
          <w:sz w:val="20"/>
        </w:rPr>
        <w:t xml:space="preserve">For the elimination of doubt, JVCo Contribution Requests made in respect of the Committed Members’ respective Committed Amounts shall be made commensurately and concurrently with Equity Contribution Requests (as defined in the Equity Contribution Agreement), which shall in each case be in an amount determined by the Board (subject to Section 3.2), and delivered to Holdings in accordance with the terms of the Equity Contribution Agreement;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w:t>
      </w:r>
      <w:r>
        <w:rPr>
          <w:rFonts w:ascii="Times New Roman;serif" w:hAnsi="Times New Roman;serif"/>
          <w:b w:val="false"/>
          <w:strike/>
          <w:color w:val="000000"/>
          <w:sz w:val="20"/>
        </w:rPr>
        <w:t>unless otherwise agreed as a Supermajority Matter, (x) to the extent that the Construction Loans are available to be drawn pursuant to and in accordance with the terms of the Financing Documents (as determined by the Board) (“</w:t>
      </w:r>
      <w:r>
        <w:rPr>
          <w:rFonts w:ascii="Times New Roman;serif" w:hAnsi="Times New Roman;serif"/>
          <w:b w:val="false"/>
          <w:strike/>
          <w:color w:val="000000"/>
          <w:sz w:val="20"/>
          <w:u w:val="single"/>
        </w:rPr>
        <w:t>Available Loans</w:t>
      </w:r>
      <w:r>
        <w:rPr>
          <w:strike/>
          <w:color w:val="000000"/>
        </w:rPr>
        <w:t>”</w:t>
      </w:r>
      <w:r>
        <w:rPr>
          <w:rFonts w:ascii="Times New Roman;serif" w:hAnsi="Times New Roman;serif"/>
          <w:b w:val="false"/>
          <w:strike/>
          <w:color w:val="000000"/>
          <w:sz w:val="20"/>
        </w:rPr>
        <w:t>) and</w:t>
      </w:r>
      <w:r>
        <w:rPr>
          <w:color w:val="000000"/>
        </w:rPr>
        <w:t xml:space="preserve"> </w:t>
      </w:r>
      <w:r>
        <w:rPr>
          <w:rFonts w:ascii="Times New Roman;serif" w:hAnsi="Times New Roman;serif"/>
          <w:b/>
          <w:color w:val="000000"/>
          <w:sz w:val="20"/>
          <w:u w:val="single"/>
        </w:rPr>
        <w:t>(i) Section 3.9(b) shall apply prior to the application in full of the Remaining TTE Accelerated Equity Amount and (ii) Section 3.9(c) shall apply thereafter.</w:t>
      </w:r>
    </w:p>
    <w:p>
      <w:pPr>
        <w:pStyle w:val="TextBody"/>
        <w:bidi w:val="0"/>
        <w:spacing w:lineRule="auto" w:line="288" w:before="0" w:after="220"/>
        <w:ind w:left="0" w:right="0" w:firstLine="720"/>
        <w:jc w:val="both"/>
        <w:rPr/>
      </w:pPr>
      <w:r>
        <w:rPr>
          <w:rFonts w:ascii="Times New Roman;serif" w:hAnsi="Times New Roman;serif"/>
          <w:b/>
          <w:color w:val="000000"/>
          <w:sz w:val="20"/>
          <w:u w:val="single"/>
        </w:rPr>
        <w:t>(b)</w:t>
      </w:r>
      <w:r>
        <w:rPr>
          <w:color w:val="000000"/>
        </w:rPr>
        <w:t>    </w:t>
      </w:r>
      <w:r>
        <w:rPr>
          <w:rFonts w:ascii="Times New Roman;serif" w:hAnsi="Times New Roman;serif"/>
          <w:b/>
          <w:color w:val="000000"/>
          <w:sz w:val="20"/>
          <w:u w:val="single"/>
        </w:rPr>
        <w:t>On a date designated by the TTE Member in its sole discretion in a written notice to the Company (such date designated by the TTE Member, the “TTE Accelerated Equity Date”), the TTE Member may contribute up to 100% of its Remaining Committed Amount to the Company (the “TTE Accelerated Equity Amount”). Promptly following the TTE Accelerated Equity Date, the Company shall cause Holdings to deliver an ECS Reduction Certificate and updated ECS Allocation Schedule reflecting a reduction of the TTE Member’s equity credit support by the TTE Accelerated Equity Amount. Notwithstanding anything to the contrary herein, the TTE Accelerated Equity Amount shall be used solely to fund T4 Project Costs. On the TTE Accelerated Equity Date and on each Equity Contribution Date thereafter prior to the Equity Contribution Date upon which the Remaining TTE Accelerated Equity Amount has been reduced to $0.00 in accordance with this Section 3.9(b), JVCo Contribution Requests shall be made as follows:</w: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(i)    the Board shall determine the amount that is required to enable RGLNG to pay any T4 Project Costs which are then due and payable or are reasonably anticipated to become due and payable prior to the next projected Equity Contribution Date (the “Gross Funding Amount”);</w: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(ii)    the Board shall determine the amount of Construction Loans that are available to be drawn pursuant to and in accordance with the terms of the Financing Documents (as determined by the Board) to fund the Gross Funding Amount (the “Available Loans” and the quantum thereof the “Notional Debt Amount”);</w: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(iii)    the Board shall subtract the Notional Debt Amount from the Gross Funding Amount to determine the “Notional Equity Amount”;</w: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(iv)    the Board shall redetermine the “Remaining TTE Accelerated Equity Amount” by subtracting the amount previously applied in accordance with this Section 3.9(b) from the Remaining TTE Accelerated Equity Amount;</w: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 xml:space="preserve">(v)    the Board will determine the Funding Percentage of each Committed Member and the TTE Member (x) without giving effect to (A) the prior contribution of the TTE Accelerated Equity Amount by the TTE Member or (B) the application of Section 3.9(b)(viii) but (y) giving full effect to the application of the TTE Accelerated Equity Amount in accordance with Section 3.9(b)(vii) to be made on the applicable Equity Contribution Date and made on each prior Equity Contribution Date, as applicable, (respectively, the “Notional Funding Percentages”) it being acknowledged and agreed that the Notional Funding Percentages of the Committed Members shall be the same as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the Funding Percentages of the Committed Members as of immediately prior to the TTE Accelerated Equity Date, assuming the funding of Equity Contributions by the Committed Members in accordance with Section 3.9(b)(vii) and Section 3.2(c);</w:t>
      </w:r>
    </w:p>
    <w:p>
      <w:pPr>
        <w:pStyle w:val="TextBody"/>
        <w:bidi w:val="0"/>
        <w:spacing w:lineRule="auto" w:line="288" w:before="0" w:after="220"/>
        <w:jc w:val="both"/>
        <w:rPr/>
      </w:pPr>
      <w:r>
        <w:rPr>
          <w:rFonts w:ascii="Times New Roman;serif" w:hAnsi="Times New Roman;serif"/>
          <w:b/>
          <w:color w:val="000000"/>
          <w:sz w:val="20"/>
          <w:u w:val="single"/>
        </w:rPr>
        <w:t xml:space="preserve">(vi)    the Board will cause the Company to issue a JVCo Contribution Request to the Committed Members (for the elimination of doubt, other than in respect of the TTE Member to the extent that the (A) TTE Member’s Remaining Committed Amount has been reduced to $0.00, or (B) Remaining TTE Accelerated Equity Amount is sufficient to satisfy the TTE Member’s Notional Funding Percentage of the Notional Equity Amount (in the event the TTE Member is required to fund Equity Contributions pursuant to this clause (vi) by virtue of this clause (B), the TTE Member shall constitute a “Straddle Accelerating Holder”)) for an amount equal to (x) the Committed Members’ respective Notional Funding Percentages of the Notional Equity Amount (provided that, with respect to the TTE Member, such amount in this clause (x) will be reduced by the amount of the Remaining TTE Accelerated Equity Amount) </w:t>
      </w:r>
      <w:r>
        <w:rPr>
          <w:rFonts w:ascii="Times New Roman;serif" w:hAnsi="Times New Roman;serif"/>
          <w:b/>
          <w:i/>
          <w:color w:val="000000"/>
          <w:sz w:val="20"/>
          <w:u w:val="single"/>
        </w:rPr>
        <w:t>plus</w:t>
      </w:r>
      <w:r>
        <w:rPr>
          <w:color w:val="000000"/>
          <w:u w:val="single"/>
        </w:rPr>
        <w:t xml:space="preserve"> </w:t>
      </w:r>
      <w:r>
        <w:rPr>
          <w:rFonts w:ascii="Times New Roman;serif" w:hAnsi="Times New Roman;serif"/>
          <w:b/>
          <w:color w:val="000000"/>
          <w:sz w:val="20"/>
          <w:u w:val="single"/>
        </w:rPr>
        <w:t xml:space="preserve">(y) if the Remaining TTE Accelerated Equity Amount is less than the product of (1) the Notional Equity Amount </w:t>
      </w:r>
      <w:r>
        <w:rPr>
          <w:rFonts w:ascii="Times New Roman;serif" w:hAnsi="Times New Roman;serif"/>
          <w:b/>
          <w:i/>
          <w:color w:val="000000"/>
          <w:sz w:val="20"/>
          <w:u w:val="single"/>
        </w:rPr>
        <w:t>multiplied by</w:t>
      </w:r>
      <w:r>
        <w:rPr>
          <w:color w:val="000000"/>
          <w:u w:val="single"/>
        </w:rPr>
        <w:t xml:space="preserve"> </w:t>
      </w:r>
      <w:r>
        <w:rPr>
          <w:rFonts w:ascii="Times New Roman;serif" w:hAnsi="Times New Roman;serif"/>
          <w:b/>
          <w:color w:val="000000"/>
          <w:sz w:val="20"/>
          <w:u w:val="single"/>
        </w:rPr>
        <w:t>(2) the TTE Member’s Notional Funding Percentage, then such shortfall amount described in this clause (y), allocated to the Committed Members pro rata based on their Notional Funding Percentages (it being understood that no such shortfall shall arise on the account of any Straddle Accelerating Holder);</w:t>
      </w:r>
    </w:p>
    <w:p>
      <w:pPr>
        <w:pStyle w:val="TextBody"/>
        <w:bidi w:val="0"/>
        <w:spacing w:lineRule="auto" w:line="288" w:before="0" w:after="220"/>
        <w:jc w:val="both"/>
        <w:rPr/>
      </w:pPr>
      <w:r>
        <w:rPr>
          <w:rFonts w:ascii="Times New Roman;serif" w:hAnsi="Times New Roman;serif"/>
          <w:b/>
          <w:color w:val="000000"/>
          <w:sz w:val="20"/>
          <w:u w:val="single"/>
        </w:rPr>
        <w:t xml:space="preserve">(vii)    each of (A) the Equity Contributions received from the Committed Members (for the elimination of doubt, other than the TTE Member to the extent it is not a Straddle Accelerating Holder) pursuant to the JVCo Contribution Requests and (B) such portion of the Remaining TTE Accelerated Equity Amount equal to (x) the Notional Equity Amount </w:t>
      </w:r>
      <w:r>
        <w:rPr>
          <w:rFonts w:ascii="Times New Roman;serif" w:hAnsi="Times New Roman;serif"/>
          <w:b/>
          <w:i/>
          <w:color w:val="000000"/>
          <w:sz w:val="20"/>
          <w:u w:val="single"/>
        </w:rPr>
        <w:t>multiplied by</w:t>
      </w:r>
      <w:r>
        <w:rPr>
          <w:color w:val="000000"/>
          <w:u w:val="single"/>
        </w:rPr>
        <w:t xml:space="preserve"> </w:t>
      </w:r>
      <w:r>
        <w:rPr>
          <w:rFonts w:ascii="Times New Roman;serif" w:hAnsi="Times New Roman;serif"/>
          <w:b/>
          <w:color w:val="000000"/>
          <w:sz w:val="20"/>
          <w:u w:val="single"/>
        </w:rPr>
        <w:t xml:space="preserve">(y) the TTE ’s Notional Funding Percentage (provided, that, with respect to the TTE Member, the amount in this clause (B) shall in no event exceed the Remaining TTE Accelerated Equity Amount), will be applied to fund the Notional Equity Amount; </w: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(viii)    the Remaining TTE Accelerated Equity Amount will be applied to fund the Notional Debt Amount (or such portion thereof that equals the Remaining TTE Accelerated Equity Amount after giving effect to Section 3.9(b)(vii)); and</w:t>
      </w:r>
    </w:p>
    <w:p>
      <w:pPr>
        <w:pStyle w:val="TextBody"/>
        <w:bidi w:val="0"/>
        <w:spacing w:lineRule="auto" w:line="288" w:before="0" w:after="220"/>
        <w:jc w:val="both"/>
        <w:rPr>
          <w:rFonts w:ascii="Times New Roman;serif" w:hAnsi="Times New Roman;serif"/>
          <w:b/>
          <w:color w:val="000000"/>
          <w:sz w:val="20"/>
          <w:u w:val="single"/>
        </w:rPr>
      </w:pPr>
      <w:r>
        <w:rPr>
          <w:rFonts w:ascii="Times New Roman;serif" w:hAnsi="Times New Roman;serif"/>
          <w:b/>
          <w:color w:val="000000"/>
          <w:sz w:val="20"/>
          <w:u w:val="single"/>
        </w:rPr>
        <w:t>(ix)    the Board will cause the drawing of Available Loans to fund any portion of the Notional Debt Amount not funded in accordance with Section 3.9(b)(vii) and Section 3.9(b)(viii).</w:t>
      </w:r>
    </w:p>
    <w:p>
      <w:pPr>
        <w:pStyle w:val="TextBody"/>
        <w:bidi w:val="0"/>
        <w:spacing w:lineRule="auto" w:line="288" w:before="0" w:after="220"/>
        <w:jc w:val="both"/>
        <w:rPr/>
      </w:pPr>
      <w:r>
        <w:rPr>
          <w:rFonts w:ascii="Times New Roman;serif" w:hAnsi="Times New Roman;serif"/>
          <w:b/>
          <w:color w:val="000000"/>
          <w:sz w:val="20"/>
          <w:u w:val="single"/>
        </w:rPr>
        <w:t>For illustrative purposes only: (I) if the Remaining TTE Accelerated Equity Amount is $60,000,000, the Gross Funding Amount is $100,000,000, there are $75,000,000 of Available Loans, the ND Accelerated Funding Rebalancing has not occurred, and all Committed Members have theretofore funded their Equity Contributions in full as required by this Agreement (resulting in Notional Funding Percentages of approximately 83.33% for the FI Member and 16.67% for the TTE Member), then (A) the Notional Equity Amount would be $25,000,000, (B) the Notional Debt Amount would be $75,000,000, (C) the Board would cause the Company to issue a JVCo Contribution Request to the FI Member for $20,832,500 (</w:t>
      </w:r>
      <w:r>
        <w:rPr>
          <w:rFonts w:ascii="Times New Roman;serif" w:hAnsi="Times New Roman;serif"/>
          <w:b/>
          <w:i/>
          <w:color w:val="000000"/>
          <w:sz w:val="20"/>
          <w:u w:val="single"/>
        </w:rPr>
        <w:t>i.e.</w:t>
      </w:r>
      <w:r>
        <w:rPr>
          <w:rFonts w:ascii="Times New Roman;serif" w:hAnsi="Times New Roman;serif"/>
          <w:b/>
          <w:color w:val="000000"/>
          <w:sz w:val="20"/>
          <w:u w:val="single"/>
        </w:rPr>
        <w:t xml:space="preserve">, $25,000,000 * 83.33%) pursuant to Section 3.9(b)(vi), (D) the Board would direct the Company to cause the proceeds from the honoring of such JVCo Contribution Requests and $4,167,500 (i.e., $25,000,000 * 16.67%) of the Remaining TTE Accelerated Equity Amount to be applied in accordance with Section 3.9(b)(vii), (E) the Board would direct the Company to cause the entire Remaining TTE Accelerated Equity Amount of $55,832,500 (i.e., $60,000,000 </w:t>
      </w:r>
      <w:r>
        <w:rPr>
          <w:rFonts w:ascii="Times New Roman;serif" w:hAnsi="Times New Roman;serif"/>
          <w:b/>
          <w:i/>
          <w:color w:val="000000"/>
          <w:sz w:val="20"/>
          <w:u w:val="single"/>
        </w:rPr>
        <w:t>minus</w:t>
      </w:r>
      <w:r>
        <w:rPr>
          <w:color w:val="000000"/>
          <w:u w:val="single"/>
        </w:rPr>
        <w:t xml:space="preserve"> </w:t>
      </w:r>
      <w:r>
        <w:rPr>
          <w:rFonts w:ascii="Times New Roman;serif" w:hAnsi="Times New Roman;serif"/>
          <w:b/>
          <w:color w:val="000000"/>
          <w:sz w:val="20"/>
          <w:u w:val="single"/>
        </w:rPr>
        <w:t xml:space="preserve">the $4,167,500 applied in accordance with Section 3.9(b)(vii)) to be applied in accordance with Section 3.9(b)(viii), and (F) Available Loans of $19,167,500 would be drawn to cause the aggregate amount drawn as Equity Contributions and Available Loans plus the Remaining TTE Accelerated Equity Amount to equal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color w:val="000000"/>
          <w:sz w:val="20"/>
          <w:u w:val="single"/>
        </w:rPr>
        <w:t>$100,000,000; and (II) if the Remaining TTE Accelerated Equity Amount is $2,000,000 and TTE Member’s Remaining Committed Amount is $100,0000,000, the Gross Funding Amount is $100,000,000, there are $75,000,000 of Available Loans, the ND Accelerated Funding Rebalancing has not occurred, and all Committed Members have theretofore funded their Equity Contributions in full as required by this Agreement (resulting in Notional Funding Percentages of approximately 83.33% for the FI Member and 16.67% for the TTE Member), then (A) the Notional Equity Amount would be $25,000,000, (B) the Notional Debt Amount would be $75,000,000, (C) the Board would cause the Company to issue (x) a JVCo Contribution Request to the FI Member for $20,832,500 (</w:t>
      </w:r>
      <w:r>
        <w:rPr>
          <w:rFonts w:ascii="Times New Roman;serif" w:hAnsi="Times New Roman;serif"/>
          <w:b/>
          <w:i/>
          <w:color w:val="000000"/>
          <w:sz w:val="20"/>
          <w:u w:val="single"/>
        </w:rPr>
        <w:t>i.e.</w:t>
      </w:r>
      <w:r>
        <w:rPr>
          <w:rFonts w:ascii="Times New Roman;serif" w:hAnsi="Times New Roman;serif"/>
          <w:b/>
          <w:color w:val="000000"/>
          <w:sz w:val="20"/>
          <w:u w:val="single"/>
        </w:rPr>
        <w:t>, $25,000,000 * 83.33%) pursuant to Section 3.9(b)(vi), and (y) a JVCo Contribution Request to the TTE Member as a Straddle Accelerating Holder for $2,167,500 of its Remaining Committed Amount pursuant to Section 3.9(b)(vi), (D) the Board would cause the proceeds from the honoring of such JVCo Contribution Requests and an amount equal to the entirety of the Remaining TTE Accelerated Equity Amount of $2,000,000 to be applied in accordance with Section 3.9(b)(vii), (which, together with TTE Member’s funding under its respective JVCo Contribution Request under subclause (y) of the foregoing clause (C), satisfies in full TTE Member’s respective Notional Funding Percentage of the Notional Equity Amount, for a total of $4,167,500 (i.e., $25,000,000 * 16.67%)), (E) no amounts would be applied to the Notional Debt Amount in accordance with Section 3.9(b)(viii), as a result of the Remaining TTE Accelerated Equity Amount having been reduced to $0.00, and (F) Available Loans of $75,000,000 would be drawn to cause the aggregate amount drawn as Equity Contributions and Available Loans plus the Remaining TTE Accelerated Equity Amount to equal $100,000,000.</w:t>
      </w:r>
    </w:p>
    <w:p>
      <w:pPr>
        <w:pStyle w:val="TextBody"/>
        <w:bidi w:val="0"/>
        <w:spacing w:lineRule="auto" w:line="288" w:before="0" w:after="220"/>
        <w:ind w:left="0" w:right="0" w:firstLine="720"/>
        <w:jc w:val="both"/>
        <w:rPr/>
      </w:pPr>
      <w:r>
        <w:rPr>
          <w:rFonts w:ascii="Times New Roman;serif" w:hAnsi="Times New Roman;serif"/>
          <w:b/>
          <w:color w:val="000000"/>
          <w:sz w:val="20"/>
          <w:u w:val="single"/>
        </w:rPr>
        <w:t xml:space="preserve">(c)    On and after the date that the Remaining TTE Accelerated Equity Amount is reduced to $0.00, unless otherwise agreed as a Supermajority Matter, (x) </w:t>
      </w:r>
      <w:r>
        <w:rPr>
          <w:rFonts w:ascii="Times New Roman;serif" w:hAnsi="Times New Roman;serif"/>
          <w:b w:val="false"/>
          <w:color w:val="000000"/>
          <w:sz w:val="20"/>
        </w:rPr>
        <w:t>unless the Board has determined that it is not in the Company’s best interest to draw on such Available Loans (Available Loans subject to such a determination, the “</w:t>
      </w:r>
      <w:r>
        <w:rPr>
          <w:rFonts w:ascii="Times New Roman;serif" w:hAnsi="Times New Roman;serif"/>
          <w:b w:val="false"/>
          <w:color w:val="000000"/>
          <w:sz w:val="20"/>
          <w:u w:val="single"/>
        </w:rPr>
        <w:t>Unavailable Loans</w:t>
      </w:r>
      <w:r>
        <w:rPr>
          <w:color w:val="000000"/>
        </w:rPr>
        <w:t>”</w:t>
      </w:r>
      <w:r>
        <w:rPr>
          <w:rFonts w:ascii="Times New Roman;serif" w:hAnsi="Times New Roman;serif"/>
          <w:b w:val="false"/>
          <w:color w:val="000000"/>
          <w:sz w:val="20"/>
        </w:rPr>
        <w:t xml:space="preserve">), no Equity Contribution Requests shall be made prior to the time that the D:E Ratio first equals 75:25, (y) from and after the time that the D:E Ratio first equals 75:25 until the Equity Funding Adjustment Date and for so long as the Construction Loans constitute Available Loans and do not constitute Unavailable Loans, Equity Contribution Requests will request equity contributions in an </w:t>
      </w:r>
      <w:r>
        <w:rPr>
          <w:rFonts w:ascii="Times New Roman;serif" w:hAnsi="Times New Roman;serif"/>
          <w:b/>
          <w:color w:val="000000"/>
          <w:sz w:val="20"/>
          <w:u w:val="single"/>
        </w:rPr>
        <w:t xml:space="preserve">aggregate </w:t>
      </w:r>
      <w:r>
        <w:rPr>
          <w:rFonts w:ascii="Times New Roman;serif" w:hAnsi="Times New Roman;serif"/>
          <w:b w:val="false"/>
          <w:color w:val="000000"/>
          <w:sz w:val="20"/>
        </w:rPr>
        <w:t xml:space="preserve">amount that is no greater than the amount necessary to satisfy the pro rata funding requirements under the Financing Documents, </w:t>
      </w:r>
      <w:r>
        <w:rPr>
          <w:rFonts w:ascii="Times New Roman;serif" w:hAnsi="Times New Roman;serif"/>
          <w:b/>
          <w:color w:val="000000"/>
          <w:sz w:val="20"/>
          <w:u w:val="single"/>
        </w:rPr>
        <w:t xml:space="preserve">based on the Committed Members’ respective Funding Percentage, </w:t>
      </w:r>
      <w:r>
        <w:rPr>
          <w:rFonts w:ascii="Times New Roman;serif" w:hAnsi="Times New Roman;serif"/>
          <w:b w:val="false"/>
          <w:color w:val="000000"/>
          <w:sz w:val="20"/>
        </w:rPr>
        <w:t xml:space="preserve">taking into account any Construction Loan borrowing being made substantially concurrently with such equity contributions, and (z) at all times after the Equity Funding Adjustment Date or on any JVCo Contribution Date that the Construction Loans are not Available Loans, Equity Contribution Requests will request equity contributions in </w:t>
      </w:r>
      <w:r>
        <w:rPr>
          <w:rFonts w:ascii="Times New Roman;serif" w:hAnsi="Times New Roman;serif"/>
          <w:b w:val="false"/>
          <w:strike/>
          <w:color w:val="000000"/>
          <w:sz w:val="20"/>
        </w:rPr>
        <w:t>the</w:t>
      </w:r>
      <w:r>
        <w:rPr>
          <w:color w:val="000000"/>
        </w:rPr>
        <w:t xml:space="preserve"> </w:t>
      </w:r>
      <w:r>
        <w:rPr>
          <w:rFonts w:ascii="Times New Roman;serif" w:hAnsi="Times New Roman;serif"/>
          <w:b/>
          <w:color w:val="000000"/>
          <w:sz w:val="20"/>
          <w:u w:val="single"/>
        </w:rPr>
        <w:t>an aggregate</w:t>
      </w:r>
      <w:r>
        <w:rPr>
          <w:color w:val="000000"/>
        </w:rPr>
        <w:t xml:space="preserve"> </w:t>
      </w:r>
      <w:r>
        <w:rPr>
          <w:rFonts w:ascii="Times New Roman;serif" w:hAnsi="Times New Roman;serif"/>
          <w:b w:val="false"/>
          <w:color w:val="000000"/>
          <w:sz w:val="20"/>
        </w:rPr>
        <w:t>amount that is required to enable the T4 Liquefaction Owner to pay any T4 Project Costs which are then due and payable or are reasonably anticipated to become due and payable prior to the next projected Equity Contribution Date</w:t>
      </w:r>
      <w:r>
        <w:rPr>
          <w:rFonts w:ascii="Times New Roman;serif" w:hAnsi="Times New Roman;serif"/>
          <w:b w:val="false"/>
          <w:strike/>
          <w:color w:val="000000"/>
          <w:sz w:val="20"/>
        </w:rPr>
        <w:t>. All</w:t>
      </w:r>
      <w:r>
        <w:rPr>
          <w:rFonts w:ascii="Times New Roman;serif" w:hAnsi="Times New Roman;serif"/>
          <w:b/>
          <w:color w:val="000000"/>
          <w:sz w:val="20"/>
          <w:u w:val="single"/>
        </w:rPr>
        <w:t xml:space="preserve">, based on the Committed Members’ respective Funding Percentage. </w:t>
      </w:r>
    </w:p>
    <w:p>
      <w:pPr>
        <w:pStyle w:val="TextBody"/>
        <w:bidi w:val="0"/>
        <w:spacing w:lineRule="auto" w:line="288" w:before="0" w:after="220"/>
        <w:ind w:left="0" w:right="0" w:firstLine="720"/>
        <w:jc w:val="both"/>
        <w:rPr/>
      </w:pPr>
      <w:r>
        <w:rPr>
          <w:rFonts w:ascii="Times New Roman;serif" w:hAnsi="Times New Roman;serif"/>
          <w:b/>
          <w:color w:val="000000"/>
          <w:sz w:val="20"/>
          <w:u w:val="single"/>
        </w:rPr>
        <w:t xml:space="preserve">(d)    Except as set forth in Section 3.9(b) or Section 3.9(c), all </w:t>
      </w:r>
      <w:r>
        <w:rPr>
          <w:rFonts w:ascii="Times New Roman;serif" w:hAnsi="Times New Roman;serif"/>
          <w:b w:val="false"/>
          <w:color w:val="000000"/>
          <w:sz w:val="20"/>
        </w:rPr>
        <w:t xml:space="preserve">other requests for Equity Contributions shall, if authorized to be made pursuant to the express terms of this Agreement, be made upon the request of the Board in accordance with this Agreement (including at the direction of a Member in accordance with Section 10.4(d)), and no Member shall otherwise have the right to make JVCo Contribution Requests hereunder. No Member shall have any right to make Equity Contributions to the Company other than as expressly provided in this Agreement;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for the purposes of this Section 3.9, the determination that Construction Loans are Available Loans and/or Unavailable Loans shall not be based primarily on cost or other economic terms of such Construction Loans.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20"/>
        <w:jc w:val="center"/>
        <w:rPr/>
      </w:pPr>
      <w:r>
        <w:rPr/>
      </w:r>
    </w:p>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Exhibit C</w:t>
      </w:r>
    </w:p>
    <w:p>
      <w:pPr>
        <w:pStyle w:val="TextBody"/>
        <w:bidi w:val="0"/>
        <w:spacing w:lineRule="auto" w:line="288" w:before="0" w:after="220"/>
        <w:jc w:val="center"/>
        <w:rPr>
          <w:rFonts w:ascii="Times New Roman;serif" w:hAnsi="Times New Roman;serif"/>
          <w:b w:val="false"/>
          <w:color w:val="000000"/>
          <w:sz w:val="20"/>
        </w:rPr>
      </w:pPr>
      <w:r>
        <w:rPr>
          <w:rFonts w:ascii="Times New Roman;serif" w:hAnsi="Times New Roman;serif"/>
          <w:b w:val="false"/>
          <w:color w:val="000000"/>
          <w:sz w:val="20"/>
        </w:rPr>
        <w:t>Amendments to Section 13.2(d)</w:t>
      </w:r>
    </w:p>
    <w:p>
      <w:pPr>
        <w:pStyle w:val="TextBody"/>
        <w:bidi w:val="0"/>
        <w:spacing w:lineRule="auto" w:line="288" w:before="0" w:after="220"/>
        <w:jc w:val="both"/>
        <w:rPr/>
      </w:pPr>
      <w:r>
        <w:rPr>
          <w:rFonts w:ascii="Times New Roman;serif" w:hAnsi="Times New Roman;serif"/>
          <w:b w:val="false"/>
          <w:color w:val="000000"/>
          <w:sz w:val="20"/>
        </w:rPr>
        <w:t>Section 13.2    </w:t>
      </w:r>
      <w:r>
        <w:rPr>
          <w:rFonts w:ascii="Times New Roman;serif" w:hAnsi="Times New Roman;serif"/>
          <w:b w:val="false"/>
          <w:color w:val="000000"/>
          <w:sz w:val="20"/>
          <w:u w:val="single"/>
        </w:rPr>
        <w:t>Consequences of Events of Default</w:t>
      </w:r>
      <w:r>
        <w:rPr>
          <w:rFonts w:ascii="Times New Roman;serif" w:hAnsi="Times New Roman;serif"/>
          <w:b w:val="false"/>
          <w:color w:val="000000"/>
          <w:sz w:val="20"/>
        </w:rPr>
        <w:t>.</w:t>
      </w:r>
    </w:p>
    <w:p>
      <w:pPr>
        <w:pStyle w:val="TextBody"/>
        <w:bidi w:val="0"/>
        <w:spacing w:lineRule="auto" w:line="288" w:before="0" w:after="220"/>
        <w:ind w:left="0" w:right="0" w:firstLine="720"/>
        <w:jc w:val="both"/>
        <w:rPr/>
      </w:pPr>
      <w:r>
        <w:rPr>
          <w:rFonts w:ascii="Times New Roman;serif" w:hAnsi="Times New Roman;serif"/>
          <w:b w:val="false"/>
          <w:color w:val="000000"/>
          <w:sz w:val="20"/>
        </w:rPr>
        <w:t>(d)    If the Defaulting Holder disputes in good faith the occurrence of an Event of Default (other than an Event of Default described in Section 13.1(a)(vii), Section 13.1(b) or Section 13.1(c)(vii), it being understood that the occurrence of an Event of Default described in Section 13.1(a)(vii), Section 13.1(b) or Section 13.1(c)(vii) cannot be disputed in good faith pursuant to this Section 13.2(d)), for so long as the Defaulting Holder diligently pursues a final determination as to the occurrence of an Event of Default, including, if necessary, by the prompt final determination of such dispute by the arbitration tribunal in accordance with Section 16.6, the consequences set forth in Section 13.2(b)</w:t>
      </w:r>
      <w:r>
        <w:rPr>
          <w:color w:val="000000"/>
          <w:u w:val="single"/>
        </w:rPr>
        <w:t xml:space="preserve"> </w:t>
      </w:r>
      <w:r>
        <w:rPr>
          <w:rFonts w:ascii="Times New Roman;serif" w:hAnsi="Times New Roman;serif"/>
          <w:b/>
          <w:color w:val="000000"/>
          <w:sz w:val="20"/>
          <w:u w:val="single"/>
        </w:rPr>
        <w:t>and Section 13.7, as applicable</w:t>
      </w:r>
      <w:r>
        <w:rPr>
          <w:rFonts w:ascii="Times New Roman;serif" w:hAnsi="Times New Roman;serif"/>
          <w:b w:val="false"/>
          <w:color w:val="000000"/>
          <w:sz w:val="20"/>
        </w:rPr>
        <w:t xml:space="preserve">, shall not apply; </w:t>
      </w:r>
      <w:r>
        <w:rPr>
          <w:rFonts w:ascii="Times New Roman;serif" w:hAnsi="Times New Roman;serif"/>
          <w:b w:val="false"/>
          <w:color w:val="000000"/>
          <w:sz w:val="20"/>
          <w:u w:val="single"/>
        </w:rPr>
        <w:t>provided</w:t>
      </w:r>
      <w:r>
        <w:rPr>
          <w:rFonts w:ascii="Times New Roman;serif" w:hAnsi="Times New Roman;serif"/>
          <w:b w:val="false"/>
          <w:color w:val="000000"/>
          <w:sz w:val="20"/>
        </w:rPr>
        <w:t>, upon final determination of such dispute that an Event of Default occurred, or if at any point the Defaulting Holder delays or otherwise fails to diligently pursue a final determination, the consequences set forth in Section 13.2(b)</w:t>
      </w:r>
      <w:r>
        <w:rPr>
          <w:color w:val="000000"/>
          <w:u w:val="single"/>
        </w:rPr>
        <w:t xml:space="preserve"> </w:t>
      </w:r>
      <w:r>
        <w:rPr>
          <w:rFonts w:ascii="Times New Roman;serif" w:hAnsi="Times New Roman;serif"/>
          <w:b/>
          <w:color w:val="000000"/>
          <w:sz w:val="20"/>
          <w:u w:val="single"/>
        </w:rPr>
        <w:t>and Section 13.7, as applicable</w:t>
      </w:r>
      <w:r>
        <w:rPr>
          <w:rFonts w:ascii="Times New Roman;serif" w:hAnsi="Times New Roman;serif"/>
          <w:b w:val="false"/>
          <w:color w:val="000000"/>
          <w:sz w:val="20"/>
        </w:rPr>
        <w:t>, shall apply.</w:t>
      </w:r>
    </w:p>
    <w:p>
      <w:pPr>
        <w:pStyle w:val="TextBody"/>
        <w:bidi w:val="0"/>
        <w:spacing w:before="0" w:after="2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Exhibit D</w:t>
      </w:r>
    </w:p>
    <w:p>
      <w:pPr>
        <w:pStyle w:val="TextBody"/>
        <w:bidi w:val="0"/>
        <w:spacing w:lineRule="auto" w:line="288" w:before="0" w:after="220"/>
        <w:jc w:val="center"/>
        <w:rPr>
          <w:rFonts w:ascii="Times New Roman;serif" w:hAnsi="Times New Roman;serif"/>
          <w:b w:val="false"/>
          <w:color w:val="000000"/>
          <w:sz w:val="20"/>
        </w:rPr>
      </w:pPr>
      <w:r>
        <w:rPr>
          <w:rFonts w:ascii="Times New Roman;serif" w:hAnsi="Times New Roman;serif"/>
          <w:b w:val="false"/>
          <w:color w:val="000000"/>
          <w:sz w:val="20"/>
        </w:rPr>
        <w:t>Amendments to Section 13.5(a)</w:t>
      </w:r>
    </w:p>
    <w:p>
      <w:pPr>
        <w:pStyle w:val="TextBody"/>
        <w:bidi w:val="0"/>
        <w:spacing w:lineRule="auto" w:line="288" w:before="0" w:after="220"/>
        <w:jc w:val="both"/>
        <w:rPr/>
      </w:pPr>
      <w:r>
        <w:rPr>
          <w:rFonts w:ascii="Times New Roman;serif" w:hAnsi="Times New Roman;serif"/>
          <w:b w:val="false"/>
          <w:color w:val="000000"/>
          <w:sz w:val="20"/>
        </w:rPr>
        <w:t>Section 13.5    </w:t>
      </w:r>
      <w:r>
        <w:rPr>
          <w:rFonts w:ascii="Times New Roman;serif" w:hAnsi="Times New Roman;serif"/>
          <w:b w:val="false"/>
          <w:color w:val="000000"/>
          <w:sz w:val="20"/>
          <w:u w:val="single"/>
        </w:rPr>
        <w:t>Covering Equity Loans.</w:t>
      </w:r>
    </w:p>
    <w:p>
      <w:pPr>
        <w:pStyle w:val="TextBody"/>
        <w:bidi w:val="0"/>
        <w:spacing w:lineRule="auto" w:line="288" w:before="0" w:after="220"/>
        <w:ind w:left="0" w:right="0" w:firstLine="720"/>
        <w:jc w:val="both"/>
        <w:rPr/>
      </w:pPr>
      <w:r>
        <w:rPr>
          <w:rFonts w:ascii="Times New Roman;serif" w:hAnsi="Times New Roman;serif"/>
          <w:b w:val="false"/>
          <w:color w:val="000000"/>
          <w:sz w:val="20"/>
        </w:rPr>
        <w:t>(a)    Any loan extended by Curing Holders to a Payment Defaulting Holder in accordance with Section 13.3(c) after the date that their respective Remaining Committed Amounts or FI Remaining Committed Amounts, as applicable, are reduced to $0.00</w:t>
      </w:r>
      <w:r>
        <w:rPr>
          <w:rFonts w:ascii="Times New Roman;serif" w:hAnsi="Times New Roman;serif"/>
          <w:b/>
          <w:color w:val="000000"/>
          <w:sz w:val="20"/>
          <w:u w:val="single"/>
        </w:rPr>
        <w:t>, any loan deemed extended by Curing Holders to a Rebalancing Payment Defaulting Holder in accordance with Section 13.7(c),</w:t>
      </w:r>
      <w:r>
        <w:rPr>
          <w:color w:val="000000"/>
        </w:rPr>
        <w:t xml:space="preserve"> </w:t>
      </w:r>
      <w:r>
        <w:rPr>
          <w:rFonts w:ascii="Times New Roman;serif" w:hAnsi="Times New Roman;serif"/>
          <w:b w:val="false"/>
          <w:color w:val="000000"/>
          <w:sz w:val="20"/>
        </w:rPr>
        <w:t>and any Bridging Equity Loan that is converted in accordance with Section 13.4(d) shall constitute a “</w:t>
      </w:r>
      <w:r>
        <w:rPr>
          <w:rFonts w:ascii="Times New Roman;serif" w:hAnsi="Times New Roman;serif"/>
          <w:b w:val="false"/>
          <w:color w:val="000000"/>
          <w:sz w:val="20"/>
          <w:u w:val="single"/>
        </w:rPr>
        <w:t>Covering Equity Loan</w:t>
      </w:r>
      <w:r>
        <w:rPr>
          <w:color w:val="000000"/>
        </w:rPr>
        <w:t>”</w:t>
      </w:r>
      <w:r>
        <w:rPr>
          <w:rFonts w:ascii="Times New Roman;serif" w:hAnsi="Times New Roman;serif"/>
          <w:b w:val="false"/>
          <w:color w:val="000000"/>
          <w:sz w:val="20"/>
        </w:rPr>
        <w:t xml:space="preserve">. Covering Equity Loans shall bear interest at the Default Rate until repaid. </w:t>
      </w:r>
    </w:p>
    <w:p>
      <w:pPr>
        <w:pStyle w:val="TextBody"/>
        <w:bidi w:val="0"/>
        <w:spacing w:before="0" w:after="2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10.3</w:t>
      </w:r>
    </w:p>
    <w:p>
      <w:pPr>
        <w:pStyle w:val="TextBody"/>
        <w:bidi w:val="0"/>
        <w:spacing w:before="62" w:after="283"/>
        <w:jc w:val="center"/>
        <w:rPr/>
      </w:pPr>
      <w:r>
        <w:rPr/>
      </w:r>
    </w:p>
    <w:p>
      <w:pPr>
        <w:pStyle w:val="TextBody"/>
        <w:bidi w:val="0"/>
        <w:spacing w:lineRule="auto" w:line="288" w:before="62" w:after="283"/>
        <w:jc w:val="left"/>
        <w:rPr>
          <w:rFonts w:ascii="Times New Roman;serif" w:hAnsi="Times New Roman;serif"/>
          <w:b/>
          <w:color w:val="000000"/>
          <w:sz w:val="20"/>
        </w:rPr>
      </w:pPr>
      <w:r>
        <w:rPr>
          <w:rFonts w:ascii="Times New Roman;serif" w:hAnsi="Times New Roman;serif"/>
          <w:b/>
          <w:color w:val="000000"/>
          <w:sz w:val="20"/>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pStyle w:val="TextBody"/>
        <w:bidi w:val="0"/>
        <w:spacing w:before="69" w:after="283"/>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CHANGE ORDER</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73"/>
        <w:gridCol w:w="2009"/>
        <w:gridCol w:w="2015"/>
        <w:gridCol w:w="109"/>
        <w:gridCol w:w="109"/>
        <w:gridCol w:w="109"/>
        <w:gridCol w:w="1018"/>
        <w:gridCol w:w="1018"/>
        <w:gridCol w:w="1445"/>
      </w:tblGrid>
      <w:tr>
        <w:trPr/>
        <w:tc>
          <w:tcPr>
            <w:tcW w:w="237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14, 2022</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Owner EC Number: EC00273</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SC0150</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7290" w:type="dxa"/>
        <w:jc w:val="left"/>
        <w:tblInd w:w="0" w:type="dxa"/>
        <w:tblLayout w:type="fixed"/>
        <w:tblCellMar>
          <w:top w:w="28" w:type="dxa"/>
          <w:left w:w="28" w:type="dxa"/>
          <w:bottom w:w="28" w:type="dxa"/>
          <w:right w:w="28" w:type="dxa"/>
        </w:tblCellMar>
      </w:tblPr>
      <w:tblGrid>
        <w:gridCol w:w="2332"/>
        <w:gridCol w:w="2050"/>
        <w:gridCol w:w="2908"/>
      </w:tblGrid>
      <w:tr>
        <w:trPr/>
        <w:tc>
          <w:tcPr>
            <w:tcW w:w="2332"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ATTACHMENT KK - CURRENT INDEX VALUE UPDATES FOR Q4-2025</w:t>
            </w:r>
          </w:p>
        </w:tc>
      </w:tr>
    </w:tbl>
    <w:p>
      <w:pPr>
        <w:pStyle w:val="TextBody"/>
        <w:bidi w:val="0"/>
        <w:spacing w:lineRule="auto" w:line="268" w:before="0" w:after="0"/>
        <w:jc w:val="both"/>
        <w:rPr/>
      </w:pPr>
      <w:r>
        <w:rPr>
          <w:rFonts w:ascii="Times New Roman;serif" w:hAnsi="Times New Roman;serif"/>
          <w:b/>
          <w:color w:val="000000"/>
          <w:sz w:val="20"/>
        </w:rPr>
        <w:t>The</w:t>
      </w:r>
      <w:r>
        <w:rPr>
          <w:color w:val="000000"/>
        </w:rPr>
        <w:t xml:space="preserve"> </w:t>
      </w:r>
      <w:r>
        <w:rPr>
          <w:rFonts w:ascii="Times New Roman;serif" w:hAnsi="Times New Roman;serif"/>
          <w:b/>
          <w:color w:val="000000"/>
          <w:sz w:val="20"/>
        </w:rPr>
        <w:t>EPC</w:t>
      </w:r>
      <w:r>
        <w:rPr>
          <w:color w:val="000000"/>
        </w:rPr>
        <w:t xml:space="preserve"> </w:t>
      </w:r>
      <w:r>
        <w:rPr>
          <w:rFonts w:ascii="Times New Roman;serif" w:hAnsi="Times New Roman;serif"/>
          <w:b/>
          <w:color w:val="000000"/>
          <w:sz w:val="20"/>
        </w:rPr>
        <w:t>Agreement</w:t>
      </w:r>
      <w:r>
        <w:rPr>
          <w:color w:val="000000"/>
        </w:rPr>
        <w:t xml:space="preserve"> </w:t>
      </w:r>
      <w:r>
        <w:rPr>
          <w:rFonts w:ascii="Times New Roman;serif" w:hAnsi="Times New Roman;serif"/>
          <w:b/>
          <w:color w:val="000000"/>
          <w:sz w:val="20"/>
        </w:rPr>
        <w:t>between</w:t>
      </w:r>
      <w:r>
        <w:rPr>
          <w:color w:val="000000"/>
        </w:rPr>
        <w:t xml:space="preserve"> </w:t>
      </w:r>
      <w:r>
        <w:rPr>
          <w:rFonts w:ascii="Times New Roman;serif" w:hAnsi="Times New Roman;serif"/>
          <w:b/>
          <w:color w:val="000000"/>
          <w:sz w:val="20"/>
        </w:rPr>
        <w:t>the</w:t>
      </w:r>
      <w:r>
        <w:rPr>
          <w:color w:val="000000"/>
        </w:rPr>
        <w:t xml:space="preserve"> </w:t>
      </w:r>
      <w:r>
        <w:rPr>
          <w:rFonts w:ascii="Times New Roman;serif" w:hAnsi="Times New Roman;serif"/>
          <w:b/>
          <w:color w:val="000000"/>
          <w:sz w:val="20"/>
        </w:rPr>
        <w:t>Parties</w:t>
      </w:r>
      <w:r>
        <w:rPr>
          <w:color w:val="000000"/>
        </w:rPr>
        <w:t xml:space="preserve"> </w:t>
      </w:r>
      <w:r>
        <w:rPr>
          <w:rFonts w:ascii="Times New Roman;serif" w:hAnsi="Times New Roman;serif"/>
          <w:b/>
          <w:color w:val="000000"/>
          <w:sz w:val="20"/>
        </w:rPr>
        <w:t>listed</w:t>
      </w:r>
      <w:r>
        <w:rPr>
          <w:color w:val="000000"/>
        </w:rPr>
        <w:t xml:space="preserve"> </w:t>
      </w:r>
      <w:r>
        <w:rPr>
          <w:rFonts w:ascii="Times New Roman;serif" w:hAnsi="Times New Roman;serif"/>
          <w:b/>
          <w:color w:val="000000"/>
          <w:sz w:val="20"/>
        </w:rPr>
        <w:t>above</w:t>
      </w:r>
      <w:r>
        <w:rPr>
          <w:color w:val="000000"/>
        </w:rPr>
        <w:t xml:space="preserve"> </w:t>
      </w:r>
      <w:r>
        <w:rPr>
          <w:rFonts w:ascii="Times New Roman;serif" w:hAnsi="Times New Roman;serif"/>
          <w:b/>
          <w:color w:val="000000"/>
          <w:sz w:val="20"/>
        </w:rPr>
        <w:t>is</w:t>
      </w:r>
      <w:r>
        <w:rPr>
          <w:color w:val="000000"/>
        </w:rPr>
        <w:t xml:space="preserve"> </w:t>
      </w:r>
      <w:r>
        <w:rPr>
          <w:rFonts w:ascii="Times New Roman;serif" w:hAnsi="Times New Roman;serif"/>
          <w:b/>
          <w:color w:val="000000"/>
          <w:sz w:val="20"/>
        </w:rPr>
        <w:t>changed</w:t>
      </w:r>
      <w:r>
        <w:rPr>
          <w:color w:val="000000"/>
        </w:rPr>
        <w:t xml:space="preserve"> </w:t>
      </w:r>
      <w:r>
        <w:rPr>
          <w:rFonts w:ascii="Times New Roman;serif" w:hAnsi="Times New Roman;serif"/>
          <w:b/>
          <w:color w:val="000000"/>
          <w:sz w:val="20"/>
        </w:rPr>
        <w:t>as</w:t>
      </w:r>
      <w:r>
        <w:rPr>
          <w:color w:val="000000"/>
        </w:rPr>
        <w:t xml:space="preserve"> </w:t>
      </w:r>
      <w:r>
        <w:rPr>
          <w:rFonts w:ascii="Times New Roman;serif" w:hAnsi="Times New Roman;serif"/>
          <w:b/>
          <w:color w:val="000000"/>
          <w:sz w:val="20"/>
        </w:rPr>
        <w:t>follows:</w:t>
      </w:r>
      <w:r>
        <w:rPr>
          <w:color w:val="000000"/>
        </w:rPr>
        <w:t xml:space="preserve"> </w:t>
      </w:r>
      <w:r>
        <w:rPr>
          <w:rFonts w:ascii="Times New Roman;serif" w:hAnsi="Times New Roman;serif"/>
          <w:b w:val="false"/>
          <w:i/>
          <w:color w:val="000000"/>
          <w:sz w:val="20"/>
        </w:rPr>
        <w:t>(attach</w:t>
      </w:r>
      <w:r>
        <w:rPr>
          <w:color w:val="000000"/>
        </w:rPr>
        <w:t xml:space="preserve"> </w:t>
      </w:r>
      <w:r>
        <w:rPr>
          <w:rFonts w:ascii="Times New Roman;serif" w:hAnsi="Times New Roman;serif"/>
          <w:b w:val="false"/>
          <w:i/>
          <w:color w:val="000000"/>
          <w:sz w:val="20"/>
        </w:rPr>
        <w:t>additional</w:t>
      </w:r>
      <w:r>
        <w:rPr>
          <w:color w:val="000000"/>
        </w:rPr>
        <w:t xml:space="preserve"> </w:t>
      </w:r>
      <w:r>
        <w:rPr>
          <w:rFonts w:ascii="Times New Roman;serif" w:hAnsi="Times New Roman;serif"/>
          <w:b w:val="false"/>
          <w:i/>
          <w:color w:val="000000"/>
          <w:sz w:val="20"/>
        </w:rPr>
        <w:t>documentation</w:t>
      </w:r>
      <w:r>
        <w:rPr>
          <w:color w:val="000000"/>
        </w:rPr>
        <w:t xml:space="preserve"> </w:t>
      </w:r>
      <w:r>
        <w:rPr>
          <w:rFonts w:ascii="Times New Roman;serif" w:hAnsi="Times New Roman;serif"/>
          <w:b w:val="false"/>
          <w:i/>
          <w:color w:val="000000"/>
          <w:sz w:val="20"/>
        </w:rPr>
        <w:t xml:space="preserve">if </w:t>
      </w:r>
      <w:r>
        <w:rPr>
          <w:rFonts w:ascii="Times New Roman;serif" w:hAnsi="Times New Roman;serif"/>
          <w:b w:val="false"/>
          <w:i/>
          <w:color w:val="000000"/>
          <w:sz w:val="24"/>
        </w:rPr>
        <w:t>necessary)</w:t>
      </w:r>
    </w:p>
    <w:p>
      <w:pPr>
        <w:pStyle w:val="TextBody"/>
        <w:bidi w:val="0"/>
        <w:spacing w:before="0" w:after="0"/>
        <w:jc w:val="both"/>
        <w:rPr/>
      </w:pPr>
      <w:r>
        <w:rPr/>
      </w:r>
    </w:p>
    <w:p>
      <w:pPr>
        <w:pStyle w:val="TextBody"/>
        <w:bidi w:val="0"/>
        <w:spacing w:lineRule="auto" w:line="415" w:before="0" w:after="0"/>
        <w:jc w:val="left"/>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lineRule="auto" w:line="268" w:before="0" w:after="0"/>
        <w:jc w:val="both"/>
        <w:rPr/>
      </w:pPr>
      <w:r>
        <w:rPr>
          <w:rFonts w:ascii="Times New Roman;serif" w:hAnsi="Times New Roman;serif"/>
          <w:b w:val="false"/>
          <w:color w:val="000000"/>
          <w:sz w:val="20"/>
        </w:rPr>
        <w:t>Pursuant</w:t>
      </w:r>
      <w:r>
        <w:rPr>
          <w:color w:val="000000"/>
        </w:rPr>
        <w:t xml:space="preserve"> </w:t>
      </w:r>
      <w:r>
        <w:rPr>
          <w:rFonts w:ascii="Times New Roman;serif" w:hAnsi="Times New Roman;serif"/>
          <w:b w:val="false"/>
          <w:color w:val="000000"/>
          <w:sz w:val="20"/>
        </w:rPr>
        <w:t>to Section</w:t>
      </w:r>
      <w:r>
        <w:rPr>
          <w:color w:val="000000"/>
        </w:rPr>
        <w:t xml:space="preserve"> </w:t>
      </w:r>
      <w:r>
        <w:rPr>
          <w:rFonts w:ascii="Times New Roman;serif" w:hAnsi="Times New Roman;serif"/>
          <w:b w:val="false"/>
          <w:color w:val="000000"/>
          <w:sz w:val="20"/>
        </w:rPr>
        <w:t>1.2</w:t>
      </w:r>
      <w:r>
        <w:rPr>
          <w:color w:val="000000"/>
        </w:rPr>
        <w:t xml:space="preserve"> </w:t>
      </w:r>
      <w:r>
        <w:rPr>
          <w:rFonts w:ascii="Times New Roman;serif" w:hAnsi="Times New Roman;serif"/>
          <w:b w:val="false"/>
          <w:color w:val="000000"/>
          <w:sz w:val="20"/>
        </w:rPr>
        <w:t>of First</w:t>
      </w:r>
      <w:r>
        <w:rPr>
          <w:color w:val="000000"/>
        </w:rPr>
        <w:t xml:space="preserve"> </w:t>
      </w:r>
      <w:r>
        <w:rPr>
          <w:rFonts w:ascii="Times New Roman;serif" w:hAnsi="Times New Roman;serif"/>
          <w:b w:val="false"/>
          <w:color w:val="000000"/>
          <w:sz w:val="20"/>
        </w:rPr>
        <w:t>Amended</w:t>
      </w:r>
      <w:r>
        <w:rPr>
          <w:color w:val="000000"/>
        </w:rPr>
        <w:t xml:space="preserve"> </w:t>
      </w:r>
      <w:r>
        <w:rPr>
          <w:rFonts w:ascii="Times New Roman;serif" w:hAnsi="Times New Roman;serif"/>
          <w:b w:val="false"/>
          <w:color w:val="000000"/>
          <w:sz w:val="20"/>
        </w:rPr>
        <w:t>Attachment</w:t>
      </w:r>
      <w:r>
        <w:rPr>
          <w:color w:val="000000"/>
        </w:rPr>
        <w:t xml:space="preserve"> </w:t>
      </w:r>
      <w:r>
        <w:rPr>
          <w:rFonts w:ascii="Times New Roman;serif" w:hAnsi="Times New Roman;serif"/>
          <w:b w:val="false"/>
          <w:color w:val="000000"/>
          <w:sz w:val="20"/>
        </w:rPr>
        <w:t>KK, the Contract</w:t>
      </w:r>
      <w:r>
        <w:rPr>
          <w:color w:val="000000"/>
        </w:rPr>
        <w:t xml:space="preserve"> </w:t>
      </w:r>
      <w:r>
        <w:rPr>
          <w:rFonts w:ascii="Times New Roman;serif" w:hAnsi="Times New Roman;serif"/>
          <w:b w:val="false"/>
          <w:color w:val="000000"/>
          <w:sz w:val="20"/>
        </w:rPr>
        <w:t>Price</w:t>
      </w:r>
      <w:r>
        <w:rPr>
          <w:color w:val="000000"/>
        </w:rPr>
        <w:t xml:space="preserve"> </w:t>
      </w:r>
      <w:r>
        <w:rPr>
          <w:rFonts w:ascii="Times New Roman;serif" w:hAnsi="Times New Roman;serif"/>
          <w:b w:val="false"/>
          <w:color w:val="000000"/>
          <w:sz w:val="20"/>
        </w:rPr>
        <w:t>will</w:t>
      </w:r>
      <w:r>
        <w:rPr>
          <w:color w:val="000000"/>
        </w:rPr>
        <w:t xml:space="preserve"> </w:t>
      </w:r>
      <w:r>
        <w:rPr>
          <w:rFonts w:ascii="Times New Roman;serif" w:hAnsi="Times New Roman;serif"/>
          <w:b w:val="false"/>
          <w:color w:val="000000"/>
          <w:sz w:val="20"/>
        </w:rPr>
        <w:t>be adjusted quarterly</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reflect</w:t>
      </w:r>
      <w:r>
        <w:rPr>
          <w:color w:val="000000"/>
        </w:rPr>
        <w:t xml:space="preserve"> </w:t>
      </w:r>
      <w:r>
        <w:rPr>
          <w:rFonts w:ascii="Times New Roman;serif" w:hAnsi="Times New Roman;serif"/>
          <w:b w:val="false"/>
          <w:color w:val="000000"/>
          <w:sz w:val="20"/>
        </w:rPr>
        <w:t>the cumulative amount of Rise and Fall for the commodities listed in the First Amended Appendix 1 (Commodity Price Rise and Fall Payment Calculations).</w:t>
      </w:r>
      <w:r>
        <w:rPr>
          <w:color w:val="000000"/>
        </w:rPr>
        <w:t xml:space="preserve"> </w:t>
      </w:r>
      <w:r>
        <w:rPr>
          <w:rFonts w:ascii="Times New Roman;serif" w:hAnsi="Times New Roman;serif"/>
          <w:b w:val="false"/>
          <w:color w:val="000000"/>
          <w:sz w:val="20"/>
        </w:rPr>
        <w:t>The commodities as listed in First Amended Appendix 1 (Commodity Price Rise</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Fall</w:t>
      </w:r>
      <w:r>
        <w:rPr>
          <w:color w:val="000000"/>
        </w:rPr>
        <w:t xml:space="preserve"> </w:t>
      </w:r>
      <w:r>
        <w:rPr>
          <w:rFonts w:ascii="Times New Roman;serif" w:hAnsi="Times New Roman;serif"/>
          <w:b w:val="false"/>
          <w:color w:val="000000"/>
          <w:sz w:val="20"/>
        </w:rPr>
        <w:t>Payment</w:t>
      </w:r>
      <w:r>
        <w:rPr>
          <w:color w:val="000000"/>
        </w:rPr>
        <w:t xml:space="preserve"> </w:t>
      </w:r>
      <w:r>
        <w:rPr>
          <w:rFonts w:ascii="Times New Roman;serif" w:hAnsi="Times New Roman;serif"/>
          <w:b w:val="false"/>
          <w:color w:val="000000"/>
          <w:sz w:val="20"/>
        </w:rPr>
        <w:t>Calculation)</w:t>
      </w:r>
      <w:r>
        <w:rPr>
          <w:color w:val="000000"/>
        </w:rPr>
        <w:t xml:space="preserve"> </w:t>
      </w:r>
      <w:r>
        <w:rPr>
          <w:rFonts w:ascii="Times New Roman;serif" w:hAnsi="Times New Roman;serif"/>
          <w:b w:val="false"/>
          <w:color w:val="000000"/>
          <w:sz w:val="20"/>
        </w:rPr>
        <w:t>which</w:t>
      </w:r>
      <w:r>
        <w:rPr>
          <w:color w:val="000000"/>
        </w:rPr>
        <w:t xml:space="preserve"> </w:t>
      </w:r>
      <w:r>
        <w:rPr>
          <w:rFonts w:ascii="Times New Roman;serif" w:hAnsi="Times New Roman;serif"/>
          <w:b w:val="false"/>
          <w:color w:val="000000"/>
          <w:sz w:val="20"/>
        </w:rPr>
        <w:t>are</w:t>
      </w:r>
      <w:r>
        <w:rPr>
          <w:color w:val="000000"/>
        </w:rPr>
        <w:t xml:space="preserve"> </w:t>
      </w:r>
      <w:r>
        <w:rPr>
          <w:rFonts w:ascii="Times New Roman;serif" w:hAnsi="Times New Roman;serif"/>
          <w:b w:val="false"/>
          <w:color w:val="000000"/>
          <w:sz w:val="20"/>
        </w:rPr>
        <w:t>subject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Rise</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Fall</w:t>
      </w:r>
      <w:r>
        <w:rPr>
          <w:color w:val="000000"/>
        </w:rPr>
        <w:t xml:space="preserve"> </w:t>
      </w:r>
      <w:r>
        <w:rPr>
          <w:rFonts w:ascii="Times New Roman;serif" w:hAnsi="Times New Roman;serif"/>
          <w:b w:val="false"/>
          <w:color w:val="000000"/>
          <w:sz w:val="20"/>
        </w:rPr>
        <w:t>during</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Transaction</w:t>
      </w:r>
      <w:r>
        <w:rPr>
          <w:color w:val="000000"/>
        </w:rPr>
        <w:t xml:space="preserve"> </w:t>
      </w:r>
      <w:r>
        <w:rPr>
          <w:rFonts w:ascii="Times New Roman;serif" w:hAnsi="Times New Roman;serif"/>
          <w:b w:val="false"/>
          <w:color w:val="000000"/>
          <w:sz w:val="20"/>
        </w:rPr>
        <w:t>Period</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Q4-2025</w:t>
      </w:r>
      <w:r>
        <w:rPr>
          <w:color w:val="000000"/>
        </w:rPr>
        <w:t xml:space="preserve"> </w:t>
      </w:r>
      <w:r>
        <w:rPr>
          <w:rFonts w:ascii="Times New Roman;serif" w:hAnsi="Times New Roman;serif"/>
          <w:b w:val="false"/>
          <w:color w:val="000000"/>
          <w:sz w:val="20"/>
        </w:rPr>
        <w:t>are: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WIRE</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CABLE</w:t>
      </w:r>
      <w:r>
        <w:rPr>
          <w:color w:val="000000"/>
        </w:rPr>
        <w:t xml:space="preserve"> </w:t>
      </w:r>
      <w:r>
        <w:rPr>
          <w:rFonts w:ascii="Times New Roman;serif" w:hAnsi="Times New Roman;serif"/>
          <w:b w:val="false"/>
          <w:color w:val="000000"/>
          <w:sz w:val="20"/>
        </w:rPr>
        <w:t>(COPPER)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CONSTRUCTION FUEL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u w:val="single"/>
        </w:rPr>
        <w:t>First Amended Attachment KK, First Amended Appendix 1 (Commodity Price Rise and Fall Payment</w:t>
      </w:r>
      <w:r>
        <w:rPr>
          <w:color w:val="000000"/>
        </w:rPr>
        <w:t xml:space="preserve"> </w:t>
      </w:r>
      <w:r>
        <w:rPr>
          <w:rFonts w:ascii="Times New Roman;serif" w:hAnsi="Times New Roman;serif"/>
          <w:b/>
          <w:color w:val="000000"/>
          <w:sz w:val="20"/>
          <w:u w:val="single"/>
        </w:rPr>
        <w:t>Calculation)</w:t>
      </w:r>
      <w:r>
        <w:rPr>
          <w:color w:val="000000"/>
        </w:rPr>
        <w:t xml:space="preserve"> </w:t>
      </w:r>
      <w:r>
        <w:rPr>
          <w:rFonts w:ascii="Times New Roman;serif" w:hAnsi="Times New Roman;serif"/>
          <w:b w:val="false"/>
          <w:color w:val="000000"/>
          <w:sz w:val="20"/>
        </w:rPr>
        <w:t>shall be updated per the First Amended Appendix 1 (Commodity Price Rise and Fall Calculation) as provided in Attachment 1 to this Change Order.</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Attachments:</w:t>
      </w:r>
    </w:p>
    <w:p>
      <w:pPr>
        <w:pStyle w:val="TextBody"/>
        <w:bidi w:val="0"/>
        <w:spacing w:lineRule="auto" w:line="235" w:before="0" w:after="0"/>
        <w:ind w:left="0" w:right="0" w:hanging="360"/>
        <w:jc w:val="left"/>
        <w:rPr/>
      </w:pPr>
      <w:r>
        <w:rPr>
          <w:color w:val="000000"/>
        </w:rPr>
        <w:t>•</w:t>
      </w:r>
      <w:r>
        <w:rPr>
          <w:rFonts w:ascii="Times New Roman;serif" w:hAnsi="Times New Roman;serif"/>
          <w:b w:val="false"/>
          <w:color w:val="000000"/>
          <w:sz w:val="20"/>
        </w:rPr>
        <w:t>Attachment 1 – First Amended Attachment KK, First Amended Appendix 1 (Commodity Price Rise and Fall Payment Calculation), as updated by this Change Order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Attachment 2 - Contract Price Adjustment Calculation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696,017,545 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9,354,297,545 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686,665 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9,354,984,210 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EC00273_SC0150 will be incorporated in Change Order EC00282_SC0149 to be executed in 1Q-2026.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EC00273_SC0150 will be incorporated in Change Order EC00282_SC0149 to be executed in 1Q-2026.</w:t>
      </w:r>
    </w:p>
    <w:p>
      <w:pPr>
        <w:pStyle w:val="TextBody"/>
        <w:bidi w:val="0"/>
        <w:spacing w:before="0" w:after="0"/>
        <w:jc w:val="left"/>
        <w:rPr/>
      </w:pPr>
      <w:r>
        <w:rPr/>
      </w:r>
    </w:p>
    <w:p>
      <w:pPr>
        <w:pStyle w:val="TextBody"/>
        <w:bidi w:val="0"/>
        <w:spacing w:lineRule="auto" w:line="487" w:before="0" w:after="0"/>
        <w:jc w:val="left"/>
        <w:rPr>
          <w:rFonts w:ascii="Times New Roman;serif" w:hAnsi="Times New Roman;serif"/>
          <w:b/>
          <w:color w:val="000000"/>
          <w:sz w:val="20"/>
        </w:rPr>
      </w:pPr>
      <w:r>
        <w:rPr>
          <w:rFonts w:ascii="Times New Roman;serif" w:hAnsi="Times New Roman;serif"/>
          <w:b/>
          <w:color w:val="000000"/>
          <w:sz w:val="20"/>
        </w:rPr>
        <w:t xml:space="preserve">Impact on Minimum Acceptance Criteria: N/A </w:t>
      </w:r>
    </w:p>
    <w:p>
      <w:pPr>
        <w:pStyle w:val="TextBody"/>
        <w:bidi w:val="0"/>
        <w:spacing w:lineRule="auto" w:line="487" w:before="0" w:after="0"/>
        <w:jc w:val="left"/>
        <w:rPr>
          <w:rFonts w:ascii="Times New Roman;serif" w:hAnsi="Times New Roman;serif"/>
          <w:b/>
          <w:color w:val="000000"/>
          <w:sz w:val="20"/>
        </w:rPr>
      </w:pPr>
      <w:r>
        <w:rPr>
          <w:rFonts w:ascii="Times New Roman;serif" w:hAnsi="Times New Roman;serif"/>
          <w:b/>
          <w:color w:val="000000"/>
          <w:sz w:val="20"/>
        </w:rPr>
        <w:t xml:space="preserve">Impact on Performance Guarantees: N/A </w:t>
      </w:r>
    </w:p>
    <w:p>
      <w:pPr>
        <w:pStyle w:val="TextBody"/>
        <w:bidi w:val="0"/>
        <w:spacing w:lineRule="auto" w:line="487" w:before="0" w:after="0"/>
        <w:jc w:val="left"/>
        <w:rPr>
          <w:rFonts w:ascii="Times New Roman;serif" w:hAnsi="Times New Roman;serif"/>
          <w:b/>
          <w:color w:val="000000"/>
          <w:sz w:val="20"/>
        </w:rPr>
      </w:pPr>
      <w:r>
        <w:rPr>
          <w:rFonts w:ascii="Times New Roman;serif" w:hAnsi="Times New Roman;serif"/>
          <w:b/>
          <w:color w:val="000000"/>
          <w:sz w:val="20"/>
        </w:rPr>
        <w:t>Impact on Basis of Design: N/A</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Impact on the Total Reimbursement Amount: 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EPC Agreement: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w:t>
      </w:r>
      <w:r>
        <w:rPr>
          <w:rFonts w:ascii="Times New Roman;serif" w:hAnsi="Times New Roman;serif"/>
          <w:b w:val="false"/>
          <w:color w:val="000000"/>
          <w:sz w:val="20"/>
          <w:u w:val="single"/>
        </w:rPr>
        <w:t>SFO</w:t>
      </w:r>
      <w:r>
        <w:rPr>
          <w:color w:val="000000"/>
        </w:rPr>
        <w:t xml:space="preserve">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AT</w:t>
      </w:r>
      <w:r>
        <w:rPr>
          <w:color w:val="000000"/>
        </w:rPr>
        <w:t xml:space="preserve"> </w:t>
      </w:r>
      <w:r>
        <w:rPr>
          <w:rFonts w:ascii="Times New Roman;serif" w:hAnsi="Times New Roman;serif"/>
          <w:b w:val="false"/>
          <w:color w:val="000000"/>
          <w:sz w:val="20"/>
        </w:rPr>
        <w:t>Owner</w:t>
      </w:r>
    </w:p>
    <w:p>
      <w:pPr>
        <w:pStyle w:val="TextBody"/>
        <w:bidi w:val="0"/>
        <w:spacing w:before="0" w:after="0"/>
        <w:jc w:val="both"/>
        <w:rPr/>
      </w:pPr>
      <w:r>
        <w:rPr/>
      </w:r>
    </w:p>
    <w:p>
      <w:pPr>
        <w:pStyle w:val="TextBody"/>
        <w:bidi w:val="0"/>
        <w:spacing w:lineRule="auto" w:line="268" w:before="0" w:after="0"/>
        <w:ind w:left="0" w:right="0" w:firstLine="11"/>
        <w:jc w:val="both"/>
        <w:rPr/>
      </w:pPr>
      <w:r>
        <w:rPr>
          <w:rFonts w:ascii="Times New Roman;serif" w:hAnsi="Times New Roman;serif"/>
          <w:b w:val="false"/>
          <w:color w:val="000000"/>
          <w:sz w:val="20"/>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be deemed to compensate Contractor fully for such change, subject to the below:</w:t>
      </w:r>
    </w:p>
    <w:p>
      <w:pPr>
        <w:pStyle w:val="TextBody"/>
        <w:bidi w:val="0"/>
        <w:spacing w:lineRule="auto" w:line="268"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9" w:after="283"/>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0" w:after="283"/>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170"/>
        <w:gridCol w:w="1796"/>
        <w:gridCol w:w="1801"/>
        <w:gridCol w:w="109"/>
        <w:gridCol w:w="109"/>
        <w:gridCol w:w="109"/>
        <w:gridCol w:w="1202"/>
        <w:gridCol w:w="1202"/>
        <w:gridCol w:w="1707"/>
      </w:tblGrid>
      <w:tr>
        <w:trPr/>
        <w:tc>
          <w:tcPr>
            <w:tcW w:w="2170"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14, 2022</w:t>
            </w:r>
          </w:p>
        </w:tc>
      </w:tr>
      <w:tr>
        <w:trPr/>
        <w:tc>
          <w:tcPr>
            <w:tcW w:w="5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pPr>
            <w:r>
              <w:rPr>
                <w:rFonts w:ascii="Times New Roman;serif" w:hAnsi="Times New Roman;serif"/>
                <w:b/>
                <w:color w:val="000000"/>
                <w:sz w:val="20"/>
              </w:rPr>
              <w:t>Owner EC Number:</w:t>
            </w:r>
            <w:r>
              <w:rPr>
                <w:color w:val="000000"/>
              </w:rPr>
              <w:t xml:space="preserve"> </w:t>
            </w:r>
            <w:r>
              <w:rPr>
                <w:rFonts w:ascii="Times New Roman;serif" w:hAnsi="Times New Roman;serif"/>
                <w:b w:val="false"/>
                <w:color w:val="000000"/>
                <w:sz w:val="20"/>
              </w:rPr>
              <w:t>EC00258</w:t>
            </w:r>
          </w:p>
          <w:p>
            <w:pPr>
              <w:pStyle w:val="TableContents"/>
              <w:bidi w:val="0"/>
              <w:spacing w:lineRule="auto" w:line="288" w:before="0" w:after="0"/>
              <w:jc w:val="left"/>
              <w:rPr/>
            </w:pPr>
            <w:r>
              <w:rPr>
                <w:rFonts w:ascii="Times New Roman;serif" w:hAnsi="Times New Roman;serif"/>
                <w:b/>
                <w:color w:val="000000"/>
                <w:sz w:val="20"/>
              </w:rPr>
              <w:t>Contractor Change Number:</w:t>
            </w:r>
            <w:r>
              <w:rPr>
                <w:color w:val="000000"/>
              </w:rPr>
              <w:t xml:space="preserve"> </w:t>
            </w:r>
            <w:r>
              <w:rPr>
                <w:rFonts w:ascii="Times New Roman;serif" w:hAnsi="Times New Roman;serif"/>
                <w:b w:val="false"/>
                <w:color w:val="000000"/>
                <w:sz w:val="20"/>
              </w:rPr>
              <w:t>SC0145</w:t>
            </w:r>
          </w:p>
        </w:tc>
      </w:tr>
      <w:tr>
        <w:trPr/>
        <w:tc>
          <w:tcPr>
            <w:tcW w:w="576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EFFECTIVE DATE OF CHANGE ORDER: </w:t>
            </w:r>
            <w:r>
              <w:rPr>
                <w:rFonts w:ascii="Times New Roman;serif" w:hAnsi="Times New Roman;serif"/>
                <w:b w:val="false"/>
                <w:color w:val="000000"/>
                <w:sz w:val="20"/>
              </w:rPr>
              <w:t>February 20, 2026</w:t>
            </w:r>
          </w:p>
        </w:tc>
      </w:tr>
      <w:tr>
        <w:trPr/>
        <w:tc>
          <w:tcPr>
            <w:tcW w:w="5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8100" w:type="dxa"/>
        <w:jc w:val="left"/>
        <w:tblInd w:w="0" w:type="dxa"/>
        <w:tblLayout w:type="fixed"/>
        <w:tblCellMar>
          <w:top w:w="28" w:type="dxa"/>
          <w:left w:w="28" w:type="dxa"/>
          <w:bottom w:w="28" w:type="dxa"/>
          <w:right w:w="28" w:type="dxa"/>
        </w:tblCellMar>
      </w:tblPr>
      <w:tblGrid>
        <w:gridCol w:w="2590"/>
        <w:gridCol w:w="2278"/>
        <w:gridCol w:w="3232"/>
      </w:tblGrid>
      <w:tr>
        <w:trPr/>
        <w:tc>
          <w:tcPr>
            <w:tcW w:w="2590"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rPr/>
        <w:tc>
          <w:tcPr>
            <w:tcW w:w="81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INLET FACILITIES AND MIXING HEADER PERIMETER SECURITY LIGHTING</w:t>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The EPC Agreement between the Parties listed above is changed as follows: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Scope of Work does not include installation of perimeter security lighting for area as shown in Attachment 1 to this Change 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u w:val="single"/>
        </w:rPr>
        <w:t>Security Lighting</w:t>
      </w:r>
      <w:r>
        <w:rPr>
          <w:color w:val="000000"/>
        </w:rPr>
        <w:t xml:space="preserve"> – </w:t>
      </w:r>
      <w:r>
        <w:rPr>
          <w:rFonts w:ascii="Times New Roman;serif" w:hAnsi="Times New Roman;serif"/>
          <w:b w:val="false"/>
          <w:color w:val="000000"/>
          <w:sz w:val="20"/>
        </w:rPr>
        <w:t>Contractor shall perform all Work necessary to engineer, procure, and install the security lighting around the perimeter of the inlet facilities and mixing header area as more specifically identified in Attachment 1 (Unit Plot Plan Marine Off Loading Facility (MOF) Red-Line Mark-Up) in accordance with the Electrical Design Basis (26251-100-3DR-E12F-00001 /RG-BL-000-ELE-BOD-00001), including but not limited to the following:</w:t>
      </w:r>
    </w:p>
    <w:p>
      <w:pPr>
        <w:pStyle w:val="TextBody"/>
        <w:bidi w:val="0"/>
        <w:spacing w:before="0" w:after="0"/>
        <w:ind w:left="0" w:right="0" w:hanging="1799"/>
        <w:jc w:val="left"/>
        <w:rPr/>
      </w:pPr>
      <w:r>
        <w:rPr/>
      </w:r>
    </w:p>
    <w:p>
      <w:pPr>
        <w:pStyle w:val="TextBody"/>
        <w:bidi w:val="0"/>
        <w:spacing w:lineRule="auto" w:line="266" w:before="0" w:after="0"/>
        <w:ind w:left="0" w:right="0" w:hanging="360"/>
        <w:jc w:val="left"/>
        <w:rPr/>
      </w:pPr>
      <w:r>
        <w:rPr>
          <w:color w:val="000000"/>
        </w:rPr>
        <w:t>•</w:t>
      </w:r>
      <w:r>
        <w:rPr>
          <w:rFonts w:ascii="Times New Roman;serif" w:hAnsi="Times New Roman;serif"/>
          <w:b w:val="false"/>
          <w:color w:val="000000"/>
          <w:sz w:val="20"/>
        </w:rPr>
        <w:t>Installation of light poles, light fixtures, and related lighting controls, hardware, and accessories.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Installation of power feeder cables and raceways for the Inlet Facilities and mixing header area perimeter security lighting.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Installation of all civil, structural, and architectural (“CSA”) related Scope of Work (i.e. light pole foundations).</w:t>
      </w:r>
    </w:p>
    <w:p>
      <w:pPr>
        <w:pStyle w:val="TextBody"/>
        <w:bidi w:val="0"/>
        <w:spacing w:lineRule="auto" w:line="266" w:before="0" w:after="0"/>
        <w:ind w:left="0" w:right="0" w:hanging="360"/>
        <w:jc w:val="left"/>
        <w:rPr/>
      </w:pPr>
      <w:r>
        <w:rPr>
          <w:color w:val="000000"/>
        </w:rPr>
        <w:t>•</w:t>
      </w:r>
      <w:r>
        <w:rPr>
          <w:rFonts w:ascii="Times New Roman;serif" w:hAnsi="Times New Roman;serif"/>
          <w:b w:val="false"/>
          <w:color w:val="000000"/>
          <w:sz w:val="20"/>
        </w:rPr>
        <w:t>Installation of any required lighting distribution panels and/or transformers.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Installation of green-colored lighting for the Inlet Facilities and mixing header area (11.2, Normal Lighting, of the Agreement).</w:t>
      </w:r>
    </w:p>
    <w:p>
      <w:pPr>
        <w:pStyle w:val="TextBody"/>
        <w:bidi w:val="0"/>
        <w:spacing w:before="0" w:after="0"/>
        <w:ind w:left="0" w:right="0" w:hanging="361"/>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Egress lighting is excluded from this Change Order.</w:t>
      </w:r>
    </w:p>
    <w:p>
      <w:pPr>
        <w:pStyle w:val="TextBody"/>
        <w:bidi w:val="0"/>
        <w:spacing w:before="0" w:after="0"/>
        <w:ind w:left="0" w:right="0" w:hanging="1799"/>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the scope performed under this Change Order cannot be completed prior to Substantial Completion, Owner and Contractor shall mutually align, acting reasonably and in good faith, to identify the remaining scope items that can be completed as Punchlist items post Substantial Completion. Such alignment shall not be unreasonably withheld, conditioned, or delayed.</w:t>
      </w:r>
    </w:p>
    <w:p>
      <w:pPr>
        <w:pStyle w:val="TextBody"/>
        <w:bidi w:val="0"/>
        <w:spacing w:before="0" w:after="0"/>
        <w:ind w:left="0" w:right="0" w:hanging="1799"/>
        <w:jc w:val="left"/>
        <w:rPr/>
      </w:pPr>
      <w:r>
        <w:rPr/>
      </w:r>
    </w:p>
    <w:p>
      <w:pPr>
        <w:pStyle w:val="TextBody"/>
        <w:bidi w:val="0"/>
        <w:spacing w:lineRule="auto" w:line="252" w:before="0" w:after="0"/>
        <w:jc w:val="both"/>
        <w:rPr/>
      </w:pPr>
      <w:r>
        <w:rPr>
          <w:rFonts w:ascii="Times New Roman;serif" w:hAnsi="Times New Roman;serif"/>
          <w:b/>
          <w:color w:val="000000"/>
          <w:sz w:val="20"/>
          <w:u w:val="single"/>
        </w:rPr>
        <w:t>Attachment to support Change Order</w:t>
      </w:r>
      <w:r>
        <w:rPr>
          <w:rFonts w:ascii="Times New Roman;serif" w:hAnsi="Times New Roman;serif"/>
          <w:b w:val="false"/>
          <w:color w:val="000000"/>
          <w:sz w:val="20"/>
        </w:rPr>
        <w:t>:</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Attachment 1 – Unit Plot Plan Marine Off Loading Facility (MOF) Red-Line Mark-Up.</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696,704,210 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9,354,984,210 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2,151,600 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9,357,135,810 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val="false"/>
          <w:color w:val="000000"/>
          <w:sz w:val="20"/>
          <w:u w:val="single"/>
        </w:rPr>
        <w:t>N/A</w:t>
      </w:r>
      <w:r>
        <w:rPr>
          <w:color w:val="000000"/>
        </w:rPr>
        <w:t xml:space="preserve"> </w:t>
      </w:r>
      <w:r>
        <w:rPr>
          <w:rFonts w:ascii="Times New Roman;serif" w:hAnsi="Times New Roman;serif"/>
          <w:b w:val="false"/>
          <w:color w:val="000000"/>
          <w:sz w:val="20"/>
        </w:rPr>
        <w:t>will be (increased)(decreased) by N/A Days after NTP.</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val="false"/>
          <w:color w:val="000000"/>
          <w:sz w:val="20"/>
          <w:u w:val="single"/>
        </w:rPr>
        <w:t>N/A</w:t>
      </w:r>
      <w:r>
        <w:rPr>
          <w:color w:val="000000"/>
        </w:rPr>
        <w:t xml:space="preserve"> </w:t>
      </w:r>
      <w:r>
        <w:rPr>
          <w:rFonts w:ascii="Times New Roman;serif" w:hAnsi="Times New Roman;serif"/>
          <w:b w:val="false"/>
          <w:color w:val="000000"/>
          <w:sz w:val="20"/>
        </w:rPr>
        <w:t xml:space="preserve">as of the date of this Change Order therefore is </w:t>
      </w:r>
      <w:r>
        <w:rPr>
          <w:rFonts w:ascii="Times New Roman;serif" w:hAnsi="Times New Roman;serif"/>
          <w:b w:val="false"/>
          <w:color w:val="000000"/>
          <w:sz w:val="20"/>
          <w:u w:val="single"/>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val="false"/>
          <w:color w:val="000000"/>
          <w:sz w:val="20"/>
          <w:u w:val="single"/>
        </w:rPr>
        <w:t>N/A</w:t>
      </w:r>
      <w:r>
        <w:rPr>
          <w:color w:val="000000"/>
        </w:rPr>
        <w:t xml:space="preserve"> </w:t>
      </w:r>
      <w:r>
        <w:rPr>
          <w:rFonts w:ascii="Times New Roman;serif" w:hAnsi="Times New Roman;serif"/>
          <w:b w:val="false"/>
          <w:color w:val="000000"/>
          <w:sz w:val="20"/>
        </w:rPr>
        <w:t xml:space="preserve">will be (increased)(decreased) by </w:t>
      </w:r>
      <w:r>
        <w:rPr>
          <w:rFonts w:ascii="Times New Roman;serif" w:hAnsi="Times New Roman;serif"/>
          <w:b w:val="false"/>
          <w:color w:val="000000"/>
          <w:sz w:val="20"/>
          <w:u w:val="single"/>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val="false"/>
          <w:color w:val="000000"/>
          <w:sz w:val="20"/>
          <w:u w:val="single"/>
        </w:rPr>
        <w:t>N/A</w:t>
      </w:r>
      <w:r>
        <w:rPr>
          <w:color w:val="000000"/>
        </w:rPr>
        <w:t xml:space="preserve"> </w:t>
      </w:r>
      <w:r>
        <w:rPr>
          <w:rFonts w:ascii="Times New Roman;serif" w:hAnsi="Times New Roman;serif"/>
          <w:b w:val="false"/>
          <w:color w:val="000000"/>
          <w:sz w:val="20"/>
        </w:rPr>
        <w:t>as of the effective date of this Change Order therefore is</w:t>
      </w:r>
      <w:r>
        <w:rPr>
          <w:color w:val="000000"/>
          <w:u w:val="single"/>
        </w:rPr>
        <w:t xml:space="preserve"> </w:t>
      </w:r>
      <w:r>
        <w:rPr>
          <w:rFonts w:ascii="Times New Roman;serif" w:hAnsi="Times New Roman;serif"/>
          <w:b w:val="false"/>
          <w:color w:val="000000"/>
          <w:sz w:val="20"/>
          <w:u w:val="single"/>
        </w:rPr>
        <w:t>N/A</w:t>
      </w:r>
      <w:r>
        <w:rPr>
          <w:color w:val="000000"/>
        </w:rPr>
        <w:t xml:space="preserve">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Attached to this Change Order is an updated Schedule E-1 which shall reflect and highlight any adjustment(s) to the Key Dates agreed to in this Change Order.</w:t>
      </w:r>
      <w:r>
        <w:rPr>
          <w:color w:val="000000"/>
          <w:u w:val="single"/>
        </w:rPr>
        <w:t xml:space="preserve"> </w:t>
      </w:r>
      <w:r>
        <w:rPr>
          <w:rFonts w:ascii="Times New Roman;serif" w:hAnsi="Times New Roman;serif"/>
          <w:b w:val="false"/>
          <w:color w:val="000000"/>
          <w:sz w:val="20"/>
          <w:u w:val="single"/>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EC00258_SC0145 will be incorporated into Change Order EC00282_SC0149 to be executed in Q1-2026.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EC00258_SC0145 will be incorporated into Change Order EC00282_SC0149 to be executed in Q1-2026.</w:t>
      </w:r>
    </w:p>
    <w:p>
      <w:pPr>
        <w:pStyle w:val="TextBody"/>
        <w:bidi w:val="0"/>
        <w:spacing w:before="0" w:after="0"/>
        <w:jc w:val="left"/>
        <w:rPr/>
      </w:pPr>
      <w:r>
        <w:rPr/>
      </w:r>
    </w:p>
    <w:p>
      <w:pPr>
        <w:pStyle w:val="TextBody"/>
        <w:bidi w:val="0"/>
        <w:spacing w:lineRule="auto" w:line="489" w:before="0" w:after="0"/>
        <w:jc w:val="left"/>
        <w:rPr/>
      </w:pPr>
      <w:r>
        <w:rPr>
          <w:rFonts w:ascii="Times New Roman;serif" w:hAnsi="Times New Roman;serif"/>
          <w:b w:val="false"/>
          <w:color w:val="000000"/>
          <w:sz w:val="20"/>
        </w:rPr>
        <w:t xml:space="preserve">Impact on Minimum Acceptance Criteria: </w:t>
      </w:r>
      <w:r>
        <w:rPr>
          <w:rFonts w:ascii="Times New Roman;serif" w:hAnsi="Times New Roman;serif"/>
          <w:b/>
          <w:color w:val="000000"/>
          <w:sz w:val="20"/>
        </w:rPr>
        <w:t xml:space="preserve">N/A </w:t>
      </w:r>
    </w:p>
    <w:p>
      <w:pPr>
        <w:pStyle w:val="TextBody"/>
        <w:bidi w:val="0"/>
        <w:spacing w:lineRule="auto" w:line="489" w:before="0" w:after="0"/>
        <w:jc w:val="left"/>
        <w:rPr/>
      </w:pPr>
      <w:r>
        <w:rPr>
          <w:rFonts w:ascii="Times New Roman;serif" w:hAnsi="Times New Roman;serif"/>
          <w:b w:val="false"/>
          <w:color w:val="000000"/>
          <w:sz w:val="20"/>
        </w:rPr>
        <w:t xml:space="preserve">Impact on Performance Guarantees: </w:t>
      </w:r>
      <w:r>
        <w:rPr>
          <w:rFonts w:ascii="Times New Roman;serif" w:hAnsi="Times New Roman;serif"/>
          <w:b/>
          <w:color w:val="000000"/>
          <w:sz w:val="20"/>
        </w:rPr>
        <w:t xml:space="preserve">N/A </w:t>
      </w:r>
    </w:p>
    <w:p>
      <w:pPr>
        <w:pStyle w:val="TextBody"/>
        <w:bidi w:val="0"/>
        <w:spacing w:lineRule="auto" w:line="489" w:before="0" w:after="0"/>
        <w:jc w:val="left"/>
        <w:rPr/>
      </w:pPr>
      <w:r>
        <w:rPr>
          <w:rFonts w:ascii="Times New Roman;serif" w:hAnsi="Times New Roman;serif"/>
          <w:b w:val="false"/>
          <w:color w:val="000000"/>
          <w:sz w:val="20"/>
        </w:rPr>
        <w:t xml:space="preserve">Impact on Basis of Design: </w:t>
      </w:r>
      <w:r>
        <w:rPr>
          <w:rFonts w:ascii="Times New Roman;serif" w:hAnsi="Times New Roman;serif"/>
          <w:b/>
          <w:color w:val="000000"/>
          <w:sz w:val="20"/>
        </w:rPr>
        <w:t>N/A</w: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Impact on the Total Reimbursement Amount: Will be assessed prior to Substantial Completion of Train 1.</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EPC Agreement: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Select either A or B</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[A]This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subject to exceptions herein. Initials: </w:t>
      </w:r>
      <w:r>
        <w:rPr>
          <w:rFonts w:ascii="Times New Roman;serif" w:hAnsi="Times New Roman;serif"/>
          <w:b w:val="false"/>
          <w:color w:val="000000"/>
          <w:sz w:val="20"/>
          <w:u w:val="single"/>
        </w:rPr>
        <w:t>SFO</w:t>
      </w:r>
      <w:r>
        <w:rPr>
          <w:color w:val="000000"/>
        </w:rPr>
        <w:t xml:space="preserve">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jc w:val="both"/>
        <w:rPr/>
      </w:pPr>
      <w:r>
        <w:rPr/>
      </w:r>
    </w:p>
    <w:p>
      <w:pPr>
        <w:pStyle w:val="TextBody"/>
        <w:bidi w:val="0"/>
        <w:spacing w:lineRule="auto" w:line="268" w:before="0" w:after="0"/>
        <w:ind w:left="0" w:right="0" w:firstLine="11"/>
        <w:jc w:val="both"/>
        <w:rPr/>
      </w:pPr>
      <w:r>
        <w:rPr>
          <w:rFonts w:ascii="Times New Roman;serif" w:hAnsi="Times New Roman;serif"/>
          <w:b w:val="false"/>
          <w:color w:val="000000"/>
          <w:sz w:val="20"/>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be deemed to compensate Contractor fully for such change.</w:t>
      </w:r>
      <w:r>
        <w:rPr>
          <w:color w:val="000000"/>
        </w:rPr>
        <w:t xml:space="preserve"> </w:t>
      </w: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pStyle w:val="TextBody"/>
        <w:bidi w:val="0"/>
        <w:spacing w:before="0" w:after="0"/>
        <w:ind w:left="0" w:right="0" w:firstLine="37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Upon execution of this Change Order by Owner and Contractor, the above-referenced change shall become a valid and binding part of the EPC Agreement without exception or qualification. Except as modified by this and any previously issued Change Orders or any amendments to the Agreement, all other terms and conditions of the Agreement shall remain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73"/>
        <w:gridCol w:w="2009"/>
        <w:gridCol w:w="2015"/>
        <w:gridCol w:w="109"/>
        <w:gridCol w:w="109"/>
        <w:gridCol w:w="109"/>
        <w:gridCol w:w="1018"/>
        <w:gridCol w:w="1018"/>
        <w:gridCol w:w="1445"/>
      </w:tblGrid>
      <w:tr>
        <w:trPr/>
        <w:tc>
          <w:tcPr>
            <w:tcW w:w="237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14, 2022</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EC00235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SC0142</w:t>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10, 2026</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00" w:type="dxa"/>
        <w:jc w:val="left"/>
        <w:tblInd w:w="0" w:type="dxa"/>
        <w:tblLayout w:type="fixed"/>
        <w:tblCellMar>
          <w:top w:w="28" w:type="dxa"/>
          <w:left w:w="28" w:type="dxa"/>
          <w:bottom w:w="28" w:type="dxa"/>
          <w:right w:w="28" w:type="dxa"/>
        </w:tblCellMar>
      </w:tblPr>
      <w:tblGrid>
        <w:gridCol w:w="2113"/>
        <w:gridCol w:w="1856"/>
        <w:gridCol w:w="2631"/>
      </w:tblGrid>
      <w:tr>
        <w:trPr/>
        <w:tc>
          <w:tcPr>
            <w:tcW w:w="2113"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LP-HP FUEL GAS SYSTEM MODIFICATIONS - INSTALLATION</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Owner previously executed Change Order EC00192_SC0113 for HP Fuel Gas Heaters (1E-5201, and 2E-5201) in Trains 1 and 2. Under this Change Order, the Contractor is responsible for engineering, specifying, procuring, and delivering to site a Fuel Gas Heater for each train.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Owner previously executed EC00190_SC0111 for HP Fuel Gas Mixing Drums (1V-5204, and 2V-5204) in Trains 1 and 2. Under such Change Order EC00190_SC0111, the Contractor is responsible for all work required to engineer and specify (including mechanical and process data sheets), procure (including material requisition, purchasing, vendor print review, and resolution of technical queries), and deliver an HP Fuel Gas Mixing Drum based on two high N₂ feed gas scenarios: (a) End Flash Gas (“EFG”) system implemented, with flash gas routed to Boil-off Gas (“BOG”) Compressors and the HP fuel gas system; and (b) EFG not implemented, with rundown and flash in LNG tanks to BOG Compressors and degraded LNG production.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Change Order EC00235_SC0142 includes installation scope and remaining procurement not included in Change Order EC00192_SC0113 and Change Order EC00190_SC0111 for the following:</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1.Installation of new HP Fuel Gas Mixing Drums (1V-5204 and 2V-5204)</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2.Installation of new HP Fuel Gas Heaters (1E-5201 and 2E-5201)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Contractor shall procure the remaining equipment and materials and install HP Fuel Gas Mixing Drums (procured under Change Order EC00190_SC0111), HP Fuel Gas Heaters (procured under Change Order EC00192_SC0113) and incorporate the LP-HP Fuel Gas System Modifications (as originally described in Change Order EC00192_SC0113) into</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Facility.</w:t>
      </w:r>
      <w:r>
        <w:rPr>
          <w:color w:val="000000"/>
        </w:rPr>
        <w:t xml:space="preserve"> </w:t>
      </w:r>
      <w:r>
        <w:rPr>
          <w:rFonts w:ascii="Times New Roman;serif" w:hAnsi="Times New Roman;serif"/>
          <w:b w:val="false"/>
          <w:color w:val="000000"/>
          <w:sz w:val="20"/>
        </w:rPr>
        <w:t>This</w:t>
      </w:r>
      <w:r>
        <w:rPr>
          <w:color w:val="000000"/>
        </w:rPr>
        <w:t xml:space="preserve"> </w:t>
      </w:r>
      <w:r>
        <w:rPr>
          <w:rFonts w:ascii="Times New Roman;serif" w:hAnsi="Times New Roman;serif"/>
          <w:b w:val="false"/>
          <w:color w:val="000000"/>
          <w:sz w:val="20"/>
        </w:rPr>
        <w:t>scope</w:t>
      </w:r>
      <w:r>
        <w:rPr>
          <w:color w:val="000000"/>
        </w:rPr>
        <w:t xml:space="preserve"> </w:t>
      </w:r>
      <w:r>
        <w:rPr>
          <w:rFonts w:ascii="Times New Roman;serif" w:hAnsi="Times New Roman;serif"/>
          <w:b w:val="false"/>
          <w:color w:val="000000"/>
          <w:sz w:val="20"/>
        </w:rPr>
        <w:t>includes</w:t>
      </w:r>
      <w:r>
        <w:rPr>
          <w:color w:val="000000"/>
        </w:rPr>
        <w:t xml:space="preserve"> </w:t>
      </w:r>
      <w:r>
        <w:rPr>
          <w:rFonts w:ascii="Times New Roman;serif" w:hAnsi="Times New Roman;serif"/>
          <w:b w:val="false"/>
          <w:color w:val="000000"/>
          <w:sz w:val="20"/>
        </w:rPr>
        <w:t>upsize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PSV-520005A/B</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associated</w:t>
      </w:r>
      <w:r>
        <w:rPr>
          <w:color w:val="000000"/>
        </w:rPr>
        <w:t xml:space="preserve"> </w:t>
      </w:r>
      <w:r>
        <w:rPr>
          <w:rFonts w:ascii="Times New Roman;serif" w:hAnsi="Times New Roman;serif"/>
          <w:b w:val="false"/>
          <w:color w:val="000000"/>
          <w:sz w:val="20"/>
        </w:rPr>
        <w:t>piping,</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also includes</w:t>
      </w:r>
      <w:r>
        <w:rPr>
          <w:color w:val="000000"/>
        </w:rPr>
        <w:t xml:space="preserve"> </w:t>
      </w:r>
      <w:r>
        <w:rPr>
          <w:rFonts w:ascii="Times New Roman;serif" w:hAnsi="Times New Roman;serif"/>
          <w:b w:val="false"/>
          <w:color w:val="000000"/>
          <w:sz w:val="20"/>
        </w:rPr>
        <w:t>meeting</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updated</w:t>
      </w:r>
      <w:r>
        <w:rPr>
          <w:color w:val="000000"/>
        </w:rPr>
        <w:t xml:space="preserve"> </w:t>
      </w:r>
      <w:r>
        <w:rPr>
          <w:rFonts w:ascii="Times New Roman;serif" w:hAnsi="Times New Roman;serif"/>
          <w:b w:val="false"/>
          <w:color w:val="000000"/>
          <w:sz w:val="20"/>
        </w:rPr>
        <w:t>design</w:t>
      </w:r>
      <w:r>
        <w:rPr>
          <w:color w:val="000000"/>
        </w:rPr>
        <w:t xml:space="preserve"> </w:t>
      </w:r>
      <w:r>
        <w:rPr>
          <w:rFonts w:ascii="Times New Roman;serif" w:hAnsi="Times New Roman;serif"/>
          <w:b w:val="false"/>
          <w:color w:val="000000"/>
          <w:sz w:val="20"/>
        </w:rPr>
        <w:t>requirements</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fuel</w:t>
      </w:r>
      <w:r>
        <w:rPr>
          <w:color w:val="000000"/>
        </w:rPr>
        <w:t xml:space="preserve"> </w:t>
      </w:r>
      <w:r>
        <w:rPr>
          <w:rFonts w:ascii="Times New Roman;serif" w:hAnsi="Times New Roman;serif"/>
          <w:b w:val="false"/>
          <w:color w:val="000000"/>
          <w:sz w:val="20"/>
        </w:rPr>
        <w:t>gas</w:t>
      </w:r>
      <w:r>
        <w:rPr>
          <w:color w:val="000000"/>
        </w:rPr>
        <w:t xml:space="preserve"> </w:t>
      </w:r>
      <w:r>
        <w:rPr>
          <w:rFonts w:ascii="Times New Roman;serif" w:hAnsi="Times New Roman;serif"/>
          <w:b w:val="false"/>
          <w:color w:val="000000"/>
          <w:sz w:val="20"/>
        </w:rPr>
        <w:t>system</w:t>
      </w:r>
      <w:r>
        <w:rPr>
          <w:color w:val="000000"/>
        </w:rPr>
        <w:t xml:space="preserve"> </w:t>
      </w:r>
      <w:r>
        <w:rPr>
          <w:rFonts w:ascii="Times New Roman;serif" w:hAnsi="Times New Roman;serif"/>
          <w:b w:val="false"/>
          <w:color w:val="000000"/>
          <w:sz w:val="20"/>
        </w:rPr>
        <w:t>as</w:t>
      </w:r>
      <w:r>
        <w:rPr>
          <w:color w:val="000000"/>
        </w:rPr>
        <w:t xml:space="preserve"> </w:t>
      </w:r>
      <w:r>
        <w:rPr>
          <w:rFonts w:ascii="Times New Roman;serif" w:hAnsi="Times New Roman;serif"/>
          <w:b w:val="false"/>
          <w:color w:val="000000"/>
          <w:sz w:val="20"/>
        </w:rPr>
        <w:t>indicated</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below</w:t>
      </w:r>
      <w:r>
        <w:rPr>
          <w:color w:val="000000"/>
        </w:rPr>
        <w:t xml:space="preserve"> </w:t>
      </w:r>
      <w:r>
        <w:rPr>
          <w:rFonts w:ascii="Times New Roman;serif" w:hAnsi="Times New Roman;serif"/>
          <w:b w:val="false"/>
          <w:color w:val="000000"/>
          <w:sz w:val="20"/>
        </w:rPr>
        <w:t>marked-up</w:t>
      </w:r>
      <w:r>
        <w:rPr>
          <w:color w:val="000000"/>
        </w:rPr>
        <w:t xml:space="preserve"> </w:t>
      </w:r>
      <w:r>
        <w:rPr>
          <w:rFonts w:ascii="Times New Roman;serif" w:hAnsi="Times New Roman;serif"/>
          <w:b w:val="false"/>
          <w:color w:val="000000"/>
          <w:sz w:val="20"/>
        </w:rPr>
        <w:t>Utility Design Basis – Unit 52 – Fuel Gas (26251-100-3DR-V04-52001 / RG-BL-052-PRO-DES-00001):</w:t>
      </w:r>
    </w:p>
    <w:p>
      <w:pPr>
        <w:pStyle w:val="TextBody"/>
        <w:bidi w:val="0"/>
        <w:spacing w:before="0" w:after="0"/>
        <w:ind w:left="0" w:right="0" w:hanging="1857"/>
        <w:jc w:val="left"/>
        <w:rPr/>
      </w:pPr>
      <w:r>
        <w:rPr/>
      </w:r>
    </w:p>
    <w:p>
      <w:pPr>
        <w:pStyle w:val="TextBody"/>
        <w:bidi w:val="0"/>
        <w:spacing w:before="0" w:after="0"/>
        <w:ind w:left="0" w:right="0" w:hanging="1857"/>
        <w:jc w:val="left"/>
        <w:rPr/>
      </w:pPr>
      <w:r>
        <w:rPr/>
      </w:r>
    </w:p>
    <w:p>
      <w:pPr>
        <w:pStyle w:val="TextBody"/>
        <w:bidi w:val="0"/>
        <w:spacing w:lineRule="auto" w:line="268" w:before="0" w:after="0"/>
        <w:ind w:left="0" w:right="0" w:hanging="1857"/>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ind w:left="0" w:right="0" w:hanging="1857"/>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Change Order does not change the basis of design for the feed gas composition for which the Facility is designed as defined in Attachment A, Schedule A-2, Section 7.4.1 Table 3: Feed Gas Composition.</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The Work implemented under this Change Order will result in a reduction to certain margins within the existing Train design. This includes, but is not limited to a) reduction in instrument air system margins due to addition of instrument air users, and b) spare capacity of the electrical and control systems such as spare I/O. This Change Order excludes changes to restore margins eroded by this change. Notwithstanding the requirements of section 6.2A, section 6.4 and section 6.8(b) of the Agreement and subject to the requirements of section 6.10, should it be determined, in Contractor’s reasonable opinion, that the cumulative impact of Change Orders result in a material reduction of those margins, then Owner and Contractor shall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mutually determine to execute either a technical deviation for such reduction in margin or a separate Change Order to restore such margins.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Contractor specifically excludes any Warranties or guarantees that implementation of the fuel gas system updates into the Facility as described in the Change section above will have the outcome that Owner intends with respect to enabling the combustion of higher nitrogen fuels, or mitigating risk of future changes to the fuel gas system.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Change Order does not include any re-rating by Baker Hughes and/or the Licensors; if any assessments are subsequently required by Owner those shall be subject to a separate Change Order.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Notwithstanding the requirements of section 6.2A, 6.4 and section 6.8(b) of the Agreement and subject to the requirements of section 6.10, if the scope performed under this Change Order delays the commencement, prosecution or completion of the Work, Contractor shall be entitled to a separate Change Order for adjustment to the Key Dates, if such delay affects the performance of any Work that is on the critical path of the Monthly Updated CPM Schedule.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Attachments supporting this Change Order: N/A</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698,855,810 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9,357,135,810 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29,119,000 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9,386,254,810 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EC00235_SC0142 will be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incorporated in Change Order EC00282 _SC0149 to be executed in 1Q-2026.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EC00235_SC0142 will be incorporated in Change Order EC00282_SC0149 to be executed in 1Q-2026.</w:t>
      </w:r>
    </w:p>
    <w:p>
      <w:pPr>
        <w:pStyle w:val="TextBody"/>
        <w:bidi w:val="0"/>
        <w:spacing w:before="0" w:after="0"/>
        <w:jc w:val="left"/>
        <w:rPr/>
      </w:pPr>
      <w:r>
        <w:rPr/>
      </w:r>
    </w:p>
    <w:p>
      <w:pPr>
        <w:pStyle w:val="TextBody"/>
        <w:bidi w:val="0"/>
        <w:spacing w:lineRule="auto" w:line="489" w:before="0" w:after="0"/>
        <w:jc w:val="left"/>
        <w:rPr/>
      </w:pPr>
      <w:r>
        <w:rPr>
          <w:rFonts w:ascii="Times New Roman;serif" w:hAnsi="Times New Roman;serif"/>
          <w:b/>
          <w:color w:val="000000"/>
          <w:sz w:val="20"/>
        </w:rPr>
        <w:t xml:space="preserve">Impact on Minimum Acceptance Criteria: </w:t>
      </w:r>
      <w:r>
        <w:rPr>
          <w:rFonts w:ascii="Times New Roman;serif" w:hAnsi="Times New Roman;serif"/>
          <w:b w:val="false"/>
          <w:color w:val="000000"/>
          <w:sz w:val="20"/>
        </w:rPr>
        <w:t>N/A</w:t>
      </w:r>
      <w:r>
        <w:rPr>
          <w:color w:val="000000"/>
        </w:rPr>
        <w:t xml:space="preserve"> </w:t>
      </w:r>
    </w:p>
    <w:p>
      <w:pPr>
        <w:pStyle w:val="TextBody"/>
        <w:bidi w:val="0"/>
        <w:spacing w:lineRule="auto" w:line="489" w:before="0" w:after="0"/>
        <w:jc w:val="left"/>
        <w:rPr/>
      </w:pPr>
      <w:r>
        <w:rPr>
          <w:rFonts w:ascii="Times New Roman;serif" w:hAnsi="Times New Roman;serif"/>
          <w:b/>
          <w:color w:val="000000"/>
          <w:sz w:val="20"/>
        </w:rPr>
        <w:t xml:space="preserve">Impact on Performance Guarantees: </w:t>
      </w:r>
      <w:r>
        <w:rPr>
          <w:rFonts w:ascii="Times New Roman;serif" w:hAnsi="Times New Roman;serif"/>
          <w:b w:val="false"/>
          <w:color w:val="000000"/>
          <w:sz w:val="20"/>
        </w:rPr>
        <w:t xml:space="preserve">N/A </w:t>
      </w:r>
    </w:p>
    <w:p>
      <w:pPr>
        <w:pStyle w:val="TextBody"/>
        <w:bidi w:val="0"/>
        <w:spacing w:lineRule="auto" w:line="489"/>
        <w:jc w:val="left"/>
        <w:rPr/>
      </w:pPr>
      <w:r>
        <w:rPr>
          <w:rFonts w:ascii="Times New Roman;serif" w:hAnsi="Times New Roman;serif"/>
          <w:b/>
          <w:color w:val="000000"/>
          <w:sz w:val="20"/>
        </w:rPr>
        <w:t xml:space="preserve">Impact on Basis of Design: </w:t>
      </w:r>
      <w:r>
        <w:rPr>
          <w:rFonts w:ascii="Times New Roman;serif" w:hAnsi="Times New Roman;serif"/>
          <w:b w:val="false"/>
          <w:color w:val="000000"/>
          <w:sz w:val="20"/>
        </w:rPr>
        <w:t>N/A</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7" w:before="0" w:after="0"/>
        <w:jc w:val="both"/>
        <w:rPr/>
      </w:pPr>
      <w:r>
        <w:rPr>
          <w:rFonts w:ascii="Times New Roman;serif" w:hAnsi="Times New Roman;serif"/>
          <w:b/>
          <w:color w:val="000000"/>
          <w:sz w:val="20"/>
        </w:rPr>
        <w:t xml:space="preserve">Impact on the Total Reimbursement Amount: </w:t>
      </w:r>
      <w:r>
        <w:rPr>
          <w:rFonts w:ascii="Times New Roman;serif" w:hAnsi="Times New Roman;serif"/>
          <w:b w:val="false"/>
          <w:color w:val="000000"/>
          <w:sz w:val="20"/>
        </w:rPr>
        <w:t>Will be assessed prior to Substantial Completion of Train 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Any other impacts to obligation or potential liability of Contractor or Owner under the EPC Agreement: 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subject to exceptions herein: Initials: </w:t>
      </w:r>
      <w:r>
        <w:rPr>
          <w:rFonts w:ascii="Times New Roman;serif" w:hAnsi="Times New Roman;serif"/>
          <w:b w:val="false"/>
          <w:color w:val="000000"/>
          <w:sz w:val="20"/>
          <w:u w:val="single"/>
        </w:rPr>
        <w:t>SFO</w:t>
      </w:r>
      <w:r>
        <w:rPr>
          <w:color w:val="000000"/>
        </w:rPr>
        <w:t xml:space="preserve">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firstLine="270"/>
        <w:jc w:val="both"/>
        <w:rPr/>
      </w:pPr>
      <w:r>
        <w:rPr/>
      </w:r>
    </w:p>
    <w:p>
      <w:pPr>
        <w:pStyle w:val="TextBody"/>
        <w:bidi w:val="0"/>
        <w:spacing w:lineRule="auto" w:line="268" w:before="0" w:after="0"/>
        <w:jc w:val="both"/>
        <w:rPr/>
      </w:pPr>
      <w:r>
        <w:rPr>
          <w:rFonts w:ascii="Times New Roman;serif" w:hAnsi="Times New Roman;serif"/>
          <w:b w:val="false"/>
          <w:color w:val="000000"/>
          <w:sz w:val="22"/>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be deemed to compensate Contractor fully for such change, subject to the below: </w:t>
      </w:r>
    </w:p>
    <w:p>
      <w:pPr>
        <w:pStyle w:val="TextBody"/>
        <w:bidi w:val="0"/>
        <w:spacing w:lineRule="auto" w:line="268"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10,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CHANGE ORDER</w:t>
      </w:r>
    </w:p>
    <w:tbl>
      <w:tblPr>
        <w:tblW w:w="10205" w:type="dxa"/>
        <w:jc w:val="center"/>
        <w:tblInd w:w="0" w:type="dxa"/>
        <w:tblLayout w:type="fixed"/>
        <w:tblCellMar>
          <w:top w:w="28" w:type="dxa"/>
          <w:left w:w="28" w:type="dxa"/>
          <w:bottom w:w="28" w:type="dxa"/>
          <w:right w:w="28" w:type="dxa"/>
        </w:tblCellMar>
      </w:tblPr>
      <w:tblGrid>
        <w:gridCol w:w="2373"/>
        <w:gridCol w:w="2009"/>
        <w:gridCol w:w="2015"/>
        <w:gridCol w:w="109"/>
        <w:gridCol w:w="109"/>
        <w:gridCol w:w="109"/>
        <w:gridCol w:w="1018"/>
        <w:gridCol w:w="1018"/>
        <w:gridCol w:w="1445"/>
      </w:tblGrid>
      <w:tr>
        <w:trPr/>
        <w:tc>
          <w:tcPr>
            <w:tcW w:w="237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14, 2022</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EC00282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SC0149</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93" w:type="dxa"/>
        <w:jc w:val="left"/>
        <w:tblInd w:w="0" w:type="dxa"/>
        <w:tblLayout w:type="fixed"/>
        <w:tblCellMar>
          <w:top w:w="28" w:type="dxa"/>
          <w:left w:w="28" w:type="dxa"/>
          <w:bottom w:w="28" w:type="dxa"/>
          <w:right w:w="28" w:type="dxa"/>
        </w:tblCellMar>
      </w:tblPr>
      <w:tblGrid>
        <w:gridCol w:w="468"/>
        <w:gridCol w:w="411"/>
        <w:gridCol w:w="411"/>
        <w:gridCol w:w="411"/>
        <w:gridCol w:w="411"/>
        <w:gridCol w:w="411"/>
        <w:gridCol w:w="411"/>
        <w:gridCol w:w="411"/>
        <w:gridCol w:w="411"/>
        <w:gridCol w:w="411"/>
        <w:gridCol w:w="411"/>
        <w:gridCol w:w="411"/>
        <w:gridCol w:w="411"/>
        <w:gridCol w:w="411"/>
        <w:gridCol w:w="582"/>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3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ATTACHMENT C – UPDATE FOR Q1 2026 CHANGE ORDERS</w:t>
            </w:r>
          </w:p>
        </w:tc>
      </w:tr>
    </w:tbl>
    <w:p>
      <w:pPr>
        <w:pStyle w:val="TextBody"/>
        <w:bidi w:val="0"/>
        <w:spacing w:before="0" w:after="0"/>
        <w:ind w:left="0" w:right="0" w:hanging="1"/>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Owner and Contractor executed Change Orders to the Agreement that deferred the changes to Attachment C. The changes to Attachment C from each of the Change Orders listed in Table 1 (Previously Executed Change Orders Requiring Incorporation into Attachment C) are to be incorporated into Attachment C as provided for in this Change Order EC00282_SC0149.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Table 1 – Previously Executed Change Orders Requiring Incorporation into Attachment 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w:t>
      </w:r>
    </w:p>
    <w:p>
      <w:pPr>
        <w:pStyle w:val="TextBody"/>
        <w:bidi w:val="0"/>
        <w:spacing w:before="0" w:after="0"/>
        <w:ind w:left="0" w:right="0" w:firstLine="359"/>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The EPC Agreement between the Parties listed above is changed as follows: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u w:val="single"/>
        </w:rPr>
        <w:t>First Amended Attachment C, First Amended Appendix 1 (Contract Price Breakdown)</w:t>
      </w:r>
      <w:r>
        <w:rPr>
          <w:color w:val="000000"/>
        </w:rPr>
        <w:t xml:space="preserve"> – </w:t>
      </w:r>
      <w:r>
        <w:rPr>
          <w:rFonts w:ascii="Times New Roman;serif" w:hAnsi="Times New Roman;serif"/>
          <w:b w:val="false"/>
          <w:color w:val="000000"/>
          <w:sz w:val="20"/>
        </w:rPr>
        <w:t>This appendix shall be updated per the Appendix 1 (Contract Price Breakdown) as provided in Attachment 1 to this Change Order.</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u w:val="single"/>
        </w:rPr>
        <w:t>First Amended Attachment C, First Amended Schedule C-2 (Payment Milestones)</w:t>
      </w:r>
      <w:r>
        <w:rPr>
          <w:color w:val="000000"/>
        </w:rPr>
        <w:t xml:space="preserve"> – </w:t>
      </w:r>
      <w:r>
        <w:rPr>
          <w:rFonts w:ascii="Times New Roman;serif" w:hAnsi="Times New Roman;serif"/>
          <w:b w:val="false"/>
          <w:color w:val="000000"/>
          <w:sz w:val="20"/>
        </w:rPr>
        <w:t>This schedule shall be updated per the Schedule C-2 (Payment Milestones) as provided in Attachment 2 to this Change Order.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u w:val="single"/>
        </w:rPr>
        <w:t>First Amended Attachment C, First Amended Schedule C-3 (Maximum Cumulative Payment</w:t>
      </w:r>
      <w:r>
        <w:rPr>
          <w:color w:val="000000"/>
        </w:rPr>
        <w:t xml:space="preserve"> </w:t>
      </w:r>
      <w:r>
        <w:rPr>
          <w:rFonts w:ascii="Times New Roman;serif" w:hAnsi="Times New Roman;serif"/>
          <w:b/>
          <w:color w:val="000000"/>
          <w:sz w:val="20"/>
          <w:u w:val="single"/>
        </w:rPr>
        <w:t>Schedule)</w:t>
      </w:r>
      <w:r>
        <w:rPr>
          <w:color w:val="000000"/>
        </w:rPr>
        <w:t xml:space="preserve"> – </w:t>
      </w:r>
      <w:r>
        <w:rPr>
          <w:rFonts w:ascii="Times New Roman;serif" w:hAnsi="Times New Roman;serif"/>
          <w:b w:val="false"/>
          <w:color w:val="000000"/>
          <w:sz w:val="20"/>
        </w:rPr>
        <w:t>This schedule shall be updated per the Schedule C-3 (Maximum Cumulative Payment Schedule) as provided in Attachment 3 to this Change 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Attachments to support this Change Order: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Attachment 1 – First Amended Appendix 1 (Contract Price Breakdown), as updated by this Change Order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2 – First Amended Schedule C-2 (Payment Milestones), as updated by this Change Order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3 – First Amended Schedule C-3 (Maximum Cumulative Payment Schedule), as updated by this Change Order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915"/>
        <w:gridCol w:w="905"/>
        <w:gridCol w:w="905"/>
        <w:gridCol w:w="905"/>
        <w:gridCol w:w="905"/>
        <w:gridCol w:w="905"/>
        <w:gridCol w:w="905"/>
        <w:gridCol w:w="905"/>
        <w:gridCol w:w="905"/>
        <w:gridCol w:w="211"/>
        <w:gridCol w:w="133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8,658,280,000 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727,974,810 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9,386,254,810 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 xml:space="preserve">unchanged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9,386,254,810 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Key Dates are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76"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Impact to other Changed Criteria: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Schedule C-2 (Payment Milestones) is updated as provided in Attachment 2. </w:t>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Schedule C-3 (Maximum Cumulative Payment Schedule) is updated as provided in Attachment 3.</w:t>
      </w:r>
    </w:p>
    <w:p>
      <w:pPr>
        <w:pStyle w:val="TextBody"/>
        <w:bidi w:val="0"/>
        <w:spacing w:before="0" w:after="0"/>
        <w:jc w:val="left"/>
        <w:rPr/>
      </w:pPr>
      <w:r>
        <w:rPr/>
      </w:r>
    </w:p>
    <w:p>
      <w:pPr>
        <w:pStyle w:val="TextBody"/>
        <w:bidi w:val="0"/>
        <w:spacing w:lineRule="auto" w:line="489" w:before="0" w:after="0"/>
        <w:jc w:val="left"/>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Basis of Design:</w:t>
      </w:r>
      <w:r>
        <w:rPr>
          <w:color w:val="000000"/>
        </w:rPr>
        <w:t xml:space="preserve"> </w:t>
      </w:r>
      <w:r>
        <w:rPr>
          <w:rFonts w:ascii="Times New Roman;serif" w:hAnsi="Times New Roman;serif"/>
          <w:b w:val="false"/>
          <w:color w:val="000000"/>
          <w:sz w:val="20"/>
        </w:rPr>
        <w:t>N/A</w:t>
      </w:r>
    </w:p>
    <w:p>
      <w:pPr>
        <w:pStyle w:val="TextBody"/>
        <w:bidi w:val="0"/>
        <w:spacing w:lineRule="auto" w:line="244" w:before="0" w:after="0"/>
        <w:jc w:val="left"/>
        <w:rPr/>
      </w:pPr>
      <w:r>
        <w:rPr>
          <w:rFonts w:ascii="Times New Roman;serif" w:hAnsi="Times New Roman;serif"/>
          <w:b/>
          <w:color w:val="000000"/>
          <w:sz w:val="20"/>
        </w:rPr>
        <w:t>Impact on the Total Reimbursement Amount</w:t>
      </w:r>
      <w:r>
        <w:rPr>
          <w:rFonts w:ascii="Times New Roman;serif" w:hAnsi="Times New Roman;serif"/>
          <w:b w:val="false"/>
          <w:color w:val="000000"/>
          <w:sz w:val="20"/>
        </w:rPr>
        <w:t>: 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EPC Agreement: </w:t>
      </w:r>
      <w:r>
        <w:rPr>
          <w:rFonts w:ascii="Times New Roman;serif" w:hAnsi="Times New Roman;serif"/>
          <w:b/>
          <w:color w:val="000000"/>
          <w:sz w:val="20"/>
        </w:rPr>
        <w:t>N/A</w:t>
      </w:r>
    </w:p>
    <w:p>
      <w:pPr>
        <w:pStyle w:val="TextBody"/>
        <w:bidi w:val="0"/>
        <w:spacing w:before="0" w:after="0"/>
        <w:ind w:left="0" w:right="0" w:firstLine="361"/>
        <w:jc w:val="left"/>
        <w:rPr/>
      </w:pPr>
      <w:r>
        <w:rPr/>
      </w:r>
    </w:p>
    <w:p>
      <w:pPr>
        <w:pStyle w:val="TextBody"/>
        <w:bidi w:val="0"/>
        <w:spacing w:lineRule="auto" w:line="268" w:before="0" w:after="0"/>
        <w:ind w:left="0" w:right="0" w:hanging="450"/>
        <w:jc w:val="left"/>
        <w:rPr/>
      </w:pPr>
      <w:r>
        <w:rPr>
          <w:rFonts w:ascii="Times New Roman;serif" w:hAnsi="Times New Roman;serif"/>
          <w:b w:val="false"/>
          <w:color w:val="000000"/>
          <w:sz w:val="20"/>
        </w:rPr>
        <w:t xml:space="preserve">[A]This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68" w:before="0" w:after="0"/>
        <w:ind w:left="0" w:right="0" w:hanging="450"/>
        <w:jc w:val="both"/>
        <w:rPr/>
      </w:pPr>
      <w:r>
        <w:rPr>
          <w:rFonts w:ascii="Times New Roman;serif" w:hAnsi="Times New Roman;serif"/>
          <w:b w:val="false"/>
          <w:strike/>
          <w:color w:val="000000"/>
          <w:sz w:val="22"/>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 xml:space="preserve">and accord and satisfaction of all effects of the change reflected in this Change Order upon the Change Criteria and </w:t>
      </w:r>
      <w:r>
        <w:rPr>
          <w:rFonts w:ascii="Times New Roman;serif" w:hAnsi="Times New Roman;serif"/>
          <w:b/>
          <w:strike/>
          <w:color w:val="000000"/>
          <w:sz w:val="20"/>
        </w:rPr>
        <w:t>shall</w:t>
      </w:r>
      <w:r>
        <w:rPr>
          <w:strike/>
          <w:color w:val="000000"/>
        </w:rPr>
        <w:t xml:space="preserve"> </w:t>
      </w:r>
      <w:r>
        <w:rPr>
          <w:rFonts w:ascii="Times New Roman;serif" w:hAnsi="Times New Roman;serif"/>
          <w:b/>
          <w:strike/>
          <w:color w:val="000000"/>
          <w:sz w:val="20"/>
        </w:rPr>
        <w:t>not</w:t>
      </w:r>
      <w:r>
        <w:rPr>
          <w:strike/>
          <w:color w:val="000000"/>
        </w:rPr>
        <w:t xml:space="preserve"> </w:t>
      </w:r>
      <w:r>
        <w:rPr>
          <w:rFonts w:ascii="Times New Roman;serif" w:hAnsi="Times New Roman;serif"/>
          <w:b w:val="false"/>
          <w:strike/>
          <w:color w:val="000000"/>
          <w:sz w:val="20"/>
        </w:rPr>
        <w:t>be deemed to compensate Contractor fully for such change. Initials: Contractor Owner</w:t>
      </w:r>
    </w:p>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73"/>
        <w:gridCol w:w="2009"/>
        <w:gridCol w:w="2015"/>
        <w:gridCol w:w="109"/>
        <w:gridCol w:w="109"/>
        <w:gridCol w:w="109"/>
        <w:gridCol w:w="1018"/>
        <w:gridCol w:w="1018"/>
        <w:gridCol w:w="1445"/>
      </w:tblGrid>
      <w:tr>
        <w:trPr/>
        <w:tc>
          <w:tcPr>
            <w:tcW w:w="237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14, 2022</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EC00287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SC0156</w:t>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95" w:type="dxa"/>
        <w:jc w:val="left"/>
        <w:tblInd w:w="0" w:type="dxa"/>
        <w:tblLayout w:type="fixed"/>
        <w:tblCellMar>
          <w:top w:w="28" w:type="dxa"/>
          <w:left w:w="28" w:type="dxa"/>
          <w:bottom w:w="28" w:type="dxa"/>
          <w:right w:w="28" w:type="dxa"/>
        </w:tblCellMar>
      </w:tblPr>
      <w:tblGrid>
        <w:gridCol w:w="466"/>
        <w:gridCol w:w="408"/>
        <w:gridCol w:w="408"/>
        <w:gridCol w:w="408"/>
        <w:gridCol w:w="408"/>
        <w:gridCol w:w="408"/>
        <w:gridCol w:w="408"/>
        <w:gridCol w:w="408"/>
        <w:gridCol w:w="408"/>
        <w:gridCol w:w="408"/>
        <w:gridCol w:w="408"/>
        <w:gridCol w:w="408"/>
        <w:gridCol w:w="408"/>
        <w:gridCol w:w="408"/>
        <w:gridCol w:w="625"/>
      </w:tblGrid>
      <w:tr>
        <w:trPr/>
        <w:tc>
          <w:tcPr>
            <w:tcW w:w="46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63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SULPHUR EMISSIONS – BASIS OF DESIGN MODIFICATIONS</w:t>
            </w:r>
          </w:p>
        </w:tc>
      </w:tr>
    </w:tbl>
    <w:p>
      <w:pPr>
        <w:pStyle w:val="TextBody"/>
        <w:bidi w:val="0"/>
        <w:spacing w:lineRule="auto" w:line="268" w:before="0" w:after="0"/>
        <w:ind w:left="0" w:right="0" w:hanging="1"/>
        <w:jc w:val="left"/>
        <w:rPr>
          <w:rFonts w:ascii="Times New Roman;serif" w:hAnsi="Times New Roman;serif"/>
          <w:b/>
          <w:color w:val="000000"/>
          <w:sz w:val="20"/>
        </w:rPr>
      </w:pPr>
      <w:r>
        <w:rPr>
          <w:rFonts w:ascii="Times New Roman;serif" w:hAnsi="Times New Roman;serif"/>
          <w:b/>
          <w:color w:val="000000"/>
          <w:sz w:val="20"/>
        </w:rPr>
        <w:t xml:space="preserve">The EPC Agreement between the Parties listed above is changed as follows: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basis for the sulphur (SO2) emissions per the TCEQ Air Permit No. 140792 (dated November 13, 2020) (“2020 TCEQ Permit”) differs from that in the Agreement’s Attachment A, Schedule A-2 (Basis of Design). Owner and Contractor have aligned on the SO2 emissions’ calculation via RFI No. 26251-100-GRI-GAM-00061 /RG-BL-NTD-PEM-RFI-00108.</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u w:val="single"/>
        </w:rPr>
        <w:t>CHANGE</w:t>
      </w:r>
      <w:r>
        <w:rPr>
          <w:rFonts w:ascii="Times New Roman;serif" w:hAnsi="Times New Roman;serif"/>
          <w:b/>
          <w:color w:val="000000"/>
          <w:sz w:val="20"/>
        </w:rPr>
        <w:t xml:space="preserve">: </w:t>
      </w:r>
      <w:r>
        <w:rPr>
          <w:rFonts w:ascii="Times New Roman;serif" w:hAnsi="Times New Roman;serif"/>
          <w:b w:val="false"/>
          <w:color w:val="000000"/>
          <w:sz w:val="20"/>
        </w:rPr>
        <w:t>Attachment A, Schedule A-2 (Basis of Design), section 8.2 (Acid Gas Removal (Unit 11)) shall be modified per the red-line mark-up as provided in Attachment 1 to this Change Order.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Attachments supporting this Change Order: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Attachment 1 – Attachment A, Schedule A-2, Section 8.2 (Acid Gas Removal (Unit 11)) – Redline mark-up</w:t>
      </w:r>
    </w:p>
    <w:p>
      <w:pPr>
        <w:pStyle w:val="TextBody"/>
        <w:bidi w:val="0"/>
        <w:spacing w:before="0" w:after="0"/>
        <w:ind w:left="0" w:right="0" w:firstLine="719"/>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5"/>
        <w:gridCol w:w="905"/>
        <w:gridCol w:w="905"/>
        <w:gridCol w:w="905"/>
        <w:gridCol w:w="905"/>
        <w:gridCol w:w="905"/>
        <w:gridCol w:w="905"/>
        <w:gridCol w:w="905"/>
        <w:gridCol w:w="905"/>
        <w:gridCol w:w="211"/>
        <w:gridCol w:w="133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8,658,280,000 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727,974,810 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9,386,254,810 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9,386,254,810 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Impact on Payment Schedule (including, as applicable, Payment Milestones): N/A </w:t>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 N/A</w:t>
      </w:r>
    </w:p>
    <w:p>
      <w:pPr>
        <w:pStyle w:val="TextBody"/>
        <w:bidi w:val="0"/>
        <w:spacing w:lineRule="auto" w:line="273" w:before="0" w:after="0"/>
        <w:jc w:val="both"/>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on Performance Guarantees: </w:t>
      </w:r>
      <w:r>
        <w:rPr>
          <w:rFonts w:ascii="Times New Roman;serif" w:hAnsi="Times New Roman;serif"/>
          <w:b w:val="false"/>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on Basis of Design: </w:t>
      </w:r>
      <w:r>
        <w:rPr>
          <w:rFonts w:ascii="Times New Roman;serif" w:hAnsi="Times New Roman;serif"/>
          <w:b w:val="false"/>
          <w:color w:val="000000"/>
          <w:sz w:val="20"/>
        </w:rPr>
        <w:t>Yes, refer to Schedule A-2, section 8.2 as redlined in Attachment 1 hereto.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Impact on the Total Reimbursement Amount:</w:t>
      </w:r>
      <w:r>
        <w:rPr>
          <w:color w:val="000000"/>
        </w:rPr>
        <w:t xml:space="preserve"> </w:t>
      </w:r>
      <w:r>
        <w:rPr>
          <w:rFonts w:ascii="Times New Roman;serif" w:hAnsi="Times New Roman;serif"/>
          <w:b w:val="false"/>
          <w:color w:val="000000"/>
          <w:sz w:val="20"/>
        </w:rPr>
        <w:t>N/A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Any other impacts to obligation or potential liability of Contractor or Owner under the EPC Agreement: N/A</w:t>
      </w:r>
    </w:p>
    <w:p>
      <w:pPr>
        <w:pStyle w:val="TextBody"/>
        <w:bidi w:val="0"/>
        <w:spacing w:before="0" w:after="0"/>
        <w:jc w:val="both"/>
        <w:rPr/>
      </w:pPr>
      <w:r>
        <w:rPr/>
      </w:r>
    </w:p>
    <w:p>
      <w:pPr>
        <w:pStyle w:val="TextBody"/>
        <w:bidi w:val="0"/>
        <w:spacing w:lineRule="auto" w:line="268" w:before="0" w:after="0"/>
        <w:ind w:left="0" w:right="0" w:hanging="450"/>
        <w:jc w:val="left"/>
        <w:rPr/>
      </w:pPr>
      <w:r>
        <w:rPr>
          <w:rFonts w:ascii="Times New Roman;serif" w:hAnsi="Times New Roman;serif"/>
          <w:b w:val="false"/>
          <w:color w:val="000000"/>
          <w:sz w:val="20"/>
        </w:rPr>
        <w:t xml:space="preserve">[A]This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SFO Contractor </w:t>
      </w:r>
      <w:r>
        <w:rPr>
          <w:rFonts w:ascii="Times New Roman;serif" w:hAnsi="Times New Roman;serif"/>
          <w:b w:val="false"/>
          <w:color w:val="000000"/>
          <w:sz w:val="20"/>
          <w:u w:val="single"/>
        </w:rPr>
        <w:t>AT</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68" w:before="0" w:after="0"/>
        <w:ind w:left="0" w:right="0" w:hanging="450"/>
        <w:jc w:val="both"/>
        <w:rPr/>
      </w:pPr>
      <w:r>
        <w:rPr>
          <w:rFonts w:ascii="Times New Roman;serif" w:hAnsi="Times New Roman;serif"/>
          <w:b w:val="false"/>
          <w:strike/>
          <w:color w:val="000000"/>
          <w:sz w:val="22"/>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be deemed to compensate Contractor fully for such change, subject to the below: </w:t>
      </w:r>
    </w:p>
    <w:p>
      <w:pPr>
        <w:pStyle w:val="TextBody"/>
        <w:bidi w:val="0"/>
        <w:spacing w:lineRule="auto" w:line="276"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10.4</w:t>
      </w:r>
    </w:p>
    <w:p>
      <w:pPr>
        <w:pStyle w:val="TextBody"/>
        <w:bidi w:val="0"/>
        <w:spacing w:before="62" w:after="283"/>
        <w:jc w:val="center"/>
        <w:rPr/>
      </w:pPr>
      <w:r>
        <w:rPr/>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pStyle w:val="TextBody"/>
        <w:bidi w:val="0"/>
        <w:spacing w:before="69" w:after="283"/>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CHANGE ORDER</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09"/>
        <w:gridCol w:w="1972"/>
        <w:gridCol w:w="1977"/>
        <w:gridCol w:w="109"/>
        <w:gridCol w:w="109"/>
        <w:gridCol w:w="109"/>
        <w:gridCol w:w="1059"/>
        <w:gridCol w:w="1059"/>
        <w:gridCol w:w="1502"/>
      </w:tblGrid>
      <w:tr>
        <w:trPr/>
        <w:tc>
          <w:tcPr>
            <w:tcW w:w="230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15, 2022</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EC00274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SCT3067</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06, 2026</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7589" w:type="dxa"/>
        <w:jc w:val="left"/>
        <w:tblInd w:w="0" w:type="dxa"/>
        <w:tblLayout w:type="fixed"/>
        <w:tblCellMar>
          <w:top w:w="28" w:type="dxa"/>
          <w:left w:w="28" w:type="dxa"/>
          <w:bottom w:w="28" w:type="dxa"/>
          <w:right w:w="28" w:type="dxa"/>
        </w:tblCellMar>
      </w:tblPr>
      <w:tblGrid>
        <w:gridCol w:w="2425"/>
        <w:gridCol w:w="2131"/>
        <w:gridCol w:w="3033"/>
      </w:tblGrid>
      <w:tr>
        <w:trPr/>
        <w:tc>
          <w:tcPr>
            <w:tcW w:w="2425"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ATTACHMENT KK CURRENT INDEX VALUE UPDATES FOR Q4-2025 (T3)</w:t>
            </w:r>
          </w:p>
        </w:tc>
      </w:tr>
    </w:tbl>
    <w:p>
      <w:pPr>
        <w:pStyle w:val="TextBody"/>
        <w:bidi w:val="0"/>
        <w:spacing w:lineRule="auto" w:line="268" w:before="0" w:after="0"/>
        <w:jc w:val="both"/>
        <w:rPr/>
      </w:pPr>
      <w:r>
        <w:rPr>
          <w:rFonts w:ascii="Times New Roman;serif" w:hAnsi="Times New Roman;serif"/>
          <w:b/>
          <w:color w:val="000000"/>
          <w:sz w:val="20"/>
        </w:rPr>
        <w:t xml:space="preserve">The EPC Agreement between the Parties listed above is changed as follows: </w:t>
      </w:r>
      <w:r>
        <w:rPr>
          <w:rFonts w:ascii="Times New Roman;serif" w:hAnsi="Times New Roman;serif"/>
          <w:b w:val="false"/>
          <w:i/>
          <w:color w:val="000000"/>
          <w:sz w:val="20"/>
        </w:rPr>
        <w:t>(attach additional documentation if necessary)</w:t>
      </w:r>
    </w:p>
    <w:p>
      <w:pPr>
        <w:pStyle w:val="TextBody"/>
        <w:bidi w:val="0"/>
        <w:spacing w:before="0" w:after="0"/>
        <w:jc w:val="both"/>
        <w:rPr/>
      </w:pPr>
      <w:r>
        <w:rPr/>
      </w:r>
    </w:p>
    <w:p>
      <w:pPr>
        <w:pStyle w:val="TextBody"/>
        <w:bidi w:val="0"/>
        <w:spacing w:lineRule="auto" w:line="415" w:before="0" w:after="0"/>
        <w:jc w:val="left"/>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Section 1.2 of First Amended Attachment KK, the Contract Price will be adjusted quarterly to reflect the cumulative amount of Rise and Fall for the commodities listed in the First Amended Appendix 1 (Commodity Price Rise and Fall Payment Calculations). The commodities as listed in First Amended Appendix 1 (Commodity Price Rise and Fall Payment Calculation) which are subject to Rise and Fall during the Transaction Period of Q4-2025 are: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WIRE AND CABLE (COPPER)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CONSTRUCTION FUEL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CHANGE</w:t>
      </w:r>
    </w:p>
    <w:p>
      <w:pPr>
        <w:pStyle w:val="TextBody"/>
        <w:bidi w:val="0"/>
        <w:spacing w:before="0" w:after="0"/>
        <w:ind w:left="0" w:right="0" w:firstLine="36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u w:val="single"/>
        </w:rPr>
        <w:t>First Amended Attachment KK, First Amended Appendix 1 (Commodity Price Rise and Fall Payment</w:t>
      </w:r>
      <w:r>
        <w:rPr>
          <w:color w:val="000000"/>
        </w:rPr>
        <w:t xml:space="preserve"> </w:t>
      </w:r>
      <w:r>
        <w:rPr>
          <w:rFonts w:ascii="Times New Roman;serif" w:hAnsi="Times New Roman;serif"/>
          <w:b/>
          <w:color w:val="000000"/>
          <w:sz w:val="20"/>
          <w:u w:val="single"/>
        </w:rPr>
        <w:t>Calculation)</w:t>
      </w:r>
      <w:r>
        <w:rPr>
          <w:color w:val="000000"/>
        </w:rPr>
        <w:t xml:space="preserve"> </w:t>
      </w:r>
      <w:r>
        <w:rPr>
          <w:rFonts w:ascii="Times New Roman;serif" w:hAnsi="Times New Roman;serif"/>
          <w:b w:val="false"/>
          <w:color w:val="000000"/>
          <w:sz w:val="20"/>
        </w:rPr>
        <w:t>shall be updated per the First Amended Appendix 1 (Commodity Price Rise and Fall Calculation) as provided in Attachment 1 to this Change Order.</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Attachments: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Attachment 1 – First Amended Attachment KK, First Amended Appendix 1 (Commodity Price Rise and Fall Payment Calculation), as updated by this Change Order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Attachment 2 – Contract Price Adjustment Calculation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3,042,334,000 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160,070,923 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3,202,404,923 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147,156 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3,202,552,079 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EC00274_SCT3067 will be incorporated in Change Order EC00283_SCT3066 to be executed in 1Q-2026.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EC00274_SCT3067 will be incorporated in Change Order EC00283_SCT3066 to be executed in 1Q-2026.</w:t>
      </w:r>
    </w:p>
    <w:p>
      <w:pPr>
        <w:pStyle w:val="TextBody"/>
        <w:bidi w:val="0"/>
        <w:spacing w:before="0" w:after="0"/>
        <w:jc w:val="left"/>
        <w:rPr/>
      </w:pPr>
      <w:r>
        <w:rPr/>
      </w:r>
    </w:p>
    <w:p>
      <w:pPr>
        <w:pStyle w:val="TextBody"/>
        <w:bidi w:val="0"/>
        <w:spacing w:lineRule="auto" w:line="489" w:before="0" w:after="0"/>
        <w:jc w:val="left"/>
        <w:rPr>
          <w:rFonts w:ascii="Times New Roman;serif" w:hAnsi="Times New Roman;serif"/>
          <w:b/>
          <w:color w:val="000000"/>
          <w:sz w:val="20"/>
        </w:rPr>
      </w:pPr>
      <w:r>
        <w:rPr>
          <w:rFonts w:ascii="Times New Roman;serif" w:hAnsi="Times New Roman;serif"/>
          <w:b/>
          <w:color w:val="000000"/>
          <w:sz w:val="20"/>
        </w:rPr>
        <w:t xml:space="preserve">Impact on Minimum Acceptance Criteria: N/A </w:t>
      </w:r>
    </w:p>
    <w:p>
      <w:pPr>
        <w:pStyle w:val="TextBody"/>
        <w:bidi w:val="0"/>
        <w:spacing w:lineRule="auto" w:line="489" w:before="0" w:after="0"/>
        <w:jc w:val="left"/>
        <w:rPr>
          <w:rFonts w:ascii="Times New Roman;serif" w:hAnsi="Times New Roman;serif"/>
          <w:b/>
          <w:color w:val="000000"/>
          <w:sz w:val="20"/>
        </w:rPr>
      </w:pPr>
      <w:r>
        <w:rPr>
          <w:rFonts w:ascii="Times New Roman;serif" w:hAnsi="Times New Roman;serif"/>
          <w:b/>
          <w:color w:val="000000"/>
          <w:sz w:val="20"/>
        </w:rPr>
        <w:t xml:space="preserve">Impact on Performance Guarantees: N/A </w:t>
      </w:r>
    </w:p>
    <w:p>
      <w:pPr>
        <w:pStyle w:val="TextBody"/>
        <w:bidi w:val="0"/>
        <w:spacing w:lineRule="auto" w:line="489" w:before="0" w:after="0"/>
        <w:jc w:val="left"/>
        <w:rPr>
          <w:rFonts w:ascii="Times New Roman;serif" w:hAnsi="Times New Roman;serif"/>
          <w:b/>
          <w:color w:val="000000"/>
          <w:sz w:val="20"/>
        </w:rPr>
      </w:pPr>
      <w:r>
        <w:rPr>
          <w:rFonts w:ascii="Times New Roman;serif" w:hAnsi="Times New Roman;serif"/>
          <w:b/>
          <w:color w:val="000000"/>
          <w:sz w:val="20"/>
        </w:rPr>
        <w:t>Impact on Basis of Design: N/A</w:t>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Impact on the Total Reimbursement Amount: 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EPC Agreement: </w:t>
      </w:r>
      <w:r>
        <w:rPr>
          <w:rFonts w:ascii="Times New Roman;serif" w:hAnsi="Times New Roman;serif"/>
          <w:b/>
          <w:color w:val="000000"/>
          <w:sz w:val="20"/>
        </w:rPr>
        <w:t>N/A</w:t>
      </w:r>
    </w:p>
    <w:p>
      <w:pPr>
        <w:pStyle w:val="TextBody"/>
        <w:bidi w:val="0"/>
        <w:spacing w:before="0" w:after="0"/>
        <w:ind w:left="0" w:right="0" w:firstLine="360"/>
        <w:jc w:val="both"/>
        <w:rPr/>
      </w:pPr>
      <w:r>
        <w:rPr/>
      </w:r>
    </w:p>
    <w:p>
      <w:pPr>
        <w:pStyle w:val="TextBody"/>
        <w:bidi w:val="0"/>
        <w:spacing w:lineRule="auto" w:line="268" w:before="0" w:after="0"/>
        <w:ind w:left="0" w:right="0" w:hanging="450"/>
        <w:jc w:val="left"/>
        <w:rPr/>
      </w:pPr>
      <w:r>
        <w:rPr>
          <w:rFonts w:ascii="Times New Roman;serif" w:hAnsi="Times New Roman;serif"/>
          <w:b w:val="false"/>
          <w:color w:val="000000"/>
          <w:sz w:val="20"/>
        </w:rPr>
        <w:t xml:space="preserve">[A]This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68" w:before="0" w:after="0"/>
        <w:ind w:left="0" w:right="0" w:hanging="450"/>
        <w:jc w:val="both"/>
        <w:rPr/>
      </w:pPr>
      <w:r>
        <w:rPr>
          <w:rFonts w:ascii="Times New Roman;serif" w:hAnsi="Times New Roman;serif"/>
          <w:b w:val="false"/>
          <w:strike/>
          <w:color w:val="000000"/>
          <w:sz w:val="20"/>
        </w:rPr>
        <w:t xml:space="preserve">[B]Pursuant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be deemed to compensate Contractor fully for such change, subject to the below: </w:t>
      </w:r>
    </w:p>
    <w:p>
      <w:pPr>
        <w:pStyle w:val="TextBody"/>
        <w:bidi w:val="0"/>
        <w:spacing w:lineRule="auto" w:line="276"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09"/>
        <w:gridCol w:w="1972"/>
        <w:gridCol w:w="1977"/>
        <w:gridCol w:w="109"/>
        <w:gridCol w:w="109"/>
        <w:gridCol w:w="109"/>
        <w:gridCol w:w="1059"/>
        <w:gridCol w:w="1059"/>
        <w:gridCol w:w="1502"/>
      </w:tblGrid>
      <w:tr>
        <w:trPr/>
        <w:tc>
          <w:tcPr>
            <w:tcW w:w="230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15, 2022</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EC00237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SCT3063</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10, 2026</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97" w:type="dxa"/>
        <w:jc w:val="left"/>
        <w:tblInd w:w="0" w:type="dxa"/>
        <w:tblLayout w:type="fixed"/>
        <w:tblCellMar>
          <w:top w:w="28" w:type="dxa"/>
          <w:left w:w="28" w:type="dxa"/>
          <w:bottom w:w="28" w:type="dxa"/>
          <w:right w:w="28" w:type="dxa"/>
        </w:tblCellMar>
      </w:tblPr>
      <w:tblGrid>
        <w:gridCol w:w="480"/>
        <w:gridCol w:w="421"/>
        <w:gridCol w:w="421"/>
        <w:gridCol w:w="421"/>
        <w:gridCol w:w="421"/>
        <w:gridCol w:w="421"/>
        <w:gridCol w:w="421"/>
        <w:gridCol w:w="421"/>
        <w:gridCol w:w="421"/>
        <w:gridCol w:w="421"/>
        <w:gridCol w:w="421"/>
        <w:gridCol w:w="421"/>
        <w:gridCol w:w="421"/>
        <w:gridCol w:w="421"/>
        <w:gridCol w:w="644"/>
      </w:tblGrid>
      <w:tr>
        <w:trPr/>
        <w:tc>
          <w:tcPr>
            <w:tcW w:w="48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659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LP-HP FUEL GAS SYSTEM MODIFICATIONS - INSTALLATION</w:t>
            </w:r>
          </w:p>
        </w:tc>
      </w:tr>
    </w:tbl>
    <w:p>
      <w:pPr>
        <w:pStyle w:val="TextBody"/>
        <w:bidi w:val="0"/>
        <w:spacing w:lineRule="auto" w:line="268" w:before="0" w:after="0"/>
        <w:ind w:left="0" w:right="0" w:hanging="1"/>
        <w:jc w:val="left"/>
        <w:rPr>
          <w:rFonts w:ascii="Times New Roman;serif" w:hAnsi="Times New Roman;serif"/>
          <w:b/>
          <w:color w:val="000000"/>
          <w:sz w:val="20"/>
        </w:rPr>
      </w:pPr>
      <w:r>
        <w:rPr>
          <w:rFonts w:ascii="Times New Roman;serif" w:hAnsi="Times New Roman;serif"/>
          <w:b/>
          <w:color w:val="000000"/>
          <w:sz w:val="20"/>
        </w:rPr>
        <w:t xml:space="preserve">The EPC Agreement between the Parties listed above is changed as follows: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Owner previously executed Change Order EC00193_SCT3045 for HP Fuel Gas Heater (3E-5201). Under this Change Order, the Contractor is responsible for engineering, specifying, procuring, and delivering to site a Fuel Gas Heater.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Owner previously executed EC00191_SCT3043 for HP Fuel Gas Mixing Drum (3V-5204). Under such Change Order EC00191_SCT3043, the Contractor is responsible for all work required to engineer and specify (including mechanical and process data sheets), procure (including material requisition, purchasing, vendor print review, and resolution of technical queries), and deliver an HP Fuel Gas Mixing Drum based on two high N₂ feed gas scenarios: (a) End Flash Gas (“EFG”) system implemented, with flash gas routed to Boil-off Gas (“BOG”) Compressors and the HP fuel gas system; and (b) EFG not implemented, with rundown and flash in LNG tanks to BOG Compressors and degraded LNG production.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Change Order EC00237_SCT3063 includes installation scope and remaining procurement not included in Change Order EC00193_SCT3045 and Change Order EC00191_SCT3043 for the following:</w:t>
      </w:r>
    </w:p>
    <w:p>
      <w:pPr>
        <w:pStyle w:val="TextBody"/>
        <w:bidi w:val="0"/>
        <w:spacing w:lineRule="auto" w:line="25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1.Installation of new HP Fuel Gas Mixing Drum (3V-5204)</w:t>
      </w:r>
    </w:p>
    <w:p>
      <w:pPr>
        <w:pStyle w:val="TextBody"/>
        <w:bidi w:val="0"/>
        <w:spacing w:lineRule="auto" w:line="25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2.Installation of new HP Fuel Gas Heater (3E-5201)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Contractor shall procure the remaining equipment and materials and install HP Fuel Gas Mixing Drum (procured under Change Order EC00191_SCT3043), HP Fuel Gas Heater (procured under Change Order EC00193_SCT3045) and incorporate the LP-HP Fuel Gas System Modifications (as originally described in Change Order EC00193_SCT3045) into the Train 3 Liquefaction Facility. This scope includes upsize of PSV-520005A/B and associated piping, and also includes meeting the updated design requirements for the fuel gas system as indicated in the below marked-up Utility Design Basis – Unit 52 – Fuel Gas (26251-100-3DR-V04-52001 / RG-BL-052-PRO-DES-00001):</w:t>
      </w:r>
    </w:p>
    <w:p>
      <w:pPr>
        <w:pStyle w:val="TextBody"/>
        <w:bidi w:val="0"/>
        <w:spacing w:before="0" w:after="0"/>
        <w:ind w:left="0" w:right="0" w:hanging="777"/>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ind w:left="0" w:right="0" w:hanging="777"/>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Change Order does not change the basis of design for the feed gas composition for which the Train 3 Liquefaction Facility is designed as defined in Attachment A, Schedule A-2, Section 7.4.1 Table 3: Feed Gas Composition.</w:t>
      </w:r>
    </w:p>
    <w:p>
      <w:pPr>
        <w:pStyle w:val="TextBody"/>
        <w:bidi w:val="0"/>
        <w:spacing w:before="0" w:after="0"/>
        <w:ind w:left="0" w:right="0" w:hanging="777"/>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Work implemented under this Change Order will result in a reduction to certain margins within the existing Train design. This includes, but is not limited to a) reduction in instrument air system margins due to addition of instrument air users, and b) spare capacity of the electrical and control systems such as spare I/O. This Change Order excludes changes to restore margins eroded by this change. Notwithstanding the requirements of section 6.2A, section 6.4 and section 6.8(b) of the Agreement and subject to the requirements of section 6.10, should it be determined, in Contractor’s reasonable opinion, that the cumulative impact of Change Orders result in a material reduction of those margins, then Owner and Contractor shall mutually determine to execute either a technical deviation for such reduction in margin or a separate Change Order to restore such margins.</w:t>
      </w:r>
    </w:p>
    <w:p>
      <w:pPr>
        <w:pStyle w:val="TextBody"/>
        <w:bidi w:val="0"/>
        <w:ind w:left="0" w:right="0" w:hanging="777"/>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Contractor specifically excludes any Warranties or guarantees that implementation of the fuel gas system updates into the Train 3 Liquefaction Facility as described in the Change section above will have the outcome that Owner intends with respect to enabling the combustion of higher nitrogen fuels, or mitigating risk of future changes to the fuel gas system.</w:t>
      </w:r>
    </w:p>
    <w:p>
      <w:pPr>
        <w:pStyle w:val="TextBody"/>
        <w:bidi w:val="0"/>
        <w:spacing w:before="0" w:after="0"/>
        <w:ind w:left="0" w:right="0" w:hanging="777"/>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Change Order does not include any re-rating by Baker Hughes and/or the Licensors; if any assessments are subsequently required by Owner those shall be subject to a separate Change Order.</w:t>
      </w:r>
    </w:p>
    <w:p>
      <w:pPr>
        <w:pStyle w:val="TextBody"/>
        <w:bidi w:val="0"/>
        <w:spacing w:before="0" w:after="0"/>
        <w:ind w:left="0" w:right="0" w:hanging="777"/>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Notwithstanding the requirements of section 6.2A, 6.4 and section 6.8(b) of the Agreement and subject to the requirements of section 6.10, if the scope performed under this Change Order delays the commencement, prosecution or completion of the Work, Contractor shall be entitled to a separate Change Order for adjustment to the Key Dates, if such delay affects the performance of any Work that is on the critical path of the Monthly Updated CPM Schedule.</w:t>
      </w:r>
    </w:p>
    <w:p>
      <w:pPr>
        <w:pStyle w:val="TextBody"/>
        <w:bidi w:val="0"/>
        <w:spacing w:before="0" w:after="0"/>
        <w:ind w:left="0" w:right="0" w:hanging="777"/>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Attachments supporting this Change Order: N/A</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3,042,334,000 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160,218,079 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3,202,552,079 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8,878,500 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3,211,430,579 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52"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76"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52"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76"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52"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EC00237_SCT3063 will be incorporated in Change Order EC00283_SCT3066 to be executed in 1Q-2026.</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EC00237_SCT3063 will be incorporated in Change Order EC00283_SCT3066 to be executed in 1Q-2026.</w:t>
      </w:r>
    </w:p>
    <w:p>
      <w:pPr>
        <w:pStyle w:val="TextBody"/>
        <w:bidi w:val="0"/>
        <w:spacing w:before="0" w:after="0"/>
        <w:jc w:val="left"/>
        <w:rPr/>
      </w:pPr>
      <w:r>
        <w:rPr/>
      </w:r>
    </w:p>
    <w:p>
      <w:pPr>
        <w:pStyle w:val="TextBody"/>
        <w:bidi w:val="0"/>
        <w:spacing w:lineRule="auto" w:line="487" w:before="0" w:after="0"/>
        <w:jc w:val="left"/>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7"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7" w:before="0" w:after="0"/>
        <w:jc w:val="left"/>
        <w:rPr/>
      </w:pPr>
      <w:r>
        <w:rPr>
          <w:rFonts w:ascii="Times New Roman;serif" w:hAnsi="Times New Roman;serif"/>
          <w:b/>
          <w:color w:val="000000"/>
          <w:sz w:val="20"/>
        </w:rPr>
        <w:t>Impact on Basis of Design:</w:t>
      </w:r>
      <w:r>
        <w:rPr>
          <w:color w:val="000000"/>
        </w:rPr>
        <w:t xml:space="preserve"> </w:t>
      </w:r>
      <w:r>
        <w:rPr>
          <w:rFonts w:ascii="Times New Roman;serif" w:hAnsi="Times New Roman;serif"/>
          <w:b w:val="false"/>
          <w:color w:val="000000"/>
          <w:sz w:val="20"/>
        </w:rPr>
        <w:t>N/A</w:t>
      </w:r>
    </w:p>
    <w:p>
      <w:pPr>
        <w:pStyle w:val="TextBody"/>
        <w:bidi w:val="0"/>
        <w:spacing w:lineRule="auto" w:line="268"/>
        <w:jc w:val="both"/>
        <w:rPr/>
      </w:pPr>
      <w:r>
        <w:rPr>
          <w:rFonts w:ascii="Times New Roman;serif" w:hAnsi="Times New Roman;serif"/>
          <w:b/>
          <w:color w:val="000000"/>
          <w:sz w:val="20"/>
        </w:rPr>
        <w:t xml:space="preserve">Impact on the Total Reimbursement Amount: </w:t>
      </w:r>
      <w:r>
        <w:rPr>
          <w:rFonts w:ascii="Times New Roman;serif" w:hAnsi="Times New Roman;serif"/>
          <w:b w:val="false"/>
          <w:color w:val="000000"/>
          <w:sz w:val="20"/>
        </w:rPr>
        <w:t>Will be assessed prior to Substantial Completion of Train 3.</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Any other impacts to obligation or potential liability of Contractor or Owner under the EPC Agreement: 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subject to exceptions herein: Initials: </w:t>
      </w:r>
      <w:r>
        <w:rPr>
          <w:rFonts w:ascii="Times New Roman;serif" w:hAnsi="Times New Roman;serif"/>
          <w:b w:val="false"/>
          <w:color w:val="000000"/>
          <w:sz w:val="20"/>
          <w:u w:val="single"/>
        </w:rPr>
        <w:t>SFO</w:t>
      </w:r>
      <w:r>
        <w:rPr>
          <w:color w:val="000000"/>
        </w:rPr>
        <w:t xml:space="preserve">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68" w:before="0" w:after="0"/>
        <w:jc w:val="both"/>
        <w:rPr/>
      </w:pPr>
      <w:r>
        <w:rPr>
          <w:rFonts w:ascii="Times New Roman;serif" w:hAnsi="Times New Roman;serif"/>
          <w:b w:val="false"/>
          <w:strike/>
          <w:color w:val="000000"/>
          <w:sz w:val="22"/>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be deemed to compensate Contractor fully for such change, subject to the below: </w:t>
      </w:r>
    </w:p>
    <w:p>
      <w:pPr>
        <w:pStyle w:val="TextBody"/>
        <w:bidi w:val="0"/>
        <w:spacing w:lineRule="auto" w:line="268"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10,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CHANGE ORDER</w:t>
      </w:r>
    </w:p>
    <w:tbl>
      <w:tblPr>
        <w:tblW w:w="10205" w:type="dxa"/>
        <w:jc w:val="center"/>
        <w:tblInd w:w="0" w:type="dxa"/>
        <w:tblLayout w:type="fixed"/>
        <w:tblCellMar>
          <w:top w:w="28" w:type="dxa"/>
          <w:left w:w="28" w:type="dxa"/>
          <w:bottom w:w="28" w:type="dxa"/>
          <w:right w:w="28" w:type="dxa"/>
        </w:tblCellMar>
      </w:tblPr>
      <w:tblGrid>
        <w:gridCol w:w="2309"/>
        <w:gridCol w:w="1972"/>
        <w:gridCol w:w="1977"/>
        <w:gridCol w:w="109"/>
        <w:gridCol w:w="109"/>
        <w:gridCol w:w="109"/>
        <w:gridCol w:w="1059"/>
        <w:gridCol w:w="1059"/>
        <w:gridCol w:w="1502"/>
      </w:tblGrid>
      <w:tr>
        <w:trPr/>
        <w:tc>
          <w:tcPr>
            <w:tcW w:w="230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15, 2022</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EPC Turnkey Agreement of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EC00283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SCT3066</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93" w:type="dxa"/>
        <w:jc w:val="left"/>
        <w:tblInd w:w="0" w:type="dxa"/>
        <w:tblLayout w:type="fixed"/>
        <w:tblCellMar>
          <w:top w:w="28" w:type="dxa"/>
          <w:left w:w="28" w:type="dxa"/>
          <w:bottom w:w="28" w:type="dxa"/>
          <w:right w:w="28" w:type="dxa"/>
        </w:tblCellMar>
      </w:tblPr>
      <w:tblGrid>
        <w:gridCol w:w="468"/>
        <w:gridCol w:w="411"/>
        <w:gridCol w:w="411"/>
        <w:gridCol w:w="411"/>
        <w:gridCol w:w="411"/>
        <w:gridCol w:w="411"/>
        <w:gridCol w:w="411"/>
        <w:gridCol w:w="411"/>
        <w:gridCol w:w="411"/>
        <w:gridCol w:w="411"/>
        <w:gridCol w:w="411"/>
        <w:gridCol w:w="411"/>
        <w:gridCol w:w="411"/>
        <w:gridCol w:w="411"/>
        <w:gridCol w:w="582"/>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3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ATTACHMENT C – UPDATE FOR Q1 2026 CHANGE ORDERS</w:t>
            </w:r>
          </w:p>
        </w:tc>
      </w:tr>
    </w:tbl>
    <w:p>
      <w:pPr>
        <w:pStyle w:val="TextBody"/>
        <w:bidi w:val="0"/>
        <w:spacing w:before="0" w:after="0"/>
        <w:ind w:left="0" w:right="0" w:hanging="1"/>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Owner and Contractor executed Change Orders to the Agreement that deferred the changes to Attachment C (Payment Schedule). The changes to Attachment C from each of the Change Orders listed in Table 1 (Previously Executed Change Orders Requiring Incorporation into Attachment C) are to be incorporated into Attachment C as provided for in this Change Order EC00283_SCT3066.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Table 1 – Previously Executed Change Orders Requiring Incorporation into Attachment 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The EPC Agreement between the Parties listed above is changed as follows: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u w:val="single"/>
        </w:rPr>
        <w:t>First Amended Attachment C, First Amended Appendix 1 (Contract Price Breakdown)</w:t>
      </w:r>
      <w:r>
        <w:rPr>
          <w:color w:val="000000"/>
        </w:rPr>
        <w:t xml:space="preserve"> – </w:t>
      </w:r>
      <w:r>
        <w:rPr>
          <w:rFonts w:ascii="Times New Roman;serif" w:hAnsi="Times New Roman;serif"/>
          <w:b w:val="false"/>
          <w:color w:val="000000"/>
          <w:sz w:val="20"/>
        </w:rPr>
        <w:t>This appendix shall be updated per the Appendix 1 (Contract Price Breakdown) as provided in Attachment 1 to this Change Order.</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u w:val="single"/>
        </w:rPr>
        <w:t>First Amended Attachment C, First Amended Schedule C-2 (Payment Milestones)</w:t>
      </w:r>
      <w:r>
        <w:rPr>
          <w:color w:val="000000"/>
        </w:rPr>
        <w:t xml:space="preserve"> – </w:t>
      </w:r>
      <w:r>
        <w:rPr>
          <w:rFonts w:ascii="Times New Roman;serif" w:hAnsi="Times New Roman;serif"/>
          <w:b w:val="false"/>
          <w:color w:val="000000"/>
          <w:sz w:val="20"/>
        </w:rPr>
        <w:t>This schedule shall be updated per the Schedule C-2 (Payment Milestones) as provided in Attachment 2 to this Change Order.</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3.</w:t>
      </w:r>
      <w:r>
        <w:rPr>
          <w:rFonts w:ascii="Times New Roman;serif" w:hAnsi="Times New Roman;serif"/>
          <w:b/>
          <w:color w:val="000000"/>
          <w:sz w:val="20"/>
          <w:u w:val="single"/>
        </w:rPr>
        <w:t>First Amended Attachment C, First Amended Schedule C-3 (Maximum Cumulative Payment</w:t>
      </w:r>
      <w:r>
        <w:rPr>
          <w:color w:val="000000"/>
        </w:rPr>
        <w:t xml:space="preserve"> </w:t>
      </w:r>
      <w:r>
        <w:rPr>
          <w:rFonts w:ascii="Times New Roman;serif" w:hAnsi="Times New Roman;serif"/>
          <w:b/>
          <w:color w:val="000000"/>
          <w:sz w:val="20"/>
          <w:u w:val="single"/>
        </w:rPr>
        <w:t>Schedule)</w:t>
      </w:r>
      <w:r>
        <w:rPr>
          <w:color w:val="000000"/>
        </w:rPr>
        <w:t xml:space="preserve"> – </w:t>
      </w:r>
      <w:r>
        <w:rPr>
          <w:rFonts w:ascii="Times New Roman;serif" w:hAnsi="Times New Roman;serif"/>
          <w:b w:val="false"/>
          <w:color w:val="000000"/>
          <w:sz w:val="20"/>
        </w:rPr>
        <w:t>This schedule shall be updated per the Schedule C-3 (Maximum Cumulative Payment Schedule) as provided in Attachment 3 to this Change 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Attachments to support this Change Order: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1 – First Amended Attachment C, First Amended Appendix 1 (Contract Price Breakdown), as updated by this Change Order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2 – First Amended Attachment C, First Amended Schedule C-2 (Payment Milestones), as updated by this Change Order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3 – First Amended Attachment C, First Amended Schedule C-3 (Maximum Cumulative Payment Schedule), as updated by this Change Order</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915"/>
        <w:gridCol w:w="905"/>
        <w:gridCol w:w="905"/>
        <w:gridCol w:w="905"/>
        <w:gridCol w:w="905"/>
        <w:gridCol w:w="905"/>
        <w:gridCol w:w="905"/>
        <w:gridCol w:w="905"/>
        <w:gridCol w:w="905"/>
        <w:gridCol w:w="211"/>
        <w:gridCol w:w="133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3,042,334,000 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169,096,579 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3,211,430,579 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3,211,430,579 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Key Dates are modified: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76"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Impact to other Changed Criteria: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Schedule C-2 (Payment Milestones) is updated as provided in Attachment 2. </w:t>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The Schedule C-3 (Maximum Cumulative Payment Schedule) is updated as provided in Attachment 3.</w:t>
      </w:r>
    </w:p>
    <w:p>
      <w:pPr>
        <w:pStyle w:val="TextBody"/>
        <w:bidi w:val="0"/>
        <w:spacing w:before="0" w:after="0"/>
        <w:jc w:val="left"/>
        <w:rPr/>
      </w:pPr>
      <w:r>
        <w:rPr/>
      </w:r>
    </w:p>
    <w:p>
      <w:pPr>
        <w:pStyle w:val="TextBody"/>
        <w:bidi w:val="0"/>
        <w:spacing w:lineRule="auto" w:line="487" w:before="0" w:after="0"/>
        <w:jc w:val="left"/>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7"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7" w:before="0" w:after="0"/>
        <w:jc w:val="left"/>
        <w:rPr/>
      </w:pPr>
      <w:r>
        <w:rPr>
          <w:rFonts w:ascii="Times New Roman;serif" w:hAnsi="Times New Roman;serif"/>
          <w:b/>
          <w:color w:val="000000"/>
          <w:sz w:val="20"/>
        </w:rPr>
        <w:t>Impact on Basis of Design:</w:t>
      </w:r>
      <w:r>
        <w:rPr>
          <w:color w:val="000000"/>
        </w:rPr>
        <w:t xml:space="preserve"> </w:t>
      </w:r>
      <w:r>
        <w:rPr>
          <w:rFonts w:ascii="Times New Roman;serif" w:hAnsi="Times New Roman;serif"/>
          <w:b w:val="false"/>
          <w:color w:val="000000"/>
          <w:sz w:val="20"/>
        </w:rPr>
        <w:t>N/A</w:t>
      </w:r>
    </w:p>
    <w:p>
      <w:pPr>
        <w:pStyle w:val="TextBody"/>
        <w:bidi w:val="0"/>
        <w:spacing w:lineRule="auto" w:line="268" w:before="0" w:after="0"/>
        <w:jc w:val="left"/>
        <w:rPr/>
      </w:pPr>
      <w:r>
        <w:rPr>
          <w:rFonts w:ascii="Times New Roman;serif" w:hAnsi="Times New Roman;serif"/>
          <w:b/>
          <w:color w:val="000000"/>
          <w:sz w:val="20"/>
        </w:rPr>
        <w:t>Impact on the Total Reimbursement Amount</w:t>
      </w:r>
      <w:r>
        <w:rPr>
          <w:rFonts w:ascii="Times New Roman;serif" w:hAnsi="Times New Roman;serif"/>
          <w:b w:val="false"/>
          <w:color w:val="000000"/>
          <w:sz w:val="20"/>
        </w:rPr>
        <w:t>: 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EPC Agreement: </w:t>
      </w:r>
      <w:r>
        <w:rPr>
          <w:rFonts w:ascii="Times New Roman;serif" w:hAnsi="Times New Roman;serif"/>
          <w:b/>
          <w:color w:val="000000"/>
          <w:sz w:val="20"/>
        </w:rPr>
        <w:t>N/A</w:t>
      </w:r>
    </w:p>
    <w:p>
      <w:pPr>
        <w:pStyle w:val="TextBody"/>
        <w:bidi w:val="0"/>
        <w:spacing w:before="0" w:after="0"/>
        <w:ind w:left="0" w:right="0" w:firstLine="360"/>
        <w:jc w:val="both"/>
        <w:rPr/>
      </w:pPr>
      <w:r>
        <w:rPr/>
      </w:r>
    </w:p>
    <w:p>
      <w:pPr>
        <w:pStyle w:val="TextBody"/>
        <w:bidi w:val="0"/>
        <w:spacing w:lineRule="auto" w:line="268" w:before="0" w:after="0"/>
        <w:ind w:left="0" w:right="0" w:hanging="450"/>
        <w:jc w:val="left"/>
        <w:rPr/>
      </w:pPr>
      <w:r>
        <w:rPr>
          <w:rFonts w:ascii="Times New Roman;serif" w:hAnsi="Times New Roman;serif"/>
          <w:b w:val="false"/>
          <w:color w:val="000000"/>
          <w:sz w:val="20"/>
        </w:rPr>
        <w:t xml:space="preserve">[A]This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76" w:before="0" w:after="0"/>
        <w:ind w:left="0" w:right="0" w:hanging="450"/>
        <w:jc w:val="left"/>
        <w:rPr/>
      </w:pPr>
      <w:r>
        <w:rPr>
          <w:rFonts w:ascii="Times New Roman;serif" w:hAnsi="Times New Roman;serif"/>
          <w:b w:val="false"/>
          <w:color w:val="000000"/>
          <w:sz w:val="20"/>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p>
    <w:p>
      <w:pPr>
        <w:pStyle w:val="TextBody"/>
        <w:bidi w:val="0"/>
        <w:spacing w:lineRule="auto" w:line="268" w:before="0" w:after="0"/>
        <w:jc w:val="left"/>
        <w:rPr/>
      </w:pPr>
      <w:r>
        <w:rPr>
          <w:rFonts w:ascii="Times New Roman;serif" w:hAnsi="Times New Roman;serif"/>
          <w:b w:val="false"/>
          <w:strike/>
          <w:color w:val="000000"/>
          <w:sz w:val="20"/>
        </w:rPr>
        <w:t xml:space="preserve">and accord and satisfaction of all effects of the change reflected in this Change Order upon the Change Criteria and </w:t>
      </w:r>
      <w:r>
        <w:rPr>
          <w:rFonts w:ascii="Times New Roman;serif" w:hAnsi="Times New Roman;serif"/>
          <w:b/>
          <w:strike/>
          <w:color w:val="000000"/>
          <w:sz w:val="20"/>
        </w:rPr>
        <w:t>shall not</w:t>
      </w:r>
      <w:r>
        <w:rPr>
          <w:strike/>
          <w:color w:val="000000"/>
        </w:rPr>
        <w:t xml:space="preserve"> </w:t>
      </w:r>
      <w:r>
        <w:rPr>
          <w:rFonts w:ascii="Times New Roman;serif" w:hAnsi="Times New Roman;serif"/>
          <w:b w:val="false"/>
          <w:strike/>
          <w:color w:val="000000"/>
          <w:sz w:val="20"/>
        </w:rPr>
        <w:t>be deemed to compensate Contractor fully for such change. Initials:</w:t>
      </w:r>
      <w:r>
        <w:rPr>
          <w:strike/>
          <w:color w:val="000000"/>
          <w:u w:val="single"/>
        </w:rPr>
        <w:t xml:space="preserve"> </w:t>
      </w:r>
      <w:r>
        <w:rPr>
          <w:rFonts w:ascii="Times New Roman;serif" w:hAnsi="Times New Roman;serif"/>
          <w:b w:val="false"/>
          <w:strike/>
          <w:color w:val="000000"/>
          <w:sz w:val="20"/>
        </w:rPr>
        <w:t>Contractor</w:t>
      </w:r>
      <w:r>
        <w:rPr>
          <w:strike/>
          <w:color w:val="000000"/>
          <w:u w:val="single"/>
        </w:rPr>
        <w:t xml:space="preserve"> </w:t>
      </w:r>
      <w:r>
        <w:rPr>
          <w:rFonts w:ascii="Times New Roman;serif" w:hAnsi="Times New Roman;serif"/>
          <w:b w:val="false"/>
          <w:strike/>
          <w:color w:val="000000"/>
          <w:sz w:val="20"/>
        </w:rPr>
        <w:t>Owner</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09"/>
        <w:gridCol w:w="1972"/>
        <w:gridCol w:w="1977"/>
        <w:gridCol w:w="109"/>
        <w:gridCol w:w="109"/>
        <w:gridCol w:w="109"/>
        <w:gridCol w:w="1059"/>
        <w:gridCol w:w="1059"/>
        <w:gridCol w:w="1502"/>
      </w:tblGrid>
      <w:tr>
        <w:trPr/>
        <w:tc>
          <w:tcPr>
            <w:tcW w:w="230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15, 2022</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EC00288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SCT3071</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6395" w:type="dxa"/>
        <w:jc w:val="left"/>
        <w:tblInd w:w="0" w:type="dxa"/>
        <w:tblLayout w:type="fixed"/>
        <w:tblCellMar>
          <w:top w:w="28" w:type="dxa"/>
          <w:left w:w="28" w:type="dxa"/>
          <w:bottom w:w="28" w:type="dxa"/>
          <w:right w:w="28" w:type="dxa"/>
        </w:tblCellMar>
      </w:tblPr>
      <w:tblGrid>
        <w:gridCol w:w="466"/>
        <w:gridCol w:w="408"/>
        <w:gridCol w:w="408"/>
        <w:gridCol w:w="408"/>
        <w:gridCol w:w="408"/>
        <w:gridCol w:w="408"/>
        <w:gridCol w:w="408"/>
        <w:gridCol w:w="408"/>
        <w:gridCol w:w="408"/>
        <w:gridCol w:w="408"/>
        <w:gridCol w:w="408"/>
        <w:gridCol w:w="408"/>
        <w:gridCol w:w="408"/>
        <w:gridCol w:w="408"/>
        <w:gridCol w:w="625"/>
      </w:tblGrid>
      <w:tr>
        <w:trPr/>
        <w:tc>
          <w:tcPr>
            <w:tcW w:w="46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63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SULPHUR EMISSIONS – BASIS OF DESIGN MODIFICATIONS</w:t>
            </w:r>
          </w:p>
        </w:tc>
      </w:tr>
    </w:tbl>
    <w:p>
      <w:pPr>
        <w:pStyle w:val="TextBody"/>
        <w:bidi w:val="0"/>
        <w:spacing w:before="0" w:after="0"/>
        <w:ind w:left="0" w:right="0" w:hanging="1"/>
        <w:jc w:val="left"/>
        <w:rPr/>
      </w:pPr>
      <w:r>
        <w:rPr/>
      </w:r>
    </w:p>
    <w:p>
      <w:pPr>
        <w:pStyle w:val="TextBody"/>
        <w:bidi w:val="0"/>
        <w:spacing w:lineRule="auto" w:line="480" w:before="0" w:after="0"/>
        <w:ind w:left="0" w:right="0" w:hanging="1"/>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basis for the sulphur (SO2) emissions per the TCEQ Air Permit No. 140792 (dated November 13, 2020) (“2020 TCEQ Permit”) differs from that in the Agreement’s Attachment A, Schedule A-2 (Basis of Design). Owner and Contractor have aligned on the SO2 emissions’ calculation via RFI No. 26251-100-GRI-GAM-00061 /RG-BL-NTD-PEM-RFI-00108.</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u w:val="single"/>
        </w:rPr>
        <w:t>CHANGE:</w:t>
      </w:r>
      <w:r>
        <w:rPr>
          <w:color w:val="000000"/>
        </w:rPr>
        <w:t xml:space="preserve"> </w:t>
      </w:r>
      <w:r>
        <w:rPr>
          <w:rFonts w:ascii="Times New Roman;serif" w:hAnsi="Times New Roman;serif"/>
          <w:b w:val="false"/>
          <w:color w:val="000000"/>
          <w:sz w:val="20"/>
        </w:rPr>
        <w:t>Attachment A, Schedule A-2 (Basis of Design), section 8.2 (Acid Gas Removal (Unit 11)) shall be modified per the red-line mark-up as provided in Attachment 1 to this Change Order.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Attachments supporting this Change Order: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Attachment 1 – Attachment A, Schedule A-2, Section 8.2 (Acid Gas Removal (Unit 11)) – Redline mark-up</w:t>
      </w:r>
    </w:p>
    <w:p>
      <w:pPr>
        <w:pStyle w:val="TextBody"/>
        <w:bidi w:val="0"/>
        <w:spacing w:before="0" w:after="0"/>
        <w:ind w:left="0" w:right="0" w:hanging="500"/>
        <w:jc w:val="left"/>
        <w:rPr/>
      </w:pPr>
      <w:r>
        <w:rPr/>
      </w:r>
    </w:p>
    <w:p>
      <w:pPr>
        <w:pStyle w:val="TextBody"/>
        <w:bidi w:val="0"/>
        <w:spacing w:before="0" w:after="0"/>
        <w:ind w:left="0" w:right="0" w:hanging="5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5"/>
        <w:gridCol w:w="905"/>
        <w:gridCol w:w="905"/>
        <w:gridCol w:w="905"/>
        <w:gridCol w:w="905"/>
        <w:gridCol w:w="905"/>
        <w:gridCol w:w="905"/>
        <w:gridCol w:w="905"/>
        <w:gridCol w:w="905"/>
        <w:gridCol w:w="211"/>
        <w:gridCol w:w="133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3,042,334,000 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169,096,579 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3,211,430,579 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3,211,430,579 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50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Key Dates are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Impact to other Changed Criteria:</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484"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Schedule C-2 (Payment Milestones): N/A. </w:t>
      </w:r>
    </w:p>
    <w:p>
      <w:pPr>
        <w:pStyle w:val="TextBody"/>
        <w:bidi w:val="0"/>
        <w:spacing w:lineRule="auto" w:line="484"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Schedule C-3 (Maximum Cumulative Payment Schedule): 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on Performance Guarantees: </w:t>
      </w:r>
      <w:r>
        <w:rPr>
          <w:rFonts w:ascii="Times New Roman;serif" w:hAnsi="Times New Roman;serif"/>
          <w:b w:val="false"/>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on Basis of Design: </w:t>
      </w:r>
      <w:r>
        <w:rPr>
          <w:rFonts w:ascii="Times New Roman;serif" w:hAnsi="Times New Roman;serif"/>
          <w:b w:val="false"/>
          <w:color w:val="000000"/>
          <w:sz w:val="20"/>
        </w:rPr>
        <w:t>Yes, refer to Schedule A-2, section 8.2 as redlined in Attachment 1 hereto.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on the Total Reimbursement Amount: </w:t>
      </w:r>
      <w:r>
        <w:rPr>
          <w:rFonts w:ascii="Times New Roman;serif" w:hAnsi="Times New Roman;serif"/>
          <w:b w:val="false"/>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EPC Agreement: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 xml:space="preserve">Owner </w:t>
      </w:r>
    </w:p>
    <w:p>
      <w:pPr>
        <w:pStyle w:val="TextBody"/>
        <w:bidi w:val="0"/>
        <w:spacing w:lineRule="auto" w:line="276" w:before="0" w:after="0"/>
        <w:jc w:val="left"/>
        <w:rPr/>
      </w:pPr>
      <w:r>
        <w:rPr>
          <w:rFonts w:ascii="Times New Roman;serif" w:hAnsi="Times New Roman;serif"/>
          <w:b w:val="false"/>
          <w:strike/>
          <w:color w:val="000000"/>
          <w:sz w:val="20"/>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constitute a full and final settlement and accord and satisfaction of all effects of the change reflected in this Change Order upon the Change Criteria and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be deemed to compensate Contractor fully for such change. Initials: Contractor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25,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10.5</w:t>
      </w:r>
    </w:p>
    <w:p>
      <w:pPr>
        <w:pStyle w:val="TextBody"/>
        <w:bidi w:val="0"/>
        <w:spacing w:before="62" w:after="283"/>
        <w:jc w:val="center"/>
        <w:rPr/>
      </w:pPr>
      <w:r>
        <w:rPr/>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06"/>
        <w:gridCol w:w="1989"/>
        <w:gridCol w:w="1995"/>
        <w:gridCol w:w="109"/>
        <w:gridCol w:w="109"/>
        <w:gridCol w:w="109"/>
        <w:gridCol w:w="1050"/>
        <w:gridCol w:w="1050"/>
        <w:gridCol w:w="1488"/>
      </w:tblGrid>
      <w:tr>
        <w:trPr/>
        <w:tc>
          <w:tcPr>
            <w:tcW w:w="230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June 7, 2025</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Agreement for Train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EC40013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SCT4013</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Train 4,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06, 2026</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6584" w:type="dxa"/>
        <w:jc w:val="left"/>
        <w:tblInd w:w="0" w:type="dxa"/>
        <w:tblLayout w:type="fixed"/>
        <w:tblCellMar>
          <w:top w:w="28" w:type="dxa"/>
          <w:left w:w="28" w:type="dxa"/>
          <w:bottom w:w="28" w:type="dxa"/>
          <w:right w:w="28" w:type="dxa"/>
        </w:tblCellMar>
      </w:tblPr>
      <w:tblGrid>
        <w:gridCol w:w="2107"/>
        <w:gridCol w:w="1851"/>
        <w:gridCol w:w="2626"/>
      </w:tblGrid>
      <w:tr>
        <w:trPr/>
        <w:tc>
          <w:tcPr>
            <w:tcW w:w="2107"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SITE AREA MODIFIED FOR MATERIAL LAYDOWN STORAGE</w:t>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The Agreement between the Parties listed above is changed as follows: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support the development of the Train 4 Work in conjunction with the current execution activities relating to Phase 1, Owner and Contractor mutually agreed to a parking and laydown strategy that eliminates the need for offsite parking and minimizes offsite laydown requirements. This approach includes establishing a new laydown area northeast of the eastern entrance to the Project and repurposing other designated areas to accommodate on</w:t>
        <w:noBreakHyphen/>
        <w:t>site parking.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u w:val="single"/>
        </w:rPr>
        <w:t>Soil Improvements</w:t>
      </w:r>
      <w:r>
        <w:rPr>
          <w:color w:val="000000"/>
        </w:rPr>
        <w:t xml:space="preserve"> – </w:t>
      </w:r>
      <w:r>
        <w:rPr>
          <w:rFonts w:ascii="Times New Roman;serif" w:hAnsi="Times New Roman;serif"/>
          <w:b w:val="false"/>
          <w:color w:val="000000"/>
          <w:sz w:val="20"/>
        </w:rPr>
        <w:t>For the area listed in Table 1 (Area Modified for Laydown-Storage), Contractor to perform all Work necessary to improve the soils in such a manner that Equipment and materials which require storage at the Site can be correctly stored until it can be incorporated into the Facility.</w:t>
      </w:r>
    </w:p>
    <w:p>
      <w:pPr>
        <w:pStyle w:val="TextBody"/>
        <w:bidi w:val="0"/>
        <w:spacing w:before="0" w:after="0"/>
        <w:jc w:val="both"/>
        <w:rPr/>
      </w:pPr>
      <w:r>
        <w:rPr/>
      </w:r>
    </w:p>
    <w:p>
      <w:pPr>
        <w:pStyle w:val="TextBody"/>
        <w:bidi w:val="0"/>
        <w:spacing w:lineRule="auto" w:line="268" w:before="0" w:after="0"/>
        <w:ind w:left="0" w:right="0" w:hanging="252"/>
        <w:jc w:val="both"/>
        <w:rPr>
          <w:rFonts w:ascii="Times New Roman;serif" w:hAnsi="Times New Roman;serif"/>
          <w:b/>
          <w:color w:val="000000"/>
          <w:sz w:val="20"/>
        </w:rPr>
      </w:pPr>
      <w:r>
        <w:rPr>
          <w:rFonts w:ascii="Times New Roman;serif" w:hAnsi="Times New Roman;serif"/>
          <w:b/>
          <w:color w:val="000000"/>
          <w:sz w:val="20"/>
        </w:rPr>
        <w:t>Table 1 – Areas Modified for Laydown-Storage</w:t>
      </w:r>
    </w:p>
    <w:p>
      <w:pPr>
        <w:pStyle w:val="TextBody"/>
        <w:bidi w:val="0"/>
        <w:spacing w:before="0" w:after="0"/>
        <w:ind w:left="0" w:right="0" w:hanging="252"/>
        <w:jc w:val="both"/>
        <w:rPr/>
      </w:pPr>
      <w:r>
        <w:rPr/>
      </w:r>
    </w:p>
    <w:p>
      <w:pPr>
        <w:pStyle w:val="TextBody"/>
        <w:bidi w:val="0"/>
        <w:spacing w:lineRule="auto" w:line="268" w:before="0" w:after="0"/>
        <w:ind w:left="0" w:right="0" w:hanging="252"/>
        <w:jc w:val="both"/>
        <w:rPr>
          <w:rFonts w:ascii="Times New Roman;serif" w:hAnsi="Times New Roman;serif"/>
          <w:b/>
          <w:color w:val="000000"/>
          <w:sz w:val="20"/>
        </w:rPr>
      </w:pPr>
      <w:r>
        <w:rPr>
          <w:rFonts w:ascii="Times New Roman;serif" w:hAnsi="Times New Roman;serif"/>
          <w:b/>
          <w:color w:val="000000"/>
          <w:sz w:val="20"/>
        </w:rPr>
        <w:t>[***]</w:t>
      </w:r>
    </w:p>
    <w:p>
      <w:pPr>
        <w:pStyle w:val="TextBody"/>
        <w:bidi w:val="0"/>
        <w:spacing w:before="0" w:after="0"/>
        <w:ind w:left="0" w:right="0" w:hanging="948"/>
        <w:jc w:val="left"/>
        <w:rPr/>
      </w:pPr>
      <w:r>
        <w:rPr/>
      </w:r>
    </w:p>
    <w:p>
      <w:pPr>
        <w:pStyle w:val="TextBody"/>
        <w:bidi w:val="0"/>
        <w:spacing w:lineRule="auto" w:line="268" w:before="0" w:after="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Attachments supporting this Change Order: N/A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4,768,401,000 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(N/A)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87,058,009 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4,855,459,009 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3,452,946 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4,858,911,955 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76"/>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EC40013_SCT4013 will be incorporated in Change Order EC40031_SCT4027 to be executed in 1Q-2026.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EC40013_SCT4013 will be incorporated in Change Order EC40031_SCT4027 to be executed in 1Q-2026.</w:t>
      </w:r>
    </w:p>
    <w:p>
      <w:pPr>
        <w:pStyle w:val="TextBody"/>
        <w:bidi w:val="0"/>
        <w:spacing w:before="0" w:after="0"/>
        <w:jc w:val="left"/>
        <w:rPr/>
      </w:pPr>
      <w:r>
        <w:rPr/>
      </w:r>
    </w:p>
    <w:p>
      <w:pPr>
        <w:pStyle w:val="TextBody"/>
        <w:bidi w:val="0"/>
        <w:spacing w:lineRule="auto" w:line="489" w:before="0" w:after="0"/>
        <w:jc w:val="left"/>
        <w:rPr/>
      </w:pPr>
      <w:r>
        <w:rPr>
          <w:rFonts w:ascii="Times New Roman;serif" w:hAnsi="Times New Roman;serif"/>
          <w:b w:val="false"/>
          <w:color w:val="000000"/>
          <w:sz w:val="20"/>
        </w:rPr>
        <w:t xml:space="preserve">Impact on Minimum Acceptance Criteria: </w:t>
      </w:r>
      <w:r>
        <w:rPr>
          <w:rFonts w:ascii="Times New Roman;serif" w:hAnsi="Times New Roman;serif"/>
          <w:b/>
          <w:color w:val="000000"/>
          <w:sz w:val="20"/>
        </w:rPr>
        <w:t xml:space="preserve">N/A </w:t>
      </w:r>
    </w:p>
    <w:p>
      <w:pPr>
        <w:pStyle w:val="TextBody"/>
        <w:bidi w:val="0"/>
        <w:spacing w:lineRule="auto" w:line="489" w:before="0" w:after="0"/>
        <w:jc w:val="left"/>
        <w:rPr/>
      </w:pPr>
      <w:r>
        <w:rPr>
          <w:rFonts w:ascii="Times New Roman;serif" w:hAnsi="Times New Roman;serif"/>
          <w:b w:val="false"/>
          <w:color w:val="000000"/>
          <w:sz w:val="20"/>
        </w:rPr>
        <w:t xml:space="preserve">Impact on Performance Guarantees: </w:t>
      </w:r>
      <w:r>
        <w:rPr>
          <w:rFonts w:ascii="Times New Roman;serif" w:hAnsi="Times New Roman;serif"/>
          <w:b/>
          <w:color w:val="000000"/>
          <w:sz w:val="20"/>
        </w:rPr>
        <w:t xml:space="preserve">N/A </w:t>
      </w:r>
    </w:p>
    <w:p>
      <w:pPr>
        <w:pStyle w:val="TextBody"/>
        <w:bidi w:val="0"/>
        <w:spacing w:lineRule="auto" w:line="489" w:before="0" w:after="0"/>
        <w:jc w:val="left"/>
        <w:rPr/>
      </w:pPr>
      <w:r>
        <w:rPr>
          <w:rFonts w:ascii="Times New Roman;serif" w:hAnsi="Times New Roman;serif"/>
          <w:b w:val="false"/>
          <w:color w:val="000000"/>
          <w:sz w:val="20"/>
        </w:rPr>
        <w:t xml:space="preserve">Impact on Basis of Design: </w:t>
      </w:r>
      <w:r>
        <w:rPr>
          <w:rFonts w:ascii="Times New Roman;serif" w:hAnsi="Times New Roman;serif"/>
          <w:b/>
          <w:color w:val="000000"/>
          <w:sz w:val="20"/>
        </w:rPr>
        <w:t>N/A</w:t>
      </w:r>
    </w:p>
    <w:p>
      <w:pPr>
        <w:pStyle w:val="TextBody"/>
        <w:bidi w:val="0"/>
        <w:spacing w:lineRule="auto" w:line="268" w:before="0" w:after="0"/>
        <w:jc w:val="both"/>
        <w:rPr/>
      </w:pPr>
      <w:r>
        <w:rPr>
          <w:rFonts w:ascii="Times New Roman;serif" w:hAnsi="Times New Roman;serif"/>
          <w:b w:val="false"/>
          <w:color w:val="000000"/>
          <w:sz w:val="20"/>
        </w:rPr>
        <w:t xml:space="preserve">Any other impacts to obligation or potential liability of Contractor or Owner under the Agreement: </w:t>
      </w:r>
      <w:r>
        <w:rPr>
          <w:rFonts w:ascii="Times New Roman;serif" w:hAnsi="Times New Roman;serif"/>
          <w:b/>
          <w:color w:val="000000"/>
          <w:sz w:val="20"/>
        </w:rPr>
        <w:t>N/A</w:t>
      </w:r>
    </w:p>
    <w:p>
      <w:pPr>
        <w:pStyle w:val="TextBody"/>
        <w:bidi w:val="0"/>
        <w:spacing w:before="0" w:after="0"/>
        <w:ind w:left="0" w:right="0" w:firstLine="361"/>
        <w:jc w:val="left"/>
        <w:rPr/>
      </w:pPr>
      <w:r>
        <w:rPr/>
      </w:r>
    </w:p>
    <w:p>
      <w:pPr>
        <w:pStyle w:val="TextBody"/>
        <w:bidi w:val="0"/>
        <w:spacing w:lineRule="auto" w:line="268" w:before="0" w:after="0"/>
        <w:ind w:left="0" w:right="0" w:hanging="450"/>
        <w:jc w:val="left"/>
        <w:rPr/>
      </w:pPr>
      <w:r>
        <w:rPr>
          <w:rFonts w:ascii="Times New Roman;serif" w:hAnsi="Times New Roman;serif"/>
          <w:b w:val="false"/>
          <w:color w:val="000000"/>
          <w:sz w:val="20"/>
        </w:rPr>
        <w:t xml:space="preserve">[A]This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w:t>
      </w:r>
    </w:p>
    <w:p>
      <w:pPr>
        <w:pStyle w:val="TextBody"/>
        <w:bidi w:val="0"/>
        <w:spacing w:lineRule="auto" w:line="268" w:before="0" w:after="0"/>
        <w:jc w:val="left"/>
        <w:rPr/>
      </w:pPr>
      <w:r>
        <w:rPr>
          <w:rFonts w:ascii="Times New Roman;serif" w:hAnsi="Times New Roman;serif"/>
          <w:b w:val="false"/>
          <w:color w:val="000000"/>
          <w:sz w:val="20"/>
        </w:rPr>
        <w:t xml:space="preserve">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AT</w:t>
      </w:r>
      <w:r>
        <w:rPr>
          <w:rFonts w:ascii="Times New Roman;serif" w:hAnsi="Times New Roman;serif"/>
          <w:b w:val="false"/>
          <w:color w:val="000000"/>
          <w:sz w:val="20"/>
        </w:rPr>
        <w:t>Owner</w:t>
      </w:r>
    </w:p>
    <w:p>
      <w:pPr>
        <w:pStyle w:val="TextBody"/>
        <w:bidi w:val="0"/>
        <w:spacing w:before="0" w:after="0"/>
        <w:jc w:val="left"/>
        <w:rPr/>
      </w:pPr>
      <w:r>
        <w:rPr/>
      </w:r>
    </w:p>
    <w:p>
      <w:pPr>
        <w:pStyle w:val="TextBody"/>
        <w:bidi w:val="0"/>
        <w:spacing w:lineRule="auto" w:line="268" w:before="0" w:after="0"/>
        <w:ind w:left="0" w:right="0" w:hanging="450"/>
        <w:jc w:val="both"/>
        <w:rPr/>
      </w:pPr>
      <w:r>
        <w:rPr>
          <w:rFonts w:ascii="Times New Roman;serif" w:hAnsi="Times New Roman;serif"/>
          <w:b w:val="false"/>
          <w:color w:val="000000"/>
          <w:sz w:val="20"/>
        </w:rPr>
        <w:t>[B]</w:t>
      </w:r>
      <w:r>
        <w:rPr>
          <w:strike/>
          <w:color w:val="000000"/>
        </w:rPr>
        <w:t xml:space="preserve"> </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constitute a full and final settlement and </w:t>
      </w:r>
    </w:p>
    <w:p>
      <w:pPr>
        <w:pStyle w:val="TextBody"/>
        <w:bidi w:val="0"/>
        <w:spacing w:lineRule="auto" w:line="268" w:before="0" w:after="0"/>
        <w:jc w:val="both"/>
        <w:rPr/>
      </w:pPr>
      <w:r>
        <w:rPr>
          <w:rFonts w:ascii="Times New Roman;serif" w:hAnsi="Times New Roman;serif"/>
          <w:b w:val="false"/>
          <w:strike/>
          <w:color w:val="000000"/>
          <w:sz w:val="20"/>
        </w:rPr>
        <w:t xml:space="preserve">accord and satisfaction of all effects of the change reflected in this Change Order upon the Change Criteria and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be deemed to compensate Contractor fully for such change, subject to the below: </w:t>
      </w:r>
    </w:p>
    <w:p>
      <w:pPr>
        <w:pStyle w:val="TextBody"/>
        <w:bidi w:val="0"/>
        <w:spacing w:lineRule="auto" w:line="276"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06"/>
        <w:gridCol w:w="1989"/>
        <w:gridCol w:w="1995"/>
        <w:gridCol w:w="109"/>
        <w:gridCol w:w="109"/>
        <w:gridCol w:w="109"/>
        <w:gridCol w:w="1050"/>
        <w:gridCol w:w="1050"/>
        <w:gridCol w:w="1488"/>
      </w:tblGrid>
      <w:tr>
        <w:trPr/>
        <w:tc>
          <w:tcPr>
            <w:tcW w:w="230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June 7, 2025</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Agreement for Train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Owner EC Number: EC40033</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SCT4026</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Train 4,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7684" w:type="dxa"/>
        <w:jc w:val="left"/>
        <w:tblInd w:w="0" w:type="dxa"/>
        <w:tblLayout w:type="fixed"/>
        <w:tblCellMar>
          <w:top w:w="28" w:type="dxa"/>
          <w:left w:w="28" w:type="dxa"/>
          <w:bottom w:w="28" w:type="dxa"/>
          <w:right w:w="28" w:type="dxa"/>
        </w:tblCellMar>
      </w:tblPr>
      <w:tblGrid>
        <w:gridCol w:w="563"/>
        <w:gridCol w:w="494"/>
        <w:gridCol w:w="494"/>
        <w:gridCol w:w="494"/>
        <w:gridCol w:w="494"/>
        <w:gridCol w:w="494"/>
        <w:gridCol w:w="494"/>
        <w:gridCol w:w="494"/>
        <w:gridCol w:w="494"/>
        <w:gridCol w:w="494"/>
        <w:gridCol w:w="494"/>
        <w:gridCol w:w="494"/>
        <w:gridCol w:w="494"/>
        <w:gridCol w:w="494"/>
        <w:gridCol w:w="699"/>
      </w:tblGrid>
      <w:tr>
        <w:trPr/>
        <w:tc>
          <w:tcPr>
            <w:tcW w:w="5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768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ATTACHMENT KK - CURRENT INDEX VALUE UPDATES FOR Q4-2025 (T4)</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ind w:left="0" w:right="0" w:firstLine="449"/>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Section 1.2 of Attachment KK, the Contract Price will be adjusted quarterly to reflect the cumulative amount of Rise and Fall for the commodities listed in the Appendix 1 (Commodity Price Rise and Fall Payment Calculations). The commodities as listed in Appendix 1 (Commodity Price Rise and Fall Payment Calculations) which are subject to Rise and Fall during the Transaction Period of Q4-2025 are: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STAINLESS STEEL PIPE MATERIAL, PIPE, FLANGES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CARBON STEEL PIPE, FITTINGS, FLANGES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UAE FABRICATED STRUCTURAL STEEL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ind w:left="0" w:right="0" w:firstLine="45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u w:val="single"/>
        </w:rPr>
        <w:t>Attachment KK, Appendix 1 (Commodity Price Rise and Fall Payment Calculation)</w:t>
      </w:r>
      <w:r>
        <w:rPr>
          <w:color w:val="000000"/>
        </w:rPr>
        <w:t xml:space="preserve"> </w:t>
      </w:r>
      <w:r>
        <w:rPr>
          <w:rFonts w:ascii="Times New Roman;serif" w:hAnsi="Times New Roman;serif"/>
          <w:b w:val="false"/>
          <w:color w:val="000000"/>
          <w:sz w:val="20"/>
        </w:rPr>
        <w:t>shall be updated per the Appendix 1 (Commodity Price Rise and Fall Calculation) as provided in Attachment 1 to this Change 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Attachments:</w:t>
      </w:r>
    </w:p>
    <w:p>
      <w:pPr>
        <w:pStyle w:val="TextBody"/>
        <w:bidi w:val="0"/>
        <w:spacing w:lineRule="auto" w:line="235" w:before="0" w:after="0"/>
        <w:ind w:left="0" w:right="0" w:hanging="360"/>
        <w:jc w:val="left"/>
        <w:rPr/>
      </w:pPr>
      <w:r>
        <w:rPr>
          <w:color w:val="000000"/>
        </w:rPr>
        <w:t>•</w:t>
      </w:r>
      <w:r>
        <w:rPr>
          <w:rFonts w:ascii="Times New Roman;serif" w:hAnsi="Times New Roman;serif"/>
          <w:b w:val="false"/>
          <w:color w:val="000000"/>
          <w:sz w:val="20"/>
        </w:rPr>
        <w:t>Attachment 1 – Attachment KK, Appendix 1 (Commodity Price Rise and Fall Payment Calculation), as updated by this Change Order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Attachment 2 – Contract Price Adjustment Calculation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4,768,401,000 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90,510,955 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4,858,911,955 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decreased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decreased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(536,473)</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4,858,375,482 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49"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76"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49"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EC40033_SCT4026 will be incorporated in Change Order EC40031_SCT4027 to be executed in 1Q-2026.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EC40033_SCT4026 will be incorporated in Change Order EC40031_SCT4027 to be executed in 1Q-2026.</w:t>
      </w:r>
    </w:p>
    <w:p>
      <w:pPr>
        <w:pStyle w:val="TextBody"/>
        <w:bidi w:val="0"/>
        <w:spacing w:before="0" w:after="0"/>
        <w:jc w:val="left"/>
        <w:rPr/>
      </w:pPr>
      <w:r>
        <w:rPr/>
      </w:r>
    </w:p>
    <w:p>
      <w:pPr>
        <w:pStyle w:val="TextBody"/>
        <w:bidi w:val="0"/>
        <w:spacing w:lineRule="auto" w:line="487" w:before="0" w:after="0"/>
        <w:jc w:val="left"/>
        <w:rPr/>
      </w:pPr>
      <w:r>
        <w:rPr>
          <w:rFonts w:ascii="Times New Roman;serif" w:hAnsi="Times New Roman;serif"/>
          <w:b w:val="false"/>
          <w:color w:val="000000"/>
          <w:sz w:val="20"/>
        </w:rPr>
        <w:t xml:space="preserve">Impact on Minimum Acceptance Criteria: </w:t>
      </w:r>
      <w:r>
        <w:rPr>
          <w:rFonts w:ascii="Times New Roman;serif" w:hAnsi="Times New Roman;serif"/>
          <w:b/>
          <w:color w:val="000000"/>
          <w:sz w:val="20"/>
        </w:rPr>
        <w:t xml:space="preserve">N/A </w:t>
      </w:r>
    </w:p>
    <w:p>
      <w:pPr>
        <w:pStyle w:val="TextBody"/>
        <w:bidi w:val="0"/>
        <w:spacing w:lineRule="auto" w:line="487" w:before="0" w:after="0"/>
        <w:jc w:val="left"/>
        <w:rPr/>
      </w:pPr>
      <w:r>
        <w:rPr>
          <w:rFonts w:ascii="Times New Roman;serif" w:hAnsi="Times New Roman;serif"/>
          <w:b w:val="false"/>
          <w:color w:val="000000"/>
          <w:sz w:val="20"/>
        </w:rPr>
        <w:t xml:space="preserve">Impact on Performance Guarantees: </w:t>
      </w:r>
      <w:r>
        <w:rPr>
          <w:rFonts w:ascii="Times New Roman;serif" w:hAnsi="Times New Roman;serif"/>
          <w:b/>
          <w:color w:val="000000"/>
          <w:sz w:val="20"/>
        </w:rPr>
        <w:t xml:space="preserve">N/A </w:t>
      </w:r>
    </w:p>
    <w:p>
      <w:pPr>
        <w:pStyle w:val="TextBody"/>
        <w:bidi w:val="0"/>
        <w:spacing w:lineRule="auto" w:line="487" w:before="0" w:after="0"/>
        <w:jc w:val="left"/>
        <w:rPr/>
      </w:pPr>
      <w:r>
        <w:rPr>
          <w:rFonts w:ascii="Times New Roman;serif" w:hAnsi="Times New Roman;serif"/>
          <w:b w:val="false"/>
          <w:color w:val="000000"/>
          <w:sz w:val="20"/>
        </w:rPr>
        <w:t xml:space="preserve">Impact on Basis of Design: </w:t>
      </w:r>
      <w:r>
        <w:rPr>
          <w:rFonts w:ascii="Times New Roman;serif" w:hAnsi="Times New Roman;serif"/>
          <w:b/>
          <w:color w:val="000000"/>
          <w:sz w:val="20"/>
        </w:rPr>
        <w:t>N/A</w:t>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Agreement: </w:t>
      </w:r>
      <w:r>
        <w:rPr>
          <w:rFonts w:ascii="Times New Roman;serif" w:hAnsi="Times New Roman;serif"/>
          <w:b/>
          <w:color w:val="000000"/>
          <w:sz w:val="20"/>
        </w:rPr>
        <w:t>N/A</w:t>
      </w:r>
    </w:p>
    <w:p>
      <w:pPr>
        <w:pStyle w:val="TextBody"/>
        <w:bidi w:val="0"/>
        <w:spacing w:before="0" w:after="0"/>
        <w:ind w:left="0" w:right="0" w:firstLine="360"/>
        <w:jc w:val="left"/>
        <w:rPr/>
      </w:pPr>
      <w:r>
        <w:rPr/>
      </w:r>
    </w:p>
    <w:p>
      <w:pPr>
        <w:pStyle w:val="TextBody"/>
        <w:bidi w:val="0"/>
        <w:spacing w:lineRule="auto" w:line="268" w:before="0" w:after="0"/>
        <w:ind w:left="0" w:right="0" w:hanging="540"/>
        <w:jc w:val="both"/>
        <w:rPr/>
      </w:pPr>
      <w:r>
        <w:rPr>
          <w:rFonts w:ascii="Times New Roman;serif" w:hAnsi="Times New Roman;serif"/>
          <w:b w:val="false"/>
          <w:color w:val="000000"/>
          <w:sz w:val="22"/>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w:t>
      </w:r>
    </w:p>
    <w:p>
      <w:pPr>
        <w:pStyle w:val="TextBody"/>
        <w:bidi w:val="0"/>
        <w:spacing w:lineRule="auto" w:line="268" w:before="0" w:after="0"/>
        <w:jc w:val="both"/>
        <w:rPr/>
      </w:pPr>
      <w:r>
        <w:rPr>
          <w:rFonts w:ascii="Times New Roman;serif" w:hAnsi="Times New Roman;serif"/>
          <w:b w:val="false"/>
          <w:color w:val="000000"/>
          <w:sz w:val="20"/>
        </w:rPr>
        <w:t xml:space="preserve">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w:t>
      </w:r>
      <w:r>
        <w:rPr>
          <w:rFonts w:ascii="Times New Roman;serif" w:hAnsi="Times New Roman;serif"/>
          <w:b w:val="false"/>
          <w:color w:val="000000"/>
          <w:sz w:val="20"/>
          <w:u w:val="single"/>
        </w:rPr>
        <w:t>SFO</w:t>
      </w:r>
      <w:r>
        <w:rPr>
          <w:color w:val="000000"/>
        </w:rPr>
        <w:t xml:space="preserve">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[B]</w:t>
      </w:r>
      <w:r>
        <w:rPr>
          <w:strike/>
          <w:color w:val="000000"/>
        </w:rPr>
        <w:t xml:space="preserve"> </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 xml:space="preserve">and </w:t>
      </w:r>
    </w:p>
    <w:p>
      <w:pPr>
        <w:pStyle w:val="TextBody"/>
        <w:bidi w:val="0"/>
        <w:spacing w:lineRule="auto" w:line="268" w:before="0" w:after="0"/>
        <w:jc w:val="both"/>
        <w:rPr/>
      </w:pPr>
      <w:r>
        <w:rPr>
          <w:rFonts w:ascii="Times New Roman;serif" w:hAnsi="Times New Roman;serif"/>
          <w:b w:val="false"/>
          <w:strike/>
          <w:color w:val="000000"/>
          <w:sz w:val="20"/>
        </w:rPr>
        <w:t>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be deemed to compensate Contractor fully for such change, subject to the below: </w:t>
      </w:r>
    </w:p>
    <w:p>
      <w:pPr>
        <w:pStyle w:val="TextBody"/>
        <w:bidi w:val="0"/>
        <w:spacing w:lineRule="auto" w:line="268" w:before="0" w:after="0"/>
        <w:ind w:left="0" w:right="0" w:hanging="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6,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2306"/>
        <w:gridCol w:w="1989"/>
        <w:gridCol w:w="1995"/>
        <w:gridCol w:w="109"/>
        <w:gridCol w:w="109"/>
        <w:gridCol w:w="109"/>
        <w:gridCol w:w="1050"/>
        <w:gridCol w:w="1050"/>
        <w:gridCol w:w="1488"/>
      </w:tblGrid>
      <w:tr>
        <w:trPr/>
        <w:tc>
          <w:tcPr>
            <w:tcW w:w="230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June 7, 2025</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Agreement for Train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EC40031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SCT4027</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Train 4,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7233" w:type="dxa"/>
        <w:jc w:val="left"/>
        <w:tblInd w:w="0" w:type="dxa"/>
        <w:tblLayout w:type="fixed"/>
        <w:tblCellMar>
          <w:top w:w="28" w:type="dxa"/>
          <w:left w:w="28" w:type="dxa"/>
          <w:bottom w:w="28" w:type="dxa"/>
          <w:right w:w="28" w:type="dxa"/>
        </w:tblCellMar>
      </w:tblPr>
      <w:tblGrid>
        <w:gridCol w:w="530"/>
        <w:gridCol w:w="465"/>
        <w:gridCol w:w="465"/>
        <w:gridCol w:w="465"/>
        <w:gridCol w:w="465"/>
        <w:gridCol w:w="465"/>
        <w:gridCol w:w="465"/>
        <w:gridCol w:w="465"/>
        <w:gridCol w:w="465"/>
        <w:gridCol w:w="465"/>
        <w:gridCol w:w="465"/>
        <w:gridCol w:w="465"/>
        <w:gridCol w:w="465"/>
        <w:gridCol w:w="465"/>
        <w:gridCol w:w="658"/>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72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ATTACHMENT C UPDATE – UPDATE FOR Q1 2026 CHANGE ORDERS</w:t>
            </w:r>
          </w:p>
        </w:tc>
      </w:tr>
    </w:tbl>
    <w:p>
      <w:pPr>
        <w:pStyle w:val="TextBody"/>
        <w:bidi w:val="0"/>
        <w:spacing w:before="0" w:after="120"/>
        <w:ind w:left="0" w:right="0" w:hanging="1"/>
        <w:jc w:val="both"/>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Owner and Contractor executed Change Orders to the Agreement that deferred the changes to Attachment C. The changes to Attachment C from each of the Change Orders listed in Table 1 (Previously Executed Change Orders Requiring Incorporation into Attachment C) are to be incorporated into Attachment C as provided for in this Change Order EC40031_SCT4027. The respective adjustment to Contract Price was captured in the Change Orders.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Table 1 – Previously Executed Change Orders Requiring Incorporation into Attachment 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The Agreement between the Parties listed above is changed as follows:</w:t>
      </w:r>
    </w:p>
    <w:p>
      <w:pPr>
        <w:pStyle w:val="TextBody"/>
        <w:bidi w:val="0"/>
        <w:spacing w:before="0" w:after="0"/>
        <w:ind w:left="0" w:right="0" w:hanging="720"/>
        <w:jc w:val="left"/>
        <w:rPr/>
      </w:pPr>
      <w:r>
        <w:rPr/>
      </w:r>
    </w:p>
    <w:p>
      <w:pPr>
        <w:pStyle w:val="TextBody"/>
        <w:bidi w:val="0"/>
        <w:spacing w:lineRule="auto" w:line="268" w:before="0" w:after="0"/>
        <w:ind w:left="0" w:right="0" w:hanging="1080"/>
        <w:jc w:val="left"/>
        <w:rPr/>
      </w:pPr>
      <w:r>
        <w:rPr>
          <w:rFonts w:ascii="Times New Roman;serif" w:hAnsi="Times New Roman;serif"/>
          <w:b/>
          <w:color w:val="000000"/>
          <w:sz w:val="20"/>
        </w:rPr>
        <w:t>1.</w:t>
      </w:r>
      <w:r>
        <w:rPr>
          <w:rFonts w:ascii="Times New Roman;serif" w:hAnsi="Times New Roman;serif"/>
          <w:b/>
          <w:color w:val="000000"/>
          <w:sz w:val="20"/>
          <w:u w:val="single"/>
        </w:rPr>
        <w:t>Attachment C, Appendix 1 (Contract Price Breakdown)</w:t>
      </w:r>
      <w:r>
        <w:rPr>
          <w:color w:val="000000"/>
        </w:rPr>
        <w:t xml:space="preserve"> – </w:t>
      </w:r>
      <w:r>
        <w:rPr>
          <w:rFonts w:ascii="Times New Roman;serif" w:hAnsi="Times New Roman;serif"/>
          <w:b w:val="false"/>
          <w:color w:val="000000"/>
          <w:sz w:val="20"/>
        </w:rPr>
        <w:t>This appendix shall be updated per the Appendix 1 (Contract Price Breakdown) as provided in Attachment 1 to this Change Order.</w:t>
      </w:r>
    </w:p>
    <w:p>
      <w:pPr>
        <w:pStyle w:val="TextBody"/>
        <w:bidi w:val="0"/>
        <w:spacing w:before="0" w:after="0"/>
        <w:ind w:left="0" w:right="0" w:hanging="720"/>
        <w:jc w:val="left"/>
        <w:rPr/>
      </w:pPr>
      <w:r>
        <w:rPr/>
      </w:r>
    </w:p>
    <w:p>
      <w:pPr>
        <w:pStyle w:val="TextBody"/>
        <w:bidi w:val="0"/>
        <w:spacing w:lineRule="auto" w:line="268" w:before="0" w:after="0"/>
        <w:ind w:left="0" w:right="0" w:hanging="1080"/>
        <w:jc w:val="left"/>
        <w:rPr/>
      </w:pPr>
      <w:r>
        <w:rPr>
          <w:rFonts w:ascii="Times New Roman;serif" w:hAnsi="Times New Roman;serif"/>
          <w:b/>
          <w:color w:val="000000"/>
          <w:sz w:val="20"/>
        </w:rPr>
        <w:t>2.</w:t>
      </w:r>
      <w:r>
        <w:rPr>
          <w:rFonts w:ascii="Times New Roman;serif" w:hAnsi="Times New Roman;serif"/>
          <w:b/>
          <w:color w:val="000000"/>
          <w:sz w:val="20"/>
          <w:u w:val="single"/>
        </w:rPr>
        <w:t>Attachment C, Schedule C-2 (Payment Milestones)</w:t>
      </w:r>
      <w:r>
        <w:rPr>
          <w:color w:val="000000"/>
        </w:rPr>
        <w:t xml:space="preserve"> – </w:t>
      </w:r>
      <w:r>
        <w:rPr>
          <w:rFonts w:ascii="Times New Roman;serif" w:hAnsi="Times New Roman;serif"/>
          <w:b w:val="false"/>
          <w:color w:val="000000"/>
          <w:sz w:val="20"/>
        </w:rPr>
        <w:t>This schedule shall be updated per the Schedule C-2 (Payment Milestones) as provided in Attachment 2 to this Change Order.</w:t>
      </w:r>
    </w:p>
    <w:p>
      <w:pPr>
        <w:pStyle w:val="TextBody"/>
        <w:bidi w:val="0"/>
        <w:spacing w:before="0" w:after="0"/>
        <w:ind w:left="0" w:right="0" w:hanging="720"/>
        <w:jc w:val="left"/>
        <w:rPr/>
      </w:pPr>
      <w:r>
        <w:rPr/>
      </w:r>
    </w:p>
    <w:p>
      <w:pPr>
        <w:pStyle w:val="TextBody"/>
        <w:bidi w:val="0"/>
        <w:spacing w:lineRule="auto" w:line="268" w:before="0" w:after="0"/>
        <w:ind w:left="0" w:right="0" w:hanging="1080"/>
        <w:jc w:val="left"/>
        <w:rPr/>
      </w:pPr>
      <w:r>
        <w:rPr>
          <w:rFonts w:ascii="Times New Roman;serif" w:hAnsi="Times New Roman;serif"/>
          <w:b/>
          <w:color w:val="000000"/>
          <w:sz w:val="20"/>
        </w:rPr>
        <w:t>3.</w:t>
      </w:r>
      <w:r>
        <w:rPr>
          <w:rFonts w:ascii="Times New Roman;serif" w:hAnsi="Times New Roman;serif"/>
          <w:b/>
          <w:color w:val="000000"/>
          <w:sz w:val="20"/>
          <w:u w:val="single"/>
        </w:rPr>
        <w:t>Attachment C, Schedule C-3 (Maximum Cumulative Payment Schedule)</w:t>
      </w:r>
      <w:r>
        <w:rPr>
          <w:color w:val="000000"/>
        </w:rPr>
        <w:t xml:space="preserve"> – </w:t>
      </w:r>
      <w:r>
        <w:rPr>
          <w:rFonts w:ascii="Times New Roman;serif" w:hAnsi="Times New Roman;serif"/>
          <w:b w:val="false"/>
          <w:color w:val="000000"/>
          <w:sz w:val="20"/>
        </w:rPr>
        <w:t>This schedule shall be updated per the Schedule C-3 (Maximum Cumulative Payment Schedule) as provided in Attachment 3 to this Change Order.</w:t>
      </w:r>
    </w:p>
    <w:p>
      <w:pPr>
        <w:pStyle w:val="TextBody"/>
        <w:bidi w:val="0"/>
        <w:spacing w:before="0" w:after="0"/>
        <w:ind w:left="0" w:right="0" w:hanging="720"/>
        <w:jc w:val="left"/>
        <w:rPr/>
      </w:pPr>
      <w:r>
        <w:rPr/>
      </w:r>
    </w:p>
    <w:p>
      <w:pPr>
        <w:pStyle w:val="TextBody"/>
        <w:bidi w:val="0"/>
        <w:spacing w:lineRule="auto" w:line="26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Attachments to support this Change Order:</w:t>
      </w:r>
    </w:p>
    <w:p>
      <w:pPr>
        <w:pStyle w:val="TextBody"/>
        <w:bidi w:val="0"/>
        <w:spacing w:before="0" w:after="0"/>
        <w:ind w:left="0" w:right="0" w:hanging="72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Attachment 1 – Appendix 1 (Contract Price Breakdown), as updated by this Change Order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Attachment 2 –Schedule C-2 (Payment Milestones), as updated by this Change Order</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Attachment 3 –Schedule C-3 (Maximum Cumulative Payment Schedule), as updated by this Change Order</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915"/>
        <w:gridCol w:w="905"/>
        <w:gridCol w:w="905"/>
        <w:gridCol w:w="905"/>
        <w:gridCol w:w="905"/>
        <w:gridCol w:w="905"/>
        <w:gridCol w:w="905"/>
        <w:gridCol w:w="905"/>
        <w:gridCol w:w="905"/>
        <w:gridCol w:w="211"/>
        <w:gridCol w:w="133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4,768,401,000 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89,974,482 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4,858,375,482 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4,858,375,482 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76"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Schedule C-2 (Payment Milestones) is updated as provided in Attachment 2. </w:t>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Schedule C-3 (Maximum Cumulative Payment Schedule) is updated as provided in Attachment 3. </w:t>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Minimum Acceptance Criteria: N/A</w:t>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Impact on Performance Guarantees: N/A </w:t>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Impact on Basis of Design: N/A</w: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Any other impacts to obligation or potential liability of Contractor or Owner under the Agreement: N/A</w:t>
      </w:r>
    </w:p>
    <w:p>
      <w:pPr>
        <w:pStyle w:val="TextBody"/>
        <w:bidi w:val="0"/>
        <w:spacing w:before="0" w:after="0"/>
        <w:ind w:left="0" w:right="0" w:firstLine="360"/>
        <w:jc w:val="both"/>
        <w:rPr/>
      </w:pPr>
      <w:r>
        <w:rPr/>
      </w:r>
    </w:p>
    <w:p>
      <w:pPr>
        <w:pStyle w:val="TextBody"/>
        <w:bidi w:val="0"/>
        <w:spacing w:lineRule="auto" w:line="268" w:before="0" w:after="0"/>
        <w:ind w:left="0" w:right="0" w:hanging="450"/>
        <w:jc w:val="left"/>
        <w:rPr/>
      </w:pPr>
      <w:r>
        <w:rPr>
          <w:rFonts w:ascii="Times New Roman;serif" w:hAnsi="Times New Roman;serif"/>
          <w:b w:val="false"/>
          <w:color w:val="000000"/>
          <w:sz w:val="20"/>
        </w:rPr>
        <w:t xml:space="preserve">[A]This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w:t>
      </w:r>
    </w:p>
    <w:p>
      <w:pPr>
        <w:pStyle w:val="TextBody"/>
        <w:bidi w:val="0"/>
        <w:spacing w:lineRule="auto" w:line="268" w:before="0" w:after="0"/>
        <w:jc w:val="left"/>
        <w:rPr/>
      </w:pPr>
      <w:r>
        <w:rPr>
          <w:rFonts w:ascii="Times New Roman;serif" w:hAnsi="Times New Roman;serif"/>
          <w:b w:val="false"/>
          <w:color w:val="000000"/>
          <w:sz w:val="20"/>
        </w:rPr>
        <w:t xml:space="preserve">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SFO 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68" w:before="0" w:after="0"/>
        <w:ind w:left="0" w:right="0" w:hanging="450"/>
        <w:jc w:val="both"/>
        <w:rPr/>
      </w:pPr>
      <w:r>
        <w:rPr>
          <w:rFonts w:ascii="Times New Roman;serif" w:hAnsi="Times New Roman;serif"/>
          <w:b w:val="false"/>
          <w:color w:val="000000"/>
          <w:sz w:val="22"/>
        </w:rPr>
        <w:t>[B]</w:t>
      </w:r>
      <w:r>
        <w:rPr>
          <w:strike/>
          <w:color w:val="000000"/>
        </w:rPr>
        <w:t xml:space="preserve"> </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 xml:space="preserve">and </w:t>
      </w:r>
    </w:p>
    <w:p>
      <w:pPr>
        <w:pStyle w:val="TextBody"/>
        <w:bidi w:val="0"/>
        <w:spacing w:lineRule="auto" w:line="268" w:before="0" w:after="0"/>
        <w:jc w:val="both"/>
        <w:rPr/>
      </w:pPr>
      <w:r>
        <w:rPr>
          <w:rFonts w:ascii="Times New Roman;serif" w:hAnsi="Times New Roman;serif"/>
          <w:b w:val="false"/>
          <w:strike/>
          <w:color w:val="000000"/>
          <w:sz w:val="20"/>
        </w:rPr>
        <w:t>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be deemed to compensate Contractor fully for such change, subject to the below: </w:t>
      </w:r>
    </w:p>
    <w:p>
      <w:pPr>
        <w:pStyle w:val="TextBody"/>
        <w:bidi w:val="0"/>
        <w:spacing w:lineRule="auto" w:line="268" w:before="0" w:after="0"/>
        <w:ind w:left="0" w:right="0" w:firstLine="27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17,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BY CHIEF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RULE 13a-14(a) AND 15d-14(a) UNDER THE EXCHANGE ACT</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 Matthew K. Schatzman, certify that: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NextDecade Corporation;</w:t>
      </w:r>
    </w:p>
    <w:p>
      <w:pPr>
        <w:pStyle w:val="TextBody"/>
        <w:bidi w:val="0"/>
        <w:spacing w:lineRule="auto" w:line="288" w:before="240" w:after="283"/>
        <w:ind w:left="0" w:right="0" w:firstLine="360"/>
        <w:jc w:val="both"/>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ind w:left="0" w:right="0" w:firstLine="360"/>
        <w:jc w:val="both"/>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bl>
      <w:tblPr>
        <w:tblW w:w="5385" w:type="dxa"/>
        <w:jc w:val="left"/>
        <w:tblInd w:w="0" w:type="dxa"/>
        <w:tblLayout w:type="fixed"/>
        <w:tblCellMar>
          <w:top w:w="28" w:type="dxa"/>
          <w:left w:w="28" w:type="dxa"/>
          <w:bottom w:w="28" w:type="dxa"/>
          <w:right w:w="28" w:type="dxa"/>
        </w:tblCellMar>
      </w:tblPr>
      <w:tblGrid>
        <w:gridCol w:w="574"/>
        <w:gridCol w:w="506"/>
        <w:gridCol w:w="510"/>
        <w:gridCol w:w="1110"/>
        <w:gridCol w:w="1110"/>
        <w:gridCol w:w="1575"/>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Date: April 30, 2026</w:t>
            </w:r>
          </w:p>
        </w:tc>
        <w:tc>
          <w:tcPr>
            <w:tcW w:w="37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Matthew K. Schatzman</w:t>
            </w:r>
          </w:p>
        </w:tc>
      </w:tr>
      <w:tr>
        <w:trPr/>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Matthew K. Schatzman</w:t>
            </w:r>
          </w:p>
        </w:tc>
      </w:tr>
      <w:tr>
        <w:trPr/>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and Chief Executive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BY CHIEF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RULE 13a-14(a) AND 15d-14(a) UNDER THE EXCHANGE ACT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 Michael R. Mott, certify that: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NextDecade Corporation;</w:t>
      </w:r>
    </w:p>
    <w:p>
      <w:pPr>
        <w:pStyle w:val="TextBody"/>
        <w:bidi w:val="0"/>
        <w:spacing w:lineRule="auto" w:line="288" w:before="240" w:after="283"/>
        <w:ind w:left="0" w:right="0" w:firstLine="360"/>
        <w:jc w:val="both"/>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ind w:left="0" w:right="0" w:firstLine="360"/>
        <w:jc w:val="both"/>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bl>
      <w:tblPr>
        <w:tblW w:w="7770" w:type="dxa"/>
        <w:jc w:val="left"/>
        <w:tblInd w:w="0" w:type="dxa"/>
        <w:tblLayout w:type="fixed"/>
        <w:tblCellMar>
          <w:top w:w="28" w:type="dxa"/>
          <w:left w:w="28" w:type="dxa"/>
          <w:bottom w:w="28" w:type="dxa"/>
          <w:right w:w="28" w:type="dxa"/>
        </w:tblCellMar>
      </w:tblPr>
      <w:tblGrid>
        <w:gridCol w:w="574"/>
        <w:gridCol w:w="506"/>
        <w:gridCol w:w="510"/>
        <w:gridCol w:w="1807"/>
        <w:gridCol w:w="1807"/>
        <w:gridCol w:w="2566"/>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Date: April 30, 2026</w:t>
            </w:r>
          </w:p>
        </w:tc>
        <w:tc>
          <w:tcPr>
            <w:tcW w:w="6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R. Mott</w:t>
            </w:r>
          </w:p>
        </w:tc>
      </w:tr>
      <w:tr>
        <w:trPr/>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1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Michael R. Mott</w:t>
            </w:r>
          </w:p>
        </w:tc>
      </w:tr>
      <w:tr>
        <w:trPr/>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18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Enterprise Transformation and Interim Chief Financial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pPr>
      <w:r>
        <w:rPr>
          <w:rFonts w:ascii="Times New Roman;serif" w:hAnsi="Times New Roman;serif"/>
          <w:b/>
          <w:color w:val="000000"/>
          <w:sz w:val="20"/>
        </w:rPr>
        <w:t>Exhibit 32.1</w:t>
      </w:r>
      <w:r>
        <w:rPr>
          <w:color w:val="000000"/>
        </w:rPr>
        <w:t xml:space="preserve"> </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CERTIFICATION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18 U.S.C. SECTION 1350,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ADOPTED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SECTION 906 OF THE SARBANES-OXLEY ACT OF 2002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 Matthew K. Schatzman, Chairman of the Board and Chief Executive Officer of NextDecade Corporation (the “Company”), hereby certify, pursuant to 18 U.S.C. §1350, as adopted pursuant to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Quarterly Report on Form 10-Q of the Company for the fiscal quarter ended March 31, 2026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5385" w:type="dxa"/>
        <w:jc w:val="left"/>
        <w:tblInd w:w="0" w:type="dxa"/>
        <w:tblLayout w:type="fixed"/>
        <w:tblCellMar>
          <w:top w:w="28" w:type="dxa"/>
          <w:left w:w="28" w:type="dxa"/>
          <w:bottom w:w="28" w:type="dxa"/>
          <w:right w:w="28" w:type="dxa"/>
        </w:tblCellMar>
      </w:tblPr>
      <w:tblGrid>
        <w:gridCol w:w="574"/>
        <w:gridCol w:w="506"/>
        <w:gridCol w:w="510"/>
        <w:gridCol w:w="1110"/>
        <w:gridCol w:w="1110"/>
        <w:gridCol w:w="1575"/>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Date: April 30, 2026</w:t>
            </w:r>
          </w:p>
        </w:tc>
        <w:tc>
          <w:tcPr>
            <w:tcW w:w="37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Matthew K. Schatzman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Matthew K. Schatzman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and Chief Executive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32.2 </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CERTIFICATION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18 U.S.C. SECTION 1350,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ADOPTED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SECTION 906 OF THE SARBANES-OXLEY ACT OF 2002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 Michael R. Mott, Interim Chief Financial Officer of NextDecade Corporation (the “Company”), hereby certify, pursuant to 18 U.S.C. §1350, as adopted pursuant to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Quarterly Report on Form 10-Q of the Company for the fiscal quarter ended March 31, 2026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7770" w:type="dxa"/>
        <w:jc w:val="left"/>
        <w:tblInd w:w="0" w:type="dxa"/>
        <w:tblLayout w:type="fixed"/>
        <w:tblCellMar>
          <w:top w:w="28" w:type="dxa"/>
          <w:left w:w="28" w:type="dxa"/>
          <w:bottom w:w="28" w:type="dxa"/>
          <w:right w:w="28" w:type="dxa"/>
        </w:tblCellMar>
      </w:tblPr>
      <w:tblGrid>
        <w:gridCol w:w="574"/>
        <w:gridCol w:w="506"/>
        <w:gridCol w:w="510"/>
        <w:gridCol w:w="1807"/>
        <w:gridCol w:w="1807"/>
        <w:gridCol w:w="2566"/>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Date: April 30, 2026</w:t>
            </w:r>
          </w:p>
        </w:tc>
        <w:tc>
          <w:tcPr>
            <w:tcW w:w="6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R. Mott</w:t>
            </w:r>
          </w:p>
        </w:tc>
      </w:tr>
      <w:tr>
        <w:trPr/>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1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Michael R. Mott</w:t>
            </w:r>
          </w:p>
        </w:tc>
      </w:tr>
      <w:tr>
        <w:trPr/>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18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Enterprise Transformation and Interim Chief Financial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612720/000121390017008018/f8k072417ex3i_nextdecade.htm" TargetMode="External"/><Relationship Id="rId5" Type="http://schemas.openxmlformats.org/officeDocument/2006/relationships/hyperlink" Target="https://www.sec.gov/Archives/edgar/data/1612720/000143774922015895/ex_389213.htm" TargetMode="External"/><Relationship Id="rId6" Type="http://schemas.openxmlformats.org/officeDocument/2006/relationships/hyperlink" Target="https://www.sec.gov/Archives/edgar/data/1612720/000155837018009764/ex-4d3.htm" TargetMode="External"/><Relationship Id="rId7" Type="http://schemas.openxmlformats.org/officeDocument/2006/relationships/hyperlink" Target="https://www.sec.gov/Archives/edgar/data/1612720/000155837018009175/next-20180930ex346f6b8bc.htm" TargetMode="External"/><Relationship Id="rId8" Type="http://schemas.openxmlformats.org/officeDocument/2006/relationships/hyperlink" Target="https://www.sec.gov/Archives/edgar/data/1612720/000143774921006394/ex_234721.htm" TargetMode="External"/><Relationship Id="rId9" Type="http://schemas.openxmlformats.org/officeDocument/2006/relationships/hyperlink" Target="https://www.sec.gov/Archives/edgar/data/1612720/000161272019000027/next-20190712ex31ef147fc.htm" TargetMode="External"/><Relationship Id="rId10" Type="http://schemas.openxmlformats.org/officeDocument/2006/relationships/hyperlink" Target="https://www.sec.gov/Archives/edgar/data/1612720/000161272019000027/next-20190712ex329d611d6.htm" TargetMode="External"/><Relationship Id="rId11" Type="http://schemas.openxmlformats.org/officeDocument/2006/relationships/hyperlink" Target="https://www.sec.gov/Archives/edgar/data/1612720/000155837019007245/next-20190630ex373d0be0b.htm" TargetMode="External"/><Relationship Id="rId12" Type="http://schemas.openxmlformats.org/officeDocument/2006/relationships/hyperlink" Target="https://www.sec.gov/Archives/edgar/data/1612720/000155837019007245/next-20190630ex38be48415.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74</Pages>
  <Words>37918</Words>
  <Characters>205118</Characters>
  <CharactersWithSpaces>241507</CharactersWithSpaces>
  <Paragraphs>2764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