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filed with the Securities and Exchange Commission on July 30, 2026</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color w:val="000000"/>
          <w:sz w:val="28"/>
        </w:rPr>
        <w:t>UNITED STATES</w:t>
        <w:br/>
        <w:t>SECURITIES AND EXCHANGE COMMISSION</w:t>
        <w:br/>
      </w:r>
      <w:r>
        <w:rPr>
          <w:rFonts w:ascii="Times New Roman;serif" w:hAnsi="Times New Roman;serif"/>
          <w:b/>
          <w:color w:val="000000"/>
          <w:sz w:val="20"/>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00"/>
              <w:jc w:val="left"/>
              <w:rPr>
                <w:color w:val="000000"/>
              </w:rPr>
            </w:pPr>
            <w:r>
              <w:rPr>
                <w:color w:val="000000"/>
              </w:rPr>
              <w:t> </w:t>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S-8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REGISTRATION STATEMENT</w:t>
        <w:br/>
        <w:t>UNDER</w:t>
        <w:br/>
        <w:t>THE SECURITIES ACT OF 1933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00"/>
              <w:jc w:val="left"/>
              <w:rPr>
                <w:color w:val="000000"/>
              </w:rPr>
            </w:pPr>
            <w:r>
              <w:rPr>
                <w:color w:val="000000"/>
              </w:rPr>
              <w:t> </w:t>
            </w:r>
          </w:p>
        </w:tc>
      </w:tr>
    </w:tbl>
    <w:p>
      <w:pPr>
        <w:pStyle w:val="TextBody"/>
        <w:bidi w:val="0"/>
        <w:spacing w:before="0" w:after="0"/>
        <w:jc w:val="center"/>
        <w:rPr/>
      </w:pPr>
      <w:r>
        <w:rPr/>
        <w:drawing>
          <wp:inline distT="0" distB="0" distL="0" distR="0">
            <wp:extent cx="54292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2925" cy="552450"/>
                    </a:xfrm>
                    <a:prstGeom prst="rect">
                      <a:avLst/>
                    </a:prstGeom>
                  </pic:spPr>
                </pic:pic>
              </a:graphicData>
            </a:graphic>
          </wp:inline>
        </w:drawing>
      </w:r>
    </w:p>
    <w:p>
      <w:pPr>
        <w:pStyle w:val="TextBody"/>
        <w:bidi w:val="0"/>
        <w:spacing w:lineRule="auto" w:line="240" w:before="200" w:after="120"/>
        <w:jc w:val="center"/>
        <w:rPr>
          <w:rFonts w:ascii="Times New Roman;serif" w:hAnsi="Times New Roman;serif"/>
          <w:b/>
          <w:color w:val="000000"/>
          <w:sz w:val="36"/>
        </w:rPr>
      </w:pPr>
      <w:r>
        <w:rPr>
          <w:rFonts w:ascii="Times New Roman;serif" w:hAnsi="Times New Roman;serif"/>
          <w:b/>
          <w:color w:val="000000"/>
          <w:sz w:val="36"/>
        </w:rPr>
        <w:t>NextDecade Corporation</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00"/>
              <w:jc w:val="left"/>
              <w:rPr/>
            </w:pPr>
            <w:r>
              <w:rPr/>
            </w:r>
          </w:p>
        </w:tc>
      </w:tr>
    </w:tbl>
    <w:tbl>
      <w:tblPr>
        <w:tblW w:w="6958" w:type="dxa"/>
        <w:jc w:val="left"/>
        <w:tblInd w:w="0" w:type="dxa"/>
        <w:tblLayout w:type="fixed"/>
        <w:tblCellMar>
          <w:top w:w="28" w:type="dxa"/>
          <w:left w:w="28" w:type="dxa"/>
          <w:bottom w:w="28" w:type="dxa"/>
          <w:right w:w="28" w:type="dxa"/>
        </w:tblCellMar>
      </w:tblPr>
      <w:tblGrid>
        <w:gridCol w:w="1549"/>
        <w:gridCol w:w="1360"/>
        <w:gridCol w:w="1380"/>
        <w:gridCol w:w="779"/>
        <w:gridCol w:w="779"/>
        <w:gridCol w:w="1111"/>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46-5723951</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2669"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tbl>
      <w:tblPr>
        <w:tblW w:w="3719" w:type="dxa"/>
        <w:jc w:val="left"/>
        <w:tblInd w:w="0" w:type="dxa"/>
        <w:tblLayout w:type="fixed"/>
        <w:tblCellMar>
          <w:top w:w="28" w:type="dxa"/>
          <w:left w:w="28" w:type="dxa"/>
          <w:bottom w:w="28" w:type="dxa"/>
          <w:right w:w="28" w:type="dxa"/>
        </w:tblCellMar>
      </w:tblPr>
      <w:tblGrid>
        <w:gridCol w:w="1190"/>
        <w:gridCol w:w="1047"/>
        <w:gridCol w:w="1482"/>
      </w:tblGrid>
      <w:tr>
        <w:trPr/>
        <w:tc>
          <w:tcPr>
            <w:tcW w:w="119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120" w:after="120"/>
              <w:jc w:val="center"/>
              <w:rPr>
                <w:rFonts w:ascii="Times New Roman;serif" w:hAnsi="Times New Roman;serif"/>
                <w:b/>
                <w:color w:val="000000"/>
                <w:sz w:val="18"/>
              </w:rPr>
            </w:pPr>
            <w:r>
              <w:rPr>
                <w:rFonts w:ascii="Times New Roman;serif" w:hAnsi="Times New Roman;serif"/>
                <w:b/>
                <w:color w:val="000000"/>
                <w:sz w:val="18"/>
              </w:rPr>
              <w:t>1000 Louisiana Street, Suite 3300</w:t>
              <w:br/>
              <w:t>Houston, Texas 77002</w:t>
              <w:br/>
              <w:t>(713) 574-1880</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(Zip Code)</w:t>
            </w:r>
          </w:p>
        </w:tc>
      </w:tr>
    </w:tbl>
    <w:tbl>
      <w:tblPr>
        <w:tblW w:w="5835" w:type="dxa"/>
        <w:jc w:val="left"/>
        <w:tblInd w:w="0" w:type="dxa"/>
        <w:tblLayout w:type="fixed"/>
        <w:tblCellMar>
          <w:top w:w="28" w:type="dxa"/>
          <w:left w:w="28" w:type="dxa"/>
          <w:bottom w:w="28" w:type="dxa"/>
          <w:right w:w="28" w:type="dxa"/>
        </w:tblCellMar>
      </w:tblPr>
      <w:tblGrid>
        <w:gridCol w:w="1868"/>
        <w:gridCol w:w="1642"/>
        <w:gridCol w:w="2325"/>
      </w:tblGrid>
      <w:tr>
        <w:trPr/>
        <w:tc>
          <w:tcPr>
            <w:tcW w:w="1868"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lineRule="auto" w:line="240" w:before="120" w:after="120"/>
              <w:jc w:val="center"/>
              <w:rPr>
                <w:rFonts w:ascii="Times New Roman;serif" w:hAnsi="Times New Roman;serif"/>
                <w:b/>
                <w:color w:val="000000"/>
                <w:sz w:val="18"/>
              </w:rPr>
            </w:pPr>
            <w:r>
              <w:rPr>
                <w:rFonts w:ascii="Times New Roman;serif" w:hAnsi="Times New Roman;serif"/>
                <w:b/>
                <w:color w:val="000000"/>
                <w:sz w:val="18"/>
              </w:rPr>
              <w:t>NEXTDECADE CORPORATION 2017 OMNIBUS INCENTIVE PLAN</w:t>
            </w:r>
          </w:p>
        </w:tc>
      </w:tr>
      <w:tr>
        <w:trPr/>
        <w:tc>
          <w:tcPr>
            <w:tcW w:w="5835"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Times New Roman;serif" w:hAnsi="Times New Roman;serif"/>
                <w:b w:val="false"/>
                <w:color w:val="000000"/>
                <w:sz w:val="16"/>
              </w:rPr>
            </w:pPr>
            <w:r>
              <w:rPr>
                <w:rFonts w:ascii="Times New Roman;serif" w:hAnsi="Times New Roman;serif"/>
                <w:b w:val="false"/>
                <w:color w:val="000000"/>
                <w:sz w:val="16"/>
              </w:rPr>
              <w:t>(Full title of the plan)</w:t>
            </w:r>
          </w:p>
        </w:tc>
      </w:tr>
    </w:tbl>
    <w:tbl>
      <w:tblPr>
        <w:tblW w:w="2939" w:type="dxa"/>
        <w:jc w:val="left"/>
        <w:tblInd w:w="0" w:type="dxa"/>
        <w:tblLayout w:type="fixed"/>
        <w:tblCellMar>
          <w:top w:w="28" w:type="dxa"/>
          <w:left w:w="28" w:type="dxa"/>
          <w:bottom w:w="28" w:type="dxa"/>
          <w:right w:w="28" w:type="dxa"/>
        </w:tblCellMar>
      </w:tblPr>
      <w:tblGrid>
        <w:gridCol w:w="940"/>
        <w:gridCol w:w="827"/>
        <w:gridCol w:w="1172"/>
      </w:tblGrid>
      <w:tr>
        <w:trPr/>
        <w:tc>
          <w:tcPr>
            <w:tcW w:w="94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Vera de Gyarfas, General Counsel</w:t>
              <w:br/>
              <w:t>NextDecade Corporation</w:t>
              <w:br/>
              <w:t>1000 Louisiana Street, Suite 3300</w:t>
              <w:br/>
              <w:t>Houston, Texas 77002</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Times New Roman;serif" w:hAnsi="Times New Roman;serif"/>
                <w:b w:val="false"/>
                <w:color w:val="000000"/>
                <w:sz w:val="16"/>
              </w:rPr>
            </w:pPr>
            <w:r>
              <w:rPr>
                <w:rFonts w:ascii="Times New Roman;serif" w:hAnsi="Times New Roman;serif"/>
                <w:b w:val="false"/>
                <w:color w:val="000000"/>
                <w:sz w:val="16"/>
              </w:rPr>
              <w:t>(Name and address of agent for service)</w:t>
            </w:r>
          </w:p>
        </w:tc>
      </w:tr>
    </w:tbl>
    <w:tbl>
      <w:tblPr>
        <w:tblW w:w="4500" w:type="dxa"/>
        <w:jc w:val="left"/>
        <w:tblInd w:w="0" w:type="dxa"/>
        <w:tblLayout w:type="fixed"/>
        <w:tblCellMar>
          <w:top w:w="28" w:type="dxa"/>
          <w:left w:w="28" w:type="dxa"/>
          <w:bottom w:w="28" w:type="dxa"/>
          <w:right w:w="28" w:type="dxa"/>
        </w:tblCellMar>
      </w:tblPr>
      <w:tblGrid>
        <w:gridCol w:w="1441"/>
        <w:gridCol w:w="1263"/>
        <w:gridCol w:w="1796"/>
      </w:tblGrid>
      <w:tr>
        <w:trPr/>
        <w:tc>
          <w:tcPr>
            <w:tcW w:w="144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120" w:after="120"/>
              <w:jc w:val="center"/>
              <w:rPr>
                <w:rFonts w:ascii="Times New Roman;serif" w:hAnsi="Times New Roman;serif"/>
                <w:b/>
                <w:color w:val="000000"/>
                <w:sz w:val="18"/>
              </w:rPr>
            </w:pPr>
            <w:r>
              <w:rPr>
                <w:rFonts w:ascii="Times New Roman;serif" w:hAnsi="Times New Roman;serif"/>
                <w:b/>
                <w:color w:val="000000"/>
                <w:sz w:val="18"/>
              </w:rPr>
              <w:t>(713) 574-1880</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Times New Roman;serif" w:hAnsi="Times New Roman;serif"/>
                <w:b w:val="false"/>
                <w:color w:val="000000"/>
                <w:sz w:val="16"/>
              </w:rPr>
            </w:pPr>
            <w:r>
              <w:rPr>
                <w:rFonts w:ascii="Times New Roman;serif" w:hAnsi="Times New Roman;serif"/>
                <w:b w:val="false"/>
                <w:color w:val="000000"/>
                <w:sz w:val="16"/>
              </w:rPr>
              <w:t>(Telephone number, including area code, of agent for service)</w:t>
            </w:r>
          </w:p>
        </w:tc>
      </w:tr>
    </w:tbl>
    <w:tbl>
      <w:tblPr>
        <w:tblW w:w="7829" w:type="dxa"/>
        <w:jc w:val="left"/>
        <w:tblInd w:w="0" w:type="dxa"/>
        <w:tblLayout w:type="fixed"/>
        <w:tblCellMar>
          <w:top w:w="28" w:type="dxa"/>
          <w:left w:w="28" w:type="dxa"/>
          <w:bottom w:w="28" w:type="dxa"/>
          <w:right w:w="28" w:type="dxa"/>
        </w:tblCellMar>
      </w:tblPr>
      <w:tblGrid>
        <w:gridCol w:w="2507"/>
        <w:gridCol w:w="2203"/>
        <w:gridCol w:w="3119"/>
      </w:tblGrid>
      <w:tr>
        <w:trPr/>
        <w:tc>
          <w:tcPr>
            <w:tcW w:w="2507"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3119" w:type="dxa"/>
            <w:tcBorders/>
            <w:vAlign w:val="center"/>
          </w:tcPr>
          <w:p>
            <w:pPr>
              <w:pStyle w:val="TableContents"/>
              <w:bidi w:val="0"/>
              <w:spacing w:before="0" w:after="283"/>
              <w:jc w:val="left"/>
              <w:rPr>
                <w:sz w:val="4"/>
                <w:szCs w:val="4"/>
              </w:rPr>
            </w:pPr>
            <w:r>
              <w:rPr>
                <w:sz w:val="4"/>
                <w:szCs w:val="4"/>
              </w:rPr>
            </w:r>
          </w:p>
        </w:tc>
      </w:tr>
      <w:tr>
        <w:trPr/>
        <w:tc>
          <w:tcPr>
            <w:tcW w:w="78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Copies of all communications, including communications sent to agent for service, should be sent to:</w:t>
              <w:br/>
              <w:t>Ryan J. Maierson</w:t>
              <w:br/>
              <w:t>Latham &amp; Watkins LLP</w:t>
              <w:br/>
              <w:t>811 Main Street, Suite 3700</w:t>
              <w:br/>
              <w:t>Houston, Texas 77002</w:t>
              <w:br/>
              <w:t>(713) 546-5400</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00"/>
              <w:jc w:val="left"/>
              <w:rPr/>
            </w:pPr>
            <w:r>
              <w:rPr/>
            </w:r>
          </w:p>
        </w:tc>
      </w:tr>
    </w:tbl>
    <w:p>
      <w:pPr>
        <w:pStyle w:val="TextBody"/>
        <w:bidi w:val="0"/>
        <w:spacing w:lineRule="auto" w:line="288" w:before="0" w:after="60"/>
        <w:ind w:left="0" w:right="0" w:firstLine="360"/>
        <w:jc w:val="left"/>
        <w:rPr>
          <w:rFonts w:ascii="Times New Roman;serif" w:hAnsi="Times New Roman;serif"/>
          <w:b w:val="false"/>
          <w:color w:val="000000"/>
          <w:sz w:val="15"/>
        </w:rPr>
      </w:pPr>
      <w:r>
        <w:rPr>
          <w:rFonts w:ascii="Times New Roman;serif" w:hAnsi="Times New Roman;serif"/>
          <w:b w:val="false"/>
          <w:color w:val="000000"/>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3849" w:type="dxa"/>
        <w:jc w:val="left"/>
        <w:tblInd w:w="0" w:type="dxa"/>
        <w:tblLayout w:type="fixed"/>
        <w:tblCellMar>
          <w:top w:w="28" w:type="dxa"/>
          <w:left w:w="28" w:type="dxa"/>
          <w:bottom w:w="28" w:type="dxa"/>
          <w:right w:w="28" w:type="dxa"/>
        </w:tblCellMar>
      </w:tblPr>
      <w:tblGrid>
        <w:gridCol w:w="511"/>
        <w:gridCol w:w="449"/>
        <w:gridCol w:w="450"/>
        <w:gridCol w:w="109"/>
        <w:gridCol w:w="109"/>
        <w:gridCol w:w="109"/>
        <w:gridCol w:w="579"/>
        <w:gridCol w:w="579"/>
        <w:gridCol w:w="582"/>
        <w:gridCol w:w="109"/>
        <w:gridCol w:w="109"/>
        <w:gridCol w:w="154"/>
      </w:tblGrid>
      <w:tr>
        <w:trPr/>
        <w:tc>
          <w:tcPr>
            <w:tcW w:w="5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5"/>
              </w:rPr>
            </w:pPr>
            <w:r>
              <w:rPr>
                <w:rFonts w:ascii="Wingdings;sans-serif" w:hAnsi="Wingdings;sans-serif"/>
                <w:b w:val="false"/>
                <w:color w:val="000000"/>
                <w:sz w:val="15"/>
              </w:rPr>
              <w:t>x</w:t>
            </w:r>
          </w:p>
        </w:tc>
        <w:tc>
          <w:tcPr>
            <w:tcW w:w="17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5"/>
              </w:rPr>
            </w:pPr>
            <w:r>
              <w:rPr>
                <w:rFonts w:ascii="Wingdings;sans-serif" w:hAnsi="Wingdings;sans-serif"/>
                <w:b w:val="false"/>
                <w:color w:val="000000"/>
                <w:sz w:val="15"/>
              </w:rPr>
              <w:t>o</w:t>
            </w:r>
          </w:p>
        </w:tc>
      </w:tr>
      <w:tr>
        <w:trPr/>
        <w:tc>
          <w:tcPr>
            <w:tcW w:w="14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5"/>
              </w:rPr>
            </w:pPr>
            <w:r>
              <w:rPr>
                <w:rFonts w:ascii="Wingdings;sans-serif" w:hAnsi="Wingdings;sans-serif"/>
                <w:b w:val="false"/>
                <w:color w:val="000000"/>
                <w:sz w:val="15"/>
              </w:rPr>
              <w:t>o</w:t>
            </w:r>
          </w:p>
        </w:tc>
        <w:tc>
          <w:tcPr>
            <w:tcW w:w="17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5"/>
              </w:rPr>
            </w:pPr>
            <w:r>
              <w:rPr>
                <w:rFonts w:ascii="Wingdings;sans-serif" w:hAnsi="Wingdings;sans-serif"/>
                <w:b w:val="false"/>
                <w:color w:val="000000"/>
                <w:sz w:val="15"/>
              </w:rPr>
              <w:t>o</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5"/>
              </w:rPr>
            </w:pPr>
            <w:r>
              <w:rPr>
                <w:rFonts w:ascii="Wingdings;sans-serif" w:hAnsi="Wingdings;sans-serif"/>
                <w:b w:val="false"/>
                <w:color w:val="000000"/>
                <w:sz w:val="15"/>
              </w:rPr>
              <w:t>o</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5"/>
        </w:rPr>
      </w:pPr>
      <w:r>
        <w:rPr>
          <w:rFonts w:ascii="Times New Roman;serif" w:hAnsi="Times New Roman;serif"/>
          <w:b w:val="false"/>
          <w:color w:val="000000"/>
          <w:sz w:val="15"/>
        </w:rPr>
        <w:t>If an emerging growth company, indicate by check mark if the registrant has elected not to use the extended transition period for complying with any new or revised financial accounting standards provided pursuant to Section 7(a)(2)(B) of the Securities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26720"/>
                <wp:effectExtent l="0" t="0" r="0" b="0"/>
                <wp:wrapNone/>
                <wp:docPr id="2" name="Frame1"/>
                <a:graphic xmlns:a="http://schemas.openxmlformats.org/drawingml/2006/main">
                  <a:graphicData uri="http://schemas.microsoft.com/office/word/2010/wordprocessingShape">
                    <wps:wsp>
                      <wps:cNvSpPr txBox="1"/>
                      <wps:spPr>
                        <a:xfrm>
                          <a:off x="0" y="0"/>
                          <a:ext cx="6480175" cy="426720"/>
                        </a:xfrm>
                        <a:prstGeom prst="rect"/>
                        <a:solidFill>
                          <a:srgbClr val="FFFFFF"/>
                        </a:solidFill>
                      </wps:spPr>
                      <wps:txbx>
                        <w:txbxContent>
                          <w:p>
                            <w:pPr>
                              <w:pStyle w:val="TextBody"/>
                              <w:bidi w:val="0"/>
                              <w:spacing w:before="0" w:after="120"/>
                              <w:jc w:val="center"/>
                              <w:rPr/>
                            </w:pPr>
                            <w:r>
                              <w:rPr/>
                            </w:r>
                            <w:r>
                              <w:br w:type="page"/>
                            </w:r>
                          </w:p>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before="0" w:after="120"/>
                        <w:jc w:val="left"/>
                        <w:rPr/>
                      </w:pPr>
                      <w:r>
                        <w:rPr/>
                      </w:r>
                    </w:p>
                  </w:txbxContent>
                </v:textbox>
                <w10:wrap type="none"/>
              </v:rect>
            </w:pict>
          </mc:Fallback>
        </mc:AlternateContent>
      </w:r>
    </w:p>
    <w:p>
      <w:pPr>
        <w:pStyle w:val="TextBody"/>
        <w:bidi w:val="0"/>
        <w:spacing w:lineRule="auto" w:line="240" w:before="200" w:after="20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200" w:after="200"/>
        <w:ind w:left="0" w:right="0" w:firstLine="720"/>
        <w:jc w:val="both"/>
        <w:rPr/>
      </w:pPr>
      <w:r>
        <w:rPr>
          <w:rFonts w:ascii="Times New Roman;serif" w:hAnsi="Times New Roman;serif"/>
          <w:b w:val="false"/>
          <w:color w:val="000000"/>
          <w:sz w:val="20"/>
        </w:rPr>
        <w:t>NextDecade Corporation (the “</w:t>
      </w:r>
      <w:r>
        <w:rPr>
          <w:rFonts w:ascii="Times New Roman;serif" w:hAnsi="Times New Roman;serif"/>
          <w:b w:val="false"/>
          <w:color w:val="000000"/>
          <w:sz w:val="20"/>
          <w:u w:val="single"/>
        </w:rPr>
        <w:t>Registrant</w:t>
      </w:r>
      <w:r>
        <w:rPr>
          <w:color w:val="000000"/>
        </w:rPr>
        <w:t>”</w:t>
      </w:r>
      <w:r>
        <w:rPr>
          <w:rFonts w:ascii="Times New Roman;serif" w:hAnsi="Times New Roman;serif"/>
          <w:b w:val="false"/>
          <w:color w:val="000000"/>
          <w:sz w:val="20"/>
        </w:rPr>
        <w:t>) is filing this Registration Statement on Form S-8 for the purpose of registering an additional 5,000,000 shares of common stock, par value $0.0001 per share (“</w:t>
      </w:r>
      <w:r>
        <w:rPr>
          <w:rFonts w:ascii="Times New Roman;serif" w:hAnsi="Times New Roman;serif"/>
          <w:b w:val="false"/>
          <w:color w:val="000000"/>
          <w:sz w:val="20"/>
          <w:u w:val="single"/>
        </w:rPr>
        <w:t>Common Stock</w:t>
      </w:r>
      <w:r>
        <w:rPr>
          <w:color w:val="000000"/>
        </w:rPr>
        <w:t>”</w:t>
      </w:r>
      <w:r>
        <w:rPr>
          <w:rFonts w:ascii="Times New Roman;serif" w:hAnsi="Times New Roman;serif"/>
          <w:b w:val="false"/>
          <w:color w:val="000000"/>
          <w:sz w:val="20"/>
        </w:rPr>
        <w:t>), issuable under the NextDecade Corporation 2017 Omnibus Incentive Plan, as amended (the “</w:t>
      </w:r>
      <w:r>
        <w:rPr>
          <w:rFonts w:ascii="Times New Roman;serif" w:hAnsi="Times New Roman;serif"/>
          <w:b w:val="false"/>
          <w:color w:val="000000"/>
          <w:sz w:val="20"/>
          <w:u w:val="single"/>
        </w:rPr>
        <w:t>Plan</w:t>
      </w:r>
      <w:r>
        <w:rPr>
          <w:color w:val="000000"/>
        </w:rPr>
        <w:t>”</w:t>
      </w:r>
      <w:r>
        <w:rPr>
          <w:rFonts w:ascii="Times New Roman;serif" w:hAnsi="Times New Roman;serif"/>
          <w:b w:val="false"/>
          <w:color w:val="000000"/>
          <w:sz w:val="20"/>
        </w:rPr>
        <w:t>), which increase in shares of Common Stock was approved by the Registrant’s stockholders at its Annual Meeting of Stockholders on June 3, 2026.</w:t>
      </w:r>
    </w:p>
    <w:p>
      <w:pPr>
        <w:pStyle w:val="TextBody"/>
        <w:bidi w:val="0"/>
        <w:spacing w:lineRule="auto" w:line="288" w:before="200" w:after="200"/>
        <w:ind w:left="0" w:right="0" w:firstLine="720"/>
        <w:jc w:val="both"/>
        <w:rPr/>
      </w:pPr>
      <w:r>
        <w:rPr>
          <w:rFonts w:ascii="Times New Roman;serif" w:hAnsi="Times New Roman;serif"/>
          <w:b w:val="false"/>
          <w:color w:val="000000"/>
          <w:sz w:val="20"/>
        </w:rPr>
        <w:t>Pursuant to General Instruction E to Form S-8, the contents of the Registrant’s Registration Statements on Form S-8 filed with the Securities and Exchange Commission (the “</w:t>
      </w:r>
      <w:r>
        <w:rPr>
          <w:rFonts w:ascii="Times New Roman;serif" w:hAnsi="Times New Roman;serif"/>
          <w:b w:val="false"/>
          <w:color w:val="000000"/>
          <w:sz w:val="20"/>
          <w:u w:val="single"/>
        </w:rPr>
        <w:t>Commission</w:t>
      </w:r>
      <w:r>
        <w:rPr>
          <w:color w:val="000000"/>
        </w:rPr>
        <w:t xml:space="preserve">” </w:t>
      </w:r>
      <w:r>
        <w:rPr>
          <w:rFonts w:ascii="Times New Roman;serif" w:hAnsi="Times New Roman;serif"/>
          <w:b w:val="false"/>
          <w:color w:val="000000"/>
          <w:sz w:val="20"/>
        </w:rPr>
        <w:t>or “</w:t>
      </w:r>
      <w:r>
        <w:rPr>
          <w:rFonts w:ascii="Times New Roman;serif" w:hAnsi="Times New Roman;serif"/>
          <w:b w:val="false"/>
          <w:color w:val="000000"/>
          <w:sz w:val="20"/>
          <w:u w:val="single"/>
        </w:rPr>
        <w:t>SEC</w:t>
      </w:r>
      <w:r>
        <w:rPr>
          <w:color w:val="000000"/>
        </w:rPr>
        <w:t>”</w:t>
      </w:r>
      <w:r>
        <w:rPr>
          <w:rFonts w:ascii="Times New Roman;serif" w:hAnsi="Times New Roman;serif"/>
          <w:b w:val="false"/>
          <w:color w:val="000000"/>
          <w:sz w:val="20"/>
        </w:rPr>
        <w:t xml:space="preserve">) on </w:t>
      </w:r>
      <w:hyperlink r:id="rId3">
        <w:r>
          <w:rPr>
            <w:rStyle w:val="InternetLink"/>
            <w:rFonts w:ascii="Times New Roman;serif" w:hAnsi="Times New Roman;serif"/>
            <w:b w:val="false"/>
            <w:color w:val="0000FF"/>
            <w:sz w:val="20"/>
            <w:u w:val="single"/>
          </w:rPr>
          <w:t xml:space="preserve">December 15, 2017 </w:t>
        </w:r>
      </w:hyperlink>
      <w:r>
        <w:rPr>
          <w:rFonts w:ascii="Times New Roman;serif" w:hAnsi="Times New Roman;serif"/>
          <w:b w:val="false"/>
          <w:color w:val="000000"/>
          <w:sz w:val="20"/>
        </w:rPr>
        <w:t xml:space="preserve">(File No. 333-222082), </w:t>
      </w:r>
      <w:hyperlink r:id="rId4">
        <w:r>
          <w:rPr>
            <w:rStyle w:val="InternetLink"/>
            <w:rFonts w:ascii="Times New Roman;serif" w:hAnsi="Times New Roman;serif"/>
            <w:b w:val="false"/>
            <w:color w:val="0000FF"/>
            <w:sz w:val="20"/>
            <w:u w:val="single"/>
          </w:rPr>
          <w:t>November 8, 2019</w:t>
        </w:r>
      </w:hyperlink>
      <w:r>
        <w:rPr>
          <w:color w:val="000000"/>
        </w:rPr>
        <w:t xml:space="preserve"> </w:t>
      </w:r>
      <w:r>
        <w:rPr>
          <w:rFonts w:ascii="Times New Roman;serif" w:hAnsi="Times New Roman;serif"/>
          <w:b w:val="false"/>
          <w:color w:val="000000"/>
          <w:sz w:val="20"/>
        </w:rPr>
        <w:t xml:space="preserve">(File No. 333-234596), </w:t>
      </w:r>
      <w:hyperlink r:id="rId5">
        <w:r>
          <w:rPr>
            <w:rStyle w:val="InternetLink"/>
            <w:rFonts w:ascii="Times New Roman;serif" w:hAnsi="Times New Roman;serif"/>
            <w:b w:val="false"/>
            <w:color w:val="0000FF"/>
            <w:sz w:val="20"/>
            <w:u w:val="single"/>
          </w:rPr>
          <w:t>March 26, 2021</w:t>
        </w:r>
      </w:hyperlink>
      <w:r>
        <w:rPr>
          <w:color w:val="000000"/>
        </w:rPr>
        <w:t xml:space="preserve"> </w:t>
      </w:r>
      <w:r>
        <w:rPr>
          <w:rFonts w:ascii="Times New Roman;serif" w:hAnsi="Times New Roman;serif"/>
          <w:b w:val="false"/>
          <w:color w:val="000000"/>
          <w:sz w:val="20"/>
        </w:rPr>
        <w:t xml:space="preserve">(File No. 333-254761), </w:t>
      </w:r>
      <w:hyperlink r:id="rId6">
        <w:r>
          <w:rPr>
            <w:rStyle w:val="InternetLink"/>
            <w:rFonts w:ascii="Times New Roman;serif" w:hAnsi="Times New Roman;serif"/>
            <w:b w:val="false"/>
            <w:color w:val="0000FF"/>
            <w:sz w:val="20"/>
            <w:u w:val="single"/>
          </w:rPr>
          <w:t>July 15, 2021</w:t>
        </w:r>
      </w:hyperlink>
      <w:r>
        <w:rPr>
          <w:color w:val="000000"/>
        </w:rPr>
        <w:t xml:space="preserve"> </w:t>
      </w:r>
      <w:r>
        <w:rPr>
          <w:rFonts w:ascii="Times New Roman;serif" w:hAnsi="Times New Roman;serif"/>
          <w:b w:val="false"/>
          <w:color w:val="000000"/>
          <w:sz w:val="20"/>
        </w:rPr>
        <w:t xml:space="preserve">(File No. 333-257928), </w:t>
      </w:r>
      <w:hyperlink r:id="rId7">
        <w:r>
          <w:rPr>
            <w:rStyle w:val="InternetLink"/>
            <w:rFonts w:ascii="Times New Roman;serif" w:hAnsi="Times New Roman;serif"/>
            <w:b w:val="false"/>
            <w:color w:val="0000FF"/>
            <w:sz w:val="20"/>
            <w:u w:val="single"/>
          </w:rPr>
          <w:t>June 24, 2022</w:t>
        </w:r>
      </w:hyperlink>
      <w:r>
        <w:rPr>
          <w:color w:val="000000"/>
        </w:rPr>
        <w:t xml:space="preserve"> </w:t>
      </w:r>
      <w:r>
        <w:rPr>
          <w:rFonts w:ascii="Times New Roman;serif" w:hAnsi="Times New Roman;serif"/>
          <w:b w:val="false"/>
          <w:color w:val="000000"/>
          <w:sz w:val="20"/>
        </w:rPr>
        <w:t xml:space="preserve">(File No. 333-265829), </w:t>
      </w:r>
      <w:hyperlink r:id="rId8">
        <w:r>
          <w:rPr>
            <w:rStyle w:val="InternetLink"/>
            <w:rFonts w:ascii="Times New Roman;serif" w:hAnsi="Times New Roman;serif"/>
            <w:b w:val="false"/>
            <w:color w:val="0000FF"/>
            <w:sz w:val="20"/>
            <w:u w:val="single"/>
          </w:rPr>
          <w:t>August 15, 2023</w:t>
        </w:r>
      </w:hyperlink>
      <w:r>
        <w:rPr>
          <w:color w:val="000000"/>
        </w:rPr>
        <w:t xml:space="preserve"> </w:t>
      </w:r>
      <w:r>
        <w:rPr>
          <w:rFonts w:ascii="Times New Roman;serif" w:hAnsi="Times New Roman;serif"/>
          <w:b w:val="false"/>
          <w:color w:val="000000"/>
          <w:sz w:val="20"/>
        </w:rPr>
        <w:t xml:space="preserve">(File No. 333-274001), </w:t>
      </w:r>
      <w:hyperlink r:id="rId9">
        <w:r>
          <w:rPr>
            <w:rStyle w:val="InternetLink"/>
            <w:rFonts w:ascii="Times New Roman;serif" w:hAnsi="Times New Roman;serif"/>
            <w:b w:val="false"/>
            <w:color w:val="0000FF"/>
            <w:sz w:val="20"/>
            <w:u w:val="single"/>
          </w:rPr>
          <w:t>August 15, 2024</w:t>
        </w:r>
      </w:hyperlink>
      <w:r>
        <w:rPr>
          <w:color w:val="000000"/>
        </w:rPr>
        <w:t xml:space="preserve"> </w:t>
      </w:r>
      <w:r>
        <w:rPr>
          <w:rFonts w:ascii="Times New Roman;serif" w:hAnsi="Times New Roman;serif"/>
          <w:b w:val="false"/>
          <w:color w:val="000000"/>
          <w:sz w:val="20"/>
        </w:rPr>
        <w:t xml:space="preserve">(File No. 333-281575) and </w:t>
      </w:r>
      <w:hyperlink r:id="rId10">
        <w:r>
          <w:rPr>
            <w:rStyle w:val="InternetLink"/>
            <w:rFonts w:ascii="Times New Roman;serif" w:hAnsi="Times New Roman;serif"/>
            <w:b w:val="false"/>
            <w:color w:val="0000FF"/>
            <w:sz w:val="20"/>
            <w:u w:val="single"/>
          </w:rPr>
          <w:t>August 22, 2025</w:t>
        </w:r>
      </w:hyperlink>
      <w:r>
        <w:rPr>
          <w:color w:val="000000"/>
        </w:rPr>
        <w:t xml:space="preserve"> </w:t>
      </w:r>
      <w:r>
        <w:rPr>
          <w:rFonts w:ascii="Times New Roman;serif" w:hAnsi="Times New Roman;serif"/>
          <w:b w:val="false"/>
          <w:color w:val="000000"/>
          <w:sz w:val="20"/>
        </w:rPr>
        <w:t>(File No. 333-289807) are hereby incorporated by reference into this Registration Statement on Form S-8 (except to the extent expressly superseded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200"/>
        <w:jc w:val="center"/>
        <w:rPr>
          <w:rFonts w:ascii="Times New Roman;serif" w:hAnsi="Times New Roman;serif"/>
          <w:b/>
          <w:color w:val="000000"/>
          <w:sz w:val="20"/>
        </w:rPr>
      </w:pPr>
      <w:r>
        <w:rPr>
          <w:rFonts w:ascii="Times New Roman;serif" w:hAnsi="Times New Roman;serif"/>
          <w:b/>
          <w:color w:val="000000"/>
          <w:sz w:val="20"/>
        </w:rPr>
        <w:t>PART II</w:t>
        <w:br/>
        <w:br/>
        <w:t>INFORMATION REQUIRED IN REGISTRATION STATEMENT</w:t>
      </w:r>
    </w:p>
    <w:p>
      <w:pPr>
        <w:pStyle w:val="TextBody"/>
        <w:bidi w:val="0"/>
        <w:spacing w:lineRule="auto" w:line="240" w:before="0" w:after="240"/>
        <w:jc w:val="both"/>
        <w:rPr>
          <w:rFonts w:ascii="Times New Roman;serif" w:hAnsi="Times New Roman;serif"/>
          <w:b/>
          <w:color w:val="000000"/>
          <w:sz w:val="20"/>
        </w:rPr>
      </w:pPr>
      <w:r>
        <w:rPr>
          <w:rFonts w:ascii="Times New Roman;serif" w:hAnsi="Times New Roman;serif"/>
          <w:b/>
          <w:color w:val="000000"/>
          <w:sz w:val="20"/>
        </w:rPr>
        <w:t xml:space="preserve">Item 3. Incorporation of Documents by Reference. </w:t>
      </w:r>
    </w:p>
    <w:p>
      <w:pPr>
        <w:pStyle w:val="TextBody"/>
        <w:bidi w:val="0"/>
        <w:spacing w:lineRule="auto" w:line="288" w:before="20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Registrant hereby incorporates by reference in this Registration Statement the following documents previously filed by the Registrant with the SEC:</w:t>
      </w:r>
    </w:p>
    <w:p>
      <w:pPr>
        <w:pStyle w:val="TextBody"/>
        <w:bidi w:val="0"/>
        <w:spacing w:lineRule="auto" w:line="288" w:before="180" w:after="180"/>
        <w:ind w:left="0" w:right="0" w:hanging="360"/>
        <w:jc w:val="both"/>
        <w:rPr/>
      </w:pPr>
      <w:r>
        <w:rPr>
          <w:color w:val="000000"/>
        </w:rPr>
        <w:t>•</w:t>
      </w:r>
      <w:hyperlink r:id="rId11">
        <w:r>
          <w:rPr>
            <w:rStyle w:val="InternetLink"/>
            <w:rFonts w:ascii="Times New Roman;serif" w:hAnsi="Times New Roman;serif"/>
            <w:b w:val="false"/>
            <w:color w:val="0000FF"/>
            <w:sz w:val="20"/>
            <w:u w:val="single"/>
          </w:rPr>
          <w:t>Our Annual Report on Form 10-K for the year ended December 31, 2025</w:t>
        </w:r>
      </w:hyperlink>
      <w:r>
        <w:rPr>
          <w:color w:val="000000"/>
        </w:rPr>
        <w:t xml:space="preserve"> </w:t>
      </w:r>
      <w:r>
        <w:rPr>
          <w:rFonts w:ascii="Times New Roman;serif" w:hAnsi="Times New Roman;serif"/>
          <w:b w:val="false"/>
          <w:color w:val="000000"/>
          <w:sz w:val="20"/>
        </w:rPr>
        <w:t>filed with the SEC on March 2, 2026;</w:t>
      </w:r>
    </w:p>
    <w:p>
      <w:pPr>
        <w:pStyle w:val="TextBody"/>
        <w:bidi w:val="0"/>
        <w:spacing w:lineRule="auto" w:line="288" w:before="180" w:after="180"/>
        <w:ind w:left="0" w:right="0" w:hanging="360"/>
        <w:jc w:val="left"/>
        <w:rPr/>
      </w:pPr>
      <w:r>
        <w:rPr>
          <w:color w:val="000000"/>
        </w:rPr>
        <w:t>•</w:t>
      </w:r>
      <w:r>
        <w:rPr>
          <w:rFonts w:ascii="Times New Roman;serif" w:hAnsi="Times New Roman;serif"/>
          <w:b w:val="false"/>
          <w:color w:val="000000"/>
          <w:sz w:val="20"/>
        </w:rPr>
        <w:t xml:space="preserve">Our Quarterly Reports on Form 10-Q for the quarter ended </w:t>
      </w:r>
      <w:hyperlink r:id="rId12">
        <w:r>
          <w:rPr>
            <w:rStyle w:val="InternetLink"/>
            <w:rFonts w:ascii="Times New Roman;serif" w:hAnsi="Times New Roman;serif"/>
            <w:b w:val="false"/>
            <w:color w:val="0000FF"/>
            <w:sz w:val="20"/>
            <w:u w:val="single"/>
          </w:rPr>
          <w:t>March 31, 2026</w:t>
        </w:r>
      </w:hyperlink>
      <w:r>
        <w:rPr>
          <w:color w:val="000000"/>
        </w:rPr>
        <w:t xml:space="preserve"> </w:t>
      </w:r>
      <w:r>
        <w:rPr>
          <w:rFonts w:ascii="Times New Roman;serif" w:hAnsi="Times New Roman;serif"/>
          <w:b w:val="false"/>
          <w:color w:val="000000"/>
          <w:sz w:val="20"/>
        </w:rPr>
        <w:t xml:space="preserve">filed with the SEC on May 1, 2026 and for the quarter ended </w:t>
      </w:r>
      <w:hyperlink r:id="rId13">
        <w:r>
          <w:rPr>
            <w:rStyle w:val="InternetLink"/>
            <w:rFonts w:ascii="Times New Roman;serif" w:hAnsi="Times New Roman;serif"/>
            <w:b w:val="false"/>
            <w:color w:val="0000FF"/>
            <w:sz w:val="20"/>
            <w:u w:val="single"/>
          </w:rPr>
          <w:t>June 30, 2026</w:t>
        </w:r>
      </w:hyperlink>
      <w:r>
        <w:rPr>
          <w:color w:val="000000"/>
        </w:rPr>
        <w:t xml:space="preserve"> </w:t>
      </w:r>
      <w:r>
        <w:rPr>
          <w:rFonts w:ascii="Times New Roman;serif" w:hAnsi="Times New Roman;serif"/>
          <w:b w:val="false"/>
          <w:color w:val="000000"/>
          <w:sz w:val="20"/>
        </w:rPr>
        <w:t>filed with the SEC on July 30, 2026;</w:t>
      </w:r>
    </w:p>
    <w:p>
      <w:pPr>
        <w:pStyle w:val="TextBody"/>
        <w:bidi w:val="0"/>
        <w:spacing w:lineRule="auto" w:line="288" w:before="180" w:after="180"/>
        <w:ind w:left="0" w:right="0" w:hanging="360"/>
        <w:jc w:val="left"/>
        <w:rPr/>
      </w:pPr>
      <w:r>
        <w:rPr>
          <w:color w:val="000000"/>
        </w:rPr>
        <w:t>•</w:t>
      </w:r>
      <w:r>
        <w:rPr>
          <w:rFonts w:ascii="Times New Roman;serif" w:hAnsi="Times New Roman;serif"/>
          <w:b w:val="false"/>
          <w:color w:val="000000"/>
          <w:sz w:val="20"/>
        </w:rPr>
        <w:t xml:space="preserve">Our Current Reports on Form 8-K as filed with the SEC on </w:t>
      </w:r>
      <w:hyperlink r:id="rId14">
        <w:r>
          <w:rPr>
            <w:rStyle w:val="InternetLink"/>
            <w:rFonts w:ascii="Times New Roman;serif" w:hAnsi="Times New Roman;serif"/>
            <w:b w:val="false"/>
            <w:color w:val="0000FF"/>
            <w:sz w:val="20"/>
            <w:u w:val="single"/>
          </w:rPr>
          <w:t>April 15, 2026</w:t>
        </w:r>
      </w:hyperlink>
      <w:r>
        <w:rPr>
          <w:rFonts w:ascii="Times New Roman;serif" w:hAnsi="Times New Roman;serif"/>
          <w:b w:val="false"/>
          <w:color w:val="000000"/>
          <w:sz w:val="20"/>
        </w:rPr>
        <w:t xml:space="preserve">; </w:t>
      </w:r>
      <w:hyperlink r:id="rId15">
        <w:r>
          <w:rPr>
            <w:rStyle w:val="InternetLink"/>
            <w:rFonts w:ascii="Times New Roman;serif" w:hAnsi="Times New Roman;serif"/>
            <w:b w:val="false"/>
            <w:color w:val="0000FF"/>
            <w:sz w:val="20"/>
            <w:u w:val="single"/>
          </w:rPr>
          <w:t>June 3, 2026</w:t>
        </w:r>
      </w:hyperlink>
      <w:r>
        <w:rPr>
          <w:rFonts w:ascii="Times New Roman;serif" w:hAnsi="Times New Roman;serif"/>
          <w:b w:val="false"/>
          <w:color w:val="000000"/>
          <w:sz w:val="20"/>
        </w:rPr>
        <w:t xml:space="preserve">, </w:t>
      </w:r>
      <w:hyperlink r:id="rId16">
        <w:r>
          <w:rPr>
            <w:rStyle w:val="InternetLink"/>
            <w:rFonts w:ascii="Times New Roman;serif" w:hAnsi="Times New Roman;serif"/>
            <w:b w:val="false"/>
            <w:color w:val="0000FF"/>
            <w:sz w:val="20"/>
            <w:u w:val="single"/>
          </w:rPr>
          <w:t>June 18, 2026</w:t>
        </w:r>
      </w:hyperlink>
      <w:r>
        <w:rPr>
          <w:color w:val="000000"/>
        </w:rPr>
        <w:t xml:space="preserve"> </w:t>
      </w:r>
      <w:r>
        <w:rPr>
          <w:rFonts w:ascii="Times New Roman;serif" w:hAnsi="Times New Roman;serif"/>
          <w:b w:val="false"/>
          <w:color w:val="000000"/>
          <w:sz w:val="20"/>
        </w:rPr>
        <w:t xml:space="preserve">and </w:t>
      </w:r>
      <w:hyperlink r:id="rId17">
        <w:r>
          <w:rPr>
            <w:rStyle w:val="InternetLink"/>
            <w:rFonts w:ascii="Times New Roman;serif" w:hAnsi="Times New Roman;serif"/>
            <w:b w:val="false"/>
            <w:color w:val="0000FF"/>
            <w:sz w:val="20"/>
            <w:u w:val="single"/>
          </w:rPr>
          <w:t>July 2, 2026</w:t>
        </w:r>
      </w:hyperlink>
      <w:r>
        <w:rPr>
          <w:rFonts w:ascii="Times New Roman;serif" w:hAnsi="Times New Roman;serif"/>
          <w:b w:val="false"/>
          <w:color w:val="000000"/>
          <w:sz w:val="20"/>
        </w:rPr>
        <w:t>;</w:t>
      </w:r>
    </w:p>
    <w:p>
      <w:pPr>
        <w:pStyle w:val="TextBody"/>
        <w:bidi w:val="0"/>
        <w:spacing w:lineRule="auto" w:line="288" w:before="180" w:after="180"/>
        <w:ind w:left="0" w:right="0" w:hanging="360"/>
        <w:jc w:val="left"/>
        <w:rPr/>
      </w:pPr>
      <w:r>
        <w:rPr>
          <w:color w:val="000000"/>
        </w:rPr>
        <w:t>•</w:t>
      </w:r>
      <w:hyperlink r:id="rId18">
        <w:r>
          <w:rPr>
            <w:rStyle w:val="InternetLink"/>
            <w:rFonts w:ascii="Times New Roman;serif" w:hAnsi="Times New Roman;serif"/>
            <w:b w:val="false"/>
            <w:color w:val="0000FF"/>
            <w:sz w:val="20"/>
            <w:u w:val="single"/>
          </w:rPr>
          <w:t>Our Definitive Proxy Statement on Schedule 14A</w:t>
        </w:r>
      </w:hyperlink>
      <w:r>
        <w:rPr>
          <w:color w:val="000000"/>
        </w:rPr>
        <w:t xml:space="preserve"> </w:t>
      </w:r>
      <w:r>
        <w:rPr>
          <w:rFonts w:ascii="Times New Roman;serif" w:hAnsi="Times New Roman;serif"/>
          <w:b w:val="false"/>
          <w:color w:val="000000"/>
          <w:sz w:val="20"/>
        </w:rPr>
        <w:t xml:space="preserve">filed with the SEC on April 23, 2026, as supplemented by a supplement filed with the SEC on </w:t>
      </w:r>
      <w:hyperlink r:id="rId19">
        <w:r>
          <w:rPr>
            <w:rStyle w:val="InternetLink"/>
            <w:rFonts w:ascii="Times New Roman;serif" w:hAnsi="Times New Roman;serif"/>
            <w:b w:val="false"/>
            <w:color w:val="0000FF"/>
            <w:sz w:val="20"/>
            <w:u w:val="single"/>
          </w:rPr>
          <w:t>May 19, 2026</w:t>
        </w:r>
      </w:hyperlink>
      <w:r>
        <w:rPr>
          <w:rFonts w:ascii="Times New Roman;serif" w:hAnsi="Times New Roman;serif"/>
          <w:b w:val="false"/>
          <w:color w:val="000000"/>
          <w:sz w:val="20"/>
        </w:rPr>
        <w:t>; and</w:t>
      </w:r>
    </w:p>
    <w:p>
      <w:pPr>
        <w:pStyle w:val="TextBody"/>
        <w:bidi w:val="0"/>
        <w:spacing w:lineRule="auto" w:line="288" w:before="180" w:after="180"/>
        <w:ind w:left="0" w:right="0" w:hanging="360"/>
        <w:jc w:val="left"/>
        <w:rPr/>
      </w:pPr>
      <w:r>
        <w:rPr>
          <w:color w:val="000000"/>
        </w:rPr>
        <w:t>•</w:t>
      </w:r>
      <w:r>
        <w:rPr>
          <w:rFonts w:ascii="Times New Roman;serif" w:hAnsi="Times New Roman;serif"/>
          <w:b w:val="false"/>
          <w:color w:val="000000"/>
          <w:sz w:val="20"/>
        </w:rPr>
        <w:t xml:space="preserve">The description of Common Stock included in the </w:t>
      </w:r>
      <w:hyperlink r:id="rId20">
        <w:r>
          <w:rPr>
            <w:rStyle w:val="InternetLink"/>
            <w:rFonts w:ascii="Times New Roman;serif" w:hAnsi="Times New Roman;serif"/>
            <w:b w:val="false"/>
            <w:color w:val="0000FF"/>
            <w:sz w:val="20"/>
            <w:u w:val="single"/>
          </w:rPr>
          <w:t>Registration Statement on Form 8-A</w:t>
        </w:r>
      </w:hyperlink>
      <w:r>
        <w:rPr>
          <w:color w:val="000000"/>
        </w:rPr>
        <w:t xml:space="preserve"> </w:t>
      </w:r>
      <w:r>
        <w:rPr>
          <w:rFonts w:ascii="Times New Roman;serif" w:hAnsi="Times New Roman;serif"/>
          <w:b w:val="false"/>
          <w:color w:val="000000"/>
          <w:sz w:val="20"/>
        </w:rPr>
        <w:t xml:space="preserve">filed with the SEC on February 9, 2015 (File No. 001-36842), as amended by the </w:t>
      </w:r>
      <w:hyperlink r:id="rId21">
        <w:r>
          <w:rPr>
            <w:rStyle w:val="InternetLink"/>
            <w:rFonts w:ascii="Times New Roman;serif" w:hAnsi="Times New Roman;serif"/>
            <w:b w:val="false"/>
            <w:color w:val="0000FF"/>
            <w:sz w:val="20"/>
            <w:u w:val="single"/>
          </w:rPr>
          <w:t>Registration Statement on Form 8-A/A</w:t>
        </w:r>
      </w:hyperlink>
      <w:r>
        <w:rPr>
          <w:color w:val="000000"/>
        </w:rPr>
        <w:t xml:space="preserve"> </w:t>
      </w:r>
      <w:r>
        <w:rPr>
          <w:rFonts w:ascii="Times New Roman;serif" w:hAnsi="Times New Roman;serif"/>
          <w:b w:val="false"/>
          <w:color w:val="000000"/>
          <w:sz w:val="20"/>
        </w:rPr>
        <w:t>filed with the SEC on March 18, 2015, including any amendment or report filed for the purpose of updating such description.</w:t>
      </w:r>
    </w:p>
    <w:p>
      <w:pPr>
        <w:pStyle w:val="TextBody"/>
        <w:bidi w:val="0"/>
        <w:spacing w:lineRule="auto" w:line="288" w:before="200" w:after="200"/>
        <w:ind w:left="0" w:right="0" w:firstLine="720"/>
        <w:jc w:val="both"/>
        <w:rPr/>
      </w:pPr>
      <w:r>
        <w:rPr>
          <w:rFonts w:ascii="Times New Roman;serif" w:hAnsi="Times New Roman;serif"/>
          <w:b w:val="false"/>
          <w:color w:val="000000"/>
          <w:sz w:val="20"/>
        </w:rPr>
        <w:t>All documents filed by the Registrant with the Commission pursuant to Sections 13(a), 13(c), 14 and 15(d) of the Securities Exchange Act of 1934, as amended (the “</w:t>
      </w:r>
      <w:r>
        <w:rPr>
          <w:rFonts w:ascii="Times New Roman;serif" w:hAnsi="Times New Roman;serif"/>
          <w:b w:val="false"/>
          <w:color w:val="000000"/>
          <w:sz w:val="20"/>
          <w:u w:val="single"/>
        </w:rPr>
        <w:t>Exchange Act</w:t>
      </w:r>
      <w:r>
        <w:rPr>
          <w:color w:val="000000"/>
        </w:rPr>
        <w:t>”</w:t>
      </w:r>
      <w:r>
        <w:rPr>
          <w:rFonts w:ascii="Times New Roman;serif" w:hAnsi="Times New Roman;serif"/>
          <w:b w:val="false"/>
          <w:color w:val="000000"/>
          <w:sz w:val="20"/>
        </w:rPr>
        <w:t>), subsequent to the date of this Registration Statement shall be deemed to be incorporated herein by reference and to be a part hereof from the date of the filing of such documents until such time as there shall have been filed a post-effective amendment that indicates that all securities offered hereby have been sold or which deregisters all securities remaining unsold at the time of such amendment.</w:t>
      </w:r>
    </w:p>
    <w:p>
      <w:pPr>
        <w:pStyle w:val="TextBody"/>
        <w:bidi w:val="0"/>
        <w:spacing w:lineRule="auto" w:line="288" w:before="20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statement contained in the documents incorporated or deemed to be incorporated by reference in this Registration Statement shall be deemed to be modified, superseded or replaced for purposes of this Registration Statement to the extent that a statement contained herein or in any other subsequently filed document which also is incorporated or deemed to be incorporated by reference in this Registration Statement modifies, supersedes or replaces such statement. Any such statement so modified, superseded or replaced shall not be deemed, except as so modified, superseded or replaced, to constitute a part of this Registration Statement.</w:t>
      </w:r>
    </w:p>
    <w:p>
      <w:pPr>
        <w:pStyle w:val="TextBody"/>
        <w:bidi w:val="0"/>
        <w:spacing w:before="0" w:after="24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txbxContent>
                </v:textbox>
                <w10:wrap type="none"/>
              </v:rect>
            </w:pict>
          </mc:Fallback>
        </mc:AlternateContent>
      </w:r>
    </w:p>
    <w:p>
      <w:pPr>
        <w:pStyle w:val="TextBody"/>
        <w:bidi w:val="0"/>
        <w:spacing w:lineRule="auto" w:line="288" w:before="20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document or information deemed to be furnished and not filed in accordance with rules of the Commission shall be deemed to be incorporated herein by reference unless such document or information expressly provides to the contrary.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8. Exhibits.</w:t>
      </w:r>
    </w:p>
    <w:tbl>
      <w:tblPr>
        <w:tblW w:w="10205" w:type="dxa"/>
        <w:jc w:val="left"/>
        <w:tblInd w:w="0" w:type="dxa"/>
        <w:tblLayout w:type="fixed"/>
        <w:tblCellMar>
          <w:top w:w="28" w:type="dxa"/>
          <w:left w:w="28" w:type="dxa"/>
          <w:bottom w:w="28" w:type="dxa"/>
          <w:right w:w="28" w:type="dxa"/>
        </w:tblCellMar>
      </w:tblPr>
      <w:tblGrid>
        <w:gridCol w:w="418"/>
        <w:gridCol w:w="367"/>
        <w:gridCol w:w="368"/>
        <w:gridCol w:w="2650"/>
        <w:gridCol w:w="2636"/>
        <w:gridCol w:w="3766"/>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EE"/>
                <w:sz w:val="20"/>
              </w:rPr>
            </w:pPr>
            <w:r>
              <w:rPr>
                <w:rFonts w:ascii="Times New Roman;serif" w:hAnsi="Times New Roman;serif"/>
                <w:b w:val="false"/>
                <w:color w:val="0000EE"/>
                <w:sz w:val="20"/>
              </w:rPr>
              <w:t>4.1</w:t>
            </w:r>
          </w:p>
        </w:tc>
        <w:tc>
          <w:tcPr>
            <w:tcW w:w="9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erif" w:hAnsi="Times New Roman;serif"/>
                  <w:b w:val="false"/>
                  <w:color w:val="0000EE"/>
                  <w:sz w:val="20"/>
                  <w:u w:val="single"/>
                </w:rPr>
                <w:t>Second Amended and Restated Certificate of Incorporation, dated July 24, 2017 (Incorporated by reference to Exhibit 3.1 of the Registrant’s Current Report on Form 8-K, filed July 28, 2017)</w:t>
              </w:r>
            </w:hyperlink>
          </w:p>
        </w:tc>
      </w:tr>
      <w:tr>
        <w:trPr/>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EE"/>
                <w:sz w:val="20"/>
              </w:rPr>
            </w:pPr>
            <w:r>
              <w:rPr>
                <w:rFonts w:ascii="Times New Roman;serif" w:hAnsi="Times New Roman;serif"/>
                <w:b w:val="false"/>
                <w:color w:val="0000EE"/>
                <w:sz w:val="20"/>
              </w:rPr>
              <w:t>4.2</w:t>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erif" w:hAnsi="Times New Roman;serif"/>
                  <w:b w:val="false"/>
                  <w:color w:val="0000EE"/>
                  <w:sz w:val="20"/>
                  <w:u w:val="single"/>
                </w:rPr>
                <w:t>Amended and Restated Bylaws, as amended March 3, 2021 (Incorporated by reference to Exhibit 4.2 of the Registrant’s Registration Statement on Form S-1, filed June 24, 2022)</w:t>
              </w:r>
            </w:hyperlink>
          </w:p>
        </w:tc>
      </w:tr>
      <w:tr>
        <w:trPr/>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EE"/>
                <w:sz w:val="20"/>
              </w:rPr>
            </w:pPr>
            <w:r>
              <w:rPr>
                <w:rFonts w:ascii="Times New Roman;serif" w:hAnsi="Times New Roman;serif"/>
                <w:b w:val="false"/>
                <w:color w:val="0000EE"/>
                <w:sz w:val="20"/>
              </w:rPr>
              <w:t>4.3</w:t>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erif" w:hAnsi="Times New Roman;serif"/>
                  <w:b w:val="false"/>
                  <w:color w:val="0000EE"/>
                  <w:sz w:val="20"/>
                  <w:u w:val="single"/>
                </w:rPr>
                <w:t>Specimen Common Share Certificate (Incorporated by reference to Exhibit 4.1 of the Registrant’s Annual Report on Form 10-K, filed March 3, 2020)</w:t>
              </w:r>
            </w:hyperlink>
          </w:p>
        </w:tc>
      </w:tr>
      <w:tr>
        <w:trPr/>
        <w:tc>
          <w:tcPr>
            <w:tcW w:w="115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51opinions-82026.htm">
              <w:r>
                <w:rPr>
                  <w:rStyle w:val="InternetLink"/>
                  <w:rFonts w:ascii="Times New Roman;serif" w:hAnsi="Times New Roman;serif"/>
                  <w:b w:val="false"/>
                  <w:color w:val="0000EE"/>
                  <w:sz w:val="20"/>
                </w:rPr>
                <w:t>5.1*</w:t>
              </w:r>
            </w:hyperlink>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51opinions-82026.htm">
              <w:r>
                <w:rPr>
                  <w:rStyle w:val="InternetLink"/>
                  <w:rFonts w:ascii="Times New Roman;serif" w:hAnsi="Times New Roman;serif"/>
                  <w:b w:val="false"/>
                  <w:color w:val="0000EE"/>
                  <w:sz w:val="20"/>
                  <w:u w:val="single"/>
                </w:rPr>
                <w:t>Opinion of Latham &amp; Watkins LLP</w:t>
              </w:r>
            </w:hyperlink>
          </w:p>
        </w:tc>
      </w:tr>
      <w:tr>
        <w:trPr/>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EE"/>
                <w:sz w:val="20"/>
              </w:rPr>
            </w:pPr>
            <w:r>
              <w:rPr>
                <w:rFonts w:ascii="Times New Roman;serif" w:hAnsi="Times New Roman;serif"/>
                <w:b w:val="false"/>
                <w:color w:val="0000EE"/>
                <w:sz w:val="20"/>
              </w:rPr>
              <w:t>10.1**</w:t>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erif" w:hAnsi="Times New Roman;serif"/>
                  <w:b w:val="false"/>
                  <w:color w:val="0000EE"/>
                  <w:sz w:val="20"/>
                  <w:u w:val="single"/>
                </w:rPr>
                <w:t>NextDecade Corporation 2017 Omnibus Incentive Plan (Incorporated by reference to Exhibit 10.1 of the Registrant’s Registration Statement on Form S-8, filed December 15, 2017)</w:t>
              </w:r>
            </w:hyperlink>
          </w:p>
        </w:tc>
      </w:tr>
      <w:tr>
        <w:trPr/>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EE"/>
                <w:sz w:val="20"/>
              </w:rPr>
            </w:pPr>
            <w:r>
              <w:rPr>
                <w:rFonts w:ascii="Times New Roman;serif" w:hAnsi="Times New Roman;serif"/>
                <w:b w:val="false"/>
                <w:color w:val="0000EE"/>
                <w:sz w:val="20"/>
              </w:rPr>
              <w:t>10.2**</w:t>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erif" w:hAnsi="Times New Roman;serif"/>
                  <w:b w:val="false"/>
                  <w:color w:val="0000EE"/>
                  <w:sz w:val="20"/>
                  <w:u w:val="single"/>
                </w:rPr>
                <w:t>Amendment of the NextDecade Corporation 2017 Omnibus Incentive Compensation Plan (Incorporated by reference to Exhibit 10.1 of the Registrant’s Current Report on Form 8-K, filed June 16, 2021)</w:t>
              </w:r>
            </w:hyperlink>
          </w:p>
        </w:tc>
      </w:tr>
      <w:tr>
        <w:trPr/>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EE"/>
                <w:sz w:val="20"/>
              </w:rPr>
            </w:pPr>
            <w:r>
              <w:rPr>
                <w:rFonts w:ascii="Times New Roman;serif" w:hAnsi="Times New Roman;serif"/>
                <w:b w:val="false"/>
                <w:color w:val="0000EE"/>
                <w:sz w:val="20"/>
              </w:rPr>
              <w:t>10.3**</w:t>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erif" w:hAnsi="Times New Roman;serif"/>
                  <w:b w:val="false"/>
                  <w:color w:val="0000EE"/>
                  <w:sz w:val="20"/>
                  <w:u w:val="single"/>
                </w:rPr>
                <w:t>Amendment of the NextDecade Corporation 2017 Omnibus Incentive Compensation Plan (Incorporated by reference to Exhibit 10.1 of the Registrant’s Current Report on Form 8-K, filed June 22, 2022)</w:t>
              </w:r>
            </w:hyperlink>
          </w:p>
        </w:tc>
      </w:tr>
      <w:tr>
        <w:trPr/>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EE"/>
                <w:sz w:val="20"/>
              </w:rPr>
            </w:pPr>
            <w:r>
              <w:rPr>
                <w:rFonts w:ascii="Times New Roman;serif" w:hAnsi="Times New Roman;serif"/>
                <w:b w:val="false"/>
                <w:color w:val="0000EE"/>
                <w:sz w:val="20"/>
              </w:rPr>
              <w:t>10.4**</w:t>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erif" w:hAnsi="Times New Roman;serif"/>
                  <w:b w:val="false"/>
                  <w:color w:val="0000EE"/>
                  <w:sz w:val="20"/>
                  <w:u w:val="single"/>
                </w:rPr>
                <w:t>Amendment of the NextDecade Corporation 2017 Omnibus Incentive Compensation Plan (Incorporated by reference to Exhibit 10.1 of the Registrant’s Current Report on Form 8-K, filed June 1, 2023)</w:t>
              </w:r>
            </w:hyperlink>
          </w:p>
        </w:tc>
      </w:tr>
      <w:tr>
        <w:trPr/>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EE"/>
                <w:sz w:val="20"/>
              </w:rPr>
            </w:pPr>
            <w:r>
              <w:rPr>
                <w:rFonts w:ascii="Times New Roman;serif" w:hAnsi="Times New Roman;serif"/>
                <w:b w:val="false"/>
                <w:color w:val="0000EE"/>
                <w:sz w:val="20"/>
              </w:rPr>
              <w:t>10.5**</w:t>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erif" w:hAnsi="Times New Roman;serif"/>
                  <w:b w:val="false"/>
                  <w:color w:val="0000EE"/>
                  <w:sz w:val="20"/>
                  <w:u w:val="single"/>
                </w:rPr>
                <w:t>Amendment of the NextDecade Corporation 2017 Omnibus Incentive Compensation Plan (Incorporated by reference to Exhibit 10.1 of the Registrant’s Current Report on Form 8-K, filed June 3, 2024)</w:t>
              </w:r>
            </w:hyperlink>
          </w:p>
        </w:tc>
      </w:tr>
      <w:tr>
        <w:trPr/>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EE"/>
                <w:sz w:val="20"/>
              </w:rPr>
            </w:pPr>
            <w:r>
              <w:rPr>
                <w:rFonts w:ascii="Times New Roman;serif" w:hAnsi="Times New Roman;serif"/>
                <w:b w:val="false"/>
                <w:color w:val="0000EE"/>
                <w:sz w:val="20"/>
              </w:rPr>
              <w:t>10.6**</w:t>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erif" w:hAnsi="Times New Roman;serif"/>
                  <w:b w:val="false"/>
                  <w:color w:val="0000EE"/>
                  <w:sz w:val="20"/>
                  <w:u w:val="single"/>
                </w:rPr>
                <w:t>Amendment of the NextDecade Corporation 2017 Omnibus Incentive Compensation Plan (Incorporated by reference to Exhibit 10.1 of the Registrant’s Current Report on Form 8-K, filed June 5, 2025)</w:t>
              </w:r>
            </w:hyperlink>
          </w:p>
        </w:tc>
      </w:tr>
      <w:tr>
        <w:trPr/>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EE"/>
                <w:sz w:val="20"/>
              </w:rPr>
            </w:pPr>
            <w:r>
              <w:rPr>
                <w:rFonts w:ascii="Times New Roman;serif" w:hAnsi="Times New Roman;serif"/>
                <w:b w:val="false"/>
                <w:color w:val="0000EE"/>
                <w:sz w:val="20"/>
              </w:rPr>
              <w:t>10.7**</w:t>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erif" w:hAnsi="Times New Roman;serif"/>
                  <w:b w:val="false"/>
                  <w:color w:val="0000EE"/>
                  <w:sz w:val="20"/>
                  <w:u w:val="single"/>
                </w:rPr>
                <w:t>Amendment of the NextDecade Corporation 2017 Omnibus Incentive Compensation Plan (Incorporated by reference to Exhibit 10.1 of the Registrant’s Current Report on Form 8-K, filed June 3, 2026)</w:t>
              </w:r>
            </w:hyperlink>
          </w:p>
        </w:tc>
      </w:tr>
      <w:tr>
        <w:trPr/>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EE"/>
                <w:sz w:val="20"/>
              </w:rPr>
            </w:pPr>
            <w:r>
              <w:rPr>
                <w:rFonts w:ascii="Times New Roman;serif" w:hAnsi="Times New Roman;serif"/>
                <w:b w:val="false"/>
                <w:color w:val="0000EE"/>
                <w:sz w:val="20"/>
              </w:rPr>
              <w:t>23.1*</w:t>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231.htm">
              <w:r>
                <w:rPr>
                  <w:rStyle w:val="InternetLink"/>
                  <w:rFonts w:ascii="Times New Roman;serif" w:hAnsi="Times New Roman;serif"/>
                  <w:b w:val="false"/>
                  <w:color w:val="0000EE"/>
                  <w:sz w:val="20"/>
                  <w:u w:val="single"/>
                </w:rPr>
                <w:t>Consent of KPMG LLP</w:t>
              </w:r>
            </w:hyperlink>
          </w:p>
        </w:tc>
      </w:tr>
      <w:tr>
        <w:trPr/>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EE"/>
                <w:sz w:val="20"/>
              </w:rPr>
            </w:pPr>
            <w:r>
              <w:rPr>
                <w:rFonts w:ascii="Times New Roman;serif" w:hAnsi="Times New Roman;serif"/>
                <w:b w:val="false"/>
                <w:color w:val="0000EE"/>
                <w:sz w:val="20"/>
              </w:rPr>
              <w:t>23.2*</w:t>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232.htm">
              <w:r>
                <w:rPr>
                  <w:rStyle w:val="InternetLink"/>
                  <w:rFonts w:ascii="Times New Roman;serif" w:hAnsi="Times New Roman;serif"/>
                  <w:b w:val="false"/>
                  <w:color w:val="0000EE"/>
                  <w:sz w:val="20"/>
                  <w:u w:val="single"/>
                </w:rPr>
                <w:t>Consent of Grant Thornton LLP</w:t>
              </w:r>
            </w:hyperlink>
          </w:p>
        </w:tc>
      </w:tr>
      <w:tr>
        <w:trPr/>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EE"/>
                <w:sz w:val="20"/>
              </w:rPr>
            </w:pPr>
            <w:r>
              <w:rPr>
                <w:rFonts w:ascii="Times New Roman;serif" w:hAnsi="Times New Roman;serif"/>
                <w:b w:val="false"/>
                <w:color w:val="0000EE"/>
                <w:sz w:val="20"/>
              </w:rPr>
              <w:t>23.3*</w:t>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51opinions-82026.htm">
              <w:r>
                <w:rPr>
                  <w:rStyle w:val="InternetLink"/>
                  <w:rFonts w:ascii="Times New Roman;serif" w:hAnsi="Times New Roman;serif"/>
                  <w:b w:val="false"/>
                  <w:color w:val="0000EE"/>
                  <w:sz w:val="20"/>
                  <w:u w:val="single"/>
                </w:rPr>
                <w:t>Consent of Latham &amp; Watkins LLP (included as part of Exhibit 5.1)</w:t>
              </w:r>
            </w:hyperlink>
          </w:p>
        </w:tc>
      </w:tr>
      <w:tr>
        <w:trPr/>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EE"/>
                <w:sz w:val="20"/>
              </w:rPr>
            </w:pPr>
            <w:r>
              <w:rPr>
                <w:rFonts w:ascii="Times New Roman;serif" w:hAnsi="Times New Roman;serif"/>
                <w:b w:val="false"/>
                <w:color w:val="0000EE"/>
                <w:sz w:val="20"/>
              </w:rPr>
              <w:t>24.1*</w:t>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63c9450375d44acabe252a7ce87b6cd_19">
              <w:r>
                <w:rPr>
                  <w:rStyle w:val="InternetLink"/>
                  <w:rFonts w:ascii="Times New Roman;serif" w:hAnsi="Times New Roman;serif"/>
                  <w:b w:val="false"/>
                  <w:color w:val="0000EE"/>
                  <w:sz w:val="20"/>
                  <w:u w:val="single"/>
                </w:rPr>
                <w:t>Power of Attorney (included on the signature page to this Registration Statement)</w:t>
              </w:r>
            </w:hyperlink>
          </w:p>
        </w:tc>
      </w:tr>
      <w:tr>
        <w:trPr/>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EE"/>
                <w:sz w:val="20"/>
              </w:rPr>
            </w:pPr>
            <w:r>
              <w:rPr>
                <w:rFonts w:ascii="Times New Roman;serif" w:hAnsi="Times New Roman;serif"/>
                <w:b w:val="false"/>
                <w:color w:val="0000EE"/>
                <w:sz w:val="20"/>
              </w:rPr>
              <w:t>107*</w:t>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filingfeess82026.htm">
              <w:r>
                <w:rPr>
                  <w:rStyle w:val="InternetLink"/>
                  <w:rFonts w:ascii="Times New Roman;serif" w:hAnsi="Times New Roman;serif"/>
                  <w:b w:val="false"/>
                  <w:color w:val="0000FF"/>
                  <w:sz w:val="20"/>
                  <w:u w:val="single"/>
                </w:rPr>
                <w:t>Filing Fee Table</w:t>
              </w:r>
            </w:hyperlink>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60"/>
              <w:jc w:val="both"/>
              <w:rPr/>
            </w:pPr>
            <w:r>
              <w:rPr/>
            </w:r>
          </w:p>
        </w:tc>
      </w:tr>
    </w:tbl>
    <w:p>
      <w:pPr>
        <w:pStyle w:val="TextBody"/>
        <w:bidi w:val="0"/>
        <w:spacing w:before="0" w:after="120"/>
        <w:ind w:left="0" w:right="0" w:hanging="360"/>
        <w:jc w:val="both"/>
        <w:rPr/>
      </w:pPr>
      <w:r>
        <w:rPr/>
      </w:r>
    </w:p>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Filed herewith.</w:t>
      </w:r>
    </w:p>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Indicates management contract or compensatory plan.</w:t>
      </w:r>
    </w:p>
    <w:p>
      <w:pPr>
        <w:pStyle w:val="TextBody"/>
        <w:bidi w:val="0"/>
        <w:spacing w:before="20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Houston, State of Texas, on July 30, 2026.</w:t>
      </w:r>
    </w:p>
    <w:tbl>
      <w:tblPr>
        <w:tblW w:w="3812" w:type="dxa"/>
        <w:jc w:val="left"/>
        <w:tblInd w:w="0" w:type="dxa"/>
        <w:tblLayout w:type="fixed"/>
        <w:tblCellMar>
          <w:top w:w="28" w:type="dxa"/>
          <w:left w:w="28" w:type="dxa"/>
          <w:bottom w:w="28" w:type="dxa"/>
          <w:right w:w="28" w:type="dxa"/>
        </w:tblCellMar>
      </w:tblPr>
      <w:tblGrid>
        <w:gridCol w:w="124"/>
        <w:gridCol w:w="109"/>
        <w:gridCol w:w="109"/>
        <w:gridCol w:w="467"/>
        <w:gridCol w:w="467"/>
        <w:gridCol w:w="467"/>
        <w:gridCol w:w="604"/>
        <w:gridCol w:w="604"/>
        <w:gridCol w:w="8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NEXTDECADE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John Zuklic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John Zuklic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20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of the undersigned officers and directors of NextDecade Corporation hereby constitutes and appoints John Zuklic and Vera de Gyarfas, and each of them, his or her true and lawful attorneys-in-fact and agents, each with full power of substitution and resubstitution, for him or her and in his or her name, place and stead, in any and all capacities, to sign any and all (i) amendments (including post-effective amendments) and additions to this Registration Statement of NextDecade Corporation on Form S-8 and (ii) to file the same, with all exhibits thereto, and other documents in connection therewith, with the Commission, granting unto said attorneys-in-fact and agents, and each of them, full power and authority to do and perform each and every act and thing requisite or necessary to be done in connection therewith, as fully and to all intents and purposes as he or she might or could do in person, hereby ratifying and confirming all that each of said attorneys-in-fact and agents, or his or her substitute or substitutes, may lawfully do or cause to be done by virtue hereof.</w:t>
      </w:r>
    </w:p>
    <w:p>
      <w:pPr>
        <w:pStyle w:val="TextBody"/>
        <w:bidi w:val="0"/>
        <w:spacing w:lineRule="auto" w:line="288" w:before="20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by the following persons in the capacities set forth opposite their names and on July 30, 2026.</w:t>
      </w:r>
    </w:p>
    <w:tbl>
      <w:tblPr>
        <w:tblW w:w="6359" w:type="dxa"/>
        <w:jc w:val="left"/>
        <w:tblInd w:w="0" w:type="dxa"/>
        <w:tblLayout w:type="fixed"/>
        <w:tblCellMar>
          <w:top w:w="28" w:type="dxa"/>
          <w:left w:w="28" w:type="dxa"/>
          <w:bottom w:w="28" w:type="dxa"/>
          <w:right w:w="28" w:type="dxa"/>
        </w:tblCellMar>
      </w:tblPr>
      <w:tblGrid>
        <w:gridCol w:w="744"/>
        <w:gridCol w:w="653"/>
        <w:gridCol w:w="658"/>
        <w:gridCol w:w="1252"/>
        <w:gridCol w:w="1252"/>
        <w:gridCol w:w="1800"/>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 xml:space="preserve">Name </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Title</w:t>
            </w:r>
          </w:p>
        </w:tc>
      </w:tr>
      <w:tr>
        <w:trPr/>
        <w:tc>
          <w:tcPr>
            <w:tcW w:w="20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3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Matthew Schatzman</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Chairman of the Board and Chief Executive Officer</w:t>
            </w:r>
          </w:p>
        </w:tc>
      </w:tr>
      <w:tr>
        <w:trPr/>
        <w:tc>
          <w:tcPr>
            <w:tcW w:w="20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Matthew Schatzman</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John Zuklic</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0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John Zuklic</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Luke Boylston</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20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Luke Boylston</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Pamela Beall</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Pamela Beall</w:t>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Matthew Bonanno</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Matthew Bonanno</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Charles Q. Brown, Jr.</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Charles Q. Brown, Jr.</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txbxContent>
                </v:textbox>
                <w10:wrap type="none"/>
              </v:rect>
            </w:pict>
          </mc:Fallback>
        </mc:AlternateContent>
      </w:r>
    </w:p>
    <w:tbl>
      <w:tblPr>
        <w:tblW w:w="3195" w:type="dxa"/>
        <w:jc w:val="left"/>
        <w:tblInd w:w="0" w:type="dxa"/>
        <w:tblLayout w:type="fixed"/>
        <w:tblCellMar>
          <w:top w:w="28" w:type="dxa"/>
          <w:left w:w="28" w:type="dxa"/>
          <w:bottom w:w="28" w:type="dxa"/>
          <w:right w:w="28" w:type="dxa"/>
        </w:tblCellMar>
      </w:tblPr>
      <w:tblGrid>
        <w:gridCol w:w="863"/>
        <w:gridCol w:w="759"/>
        <w:gridCol w:w="762"/>
        <w:gridCol w:w="237"/>
        <w:gridCol w:w="237"/>
        <w:gridCol w:w="337"/>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Frank Chapman</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Frank Chapman</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Arnaud Lenail-Chouteau</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Arnaud Lenail-Chouteau</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Avinash Kripalani</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Avinash Kripalani</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Giovanni Oddo</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Giovanni Oddo</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In Kyu Park</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Kyu Park</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Diana Sands</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Diana Sands</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David Stover</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David Stover</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William Vrattos</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William Vrattos</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bl>
    <w:p>
      <w:pPr>
        <w:pStyle w:val="Normal"/>
        <w:bidi w:val="0"/>
        <w:spacing w:before="0" w:after="0"/>
        <w:jc w:val="left"/>
        <w:rPr>
          <w:sz w:val="4"/>
          <w:szCs w:val="4"/>
        </w:rPr>
      </w:pPr>
      <w:r>
        <w:rPr>
          <w:sz w:val="4"/>
          <w:szCs w:val="4"/>
        </w:rPr>
      </w:r>
      <w:bookmarkStart w:id="0" w:name="exfilingfeess82026.htm"/>
      <w:bookmarkStart w:id="1" w:name="ksexfilingfeess82026"/>
      <w:bookmarkStart w:id="2" w:name="exfilingfeess82026.htm"/>
      <w:bookmarkStart w:id="3" w:name="ksexfilingfeess82026"/>
      <w:bookmarkEnd w:id="2"/>
      <w:bookmarkEnd w:id="3"/>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txbxContent>
                </v:textbox>
                <w10:wrap type="none"/>
              </v:rect>
            </w:pict>
          </mc:Fallback>
        </mc:AlternateContent>
      </w:r>
    </w:p>
    <w:tbl>
      <w:tblPr>
        <w:tblW w:w="3565" w:type="dxa"/>
        <w:jc w:val="left"/>
        <w:tblInd w:w="0" w:type="dxa"/>
        <w:tblLayout w:type="fixed"/>
        <w:tblCellMar>
          <w:top w:w="28" w:type="dxa"/>
          <w:left w:w="28" w:type="dxa"/>
          <w:bottom w:w="28" w:type="dxa"/>
          <w:right w:w="28" w:type="dxa"/>
        </w:tblCellMar>
      </w:tblPr>
      <w:tblGrid>
        <w:gridCol w:w="3411"/>
        <w:gridCol w:w="154"/>
      </w:tblGrid>
      <w:tr>
        <w:trPr/>
        <w:tc>
          <w:tcPr>
            <w:tcW w:w="356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1"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11" w:type="dxa"/>
            <w:tcBorders/>
            <w:vAlign w:val="center"/>
          </w:tcPr>
          <w:p>
            <w:pPr>
              <w:pStyle w:val="TableContents"/>
              <w:bidi w:val="0"/>
              <w:spacing w:before="0" w:after="283"/>
              <w:jc w:val="left"/>
              <w:rPr>
                <w:b/>
              </w:rPr>
            </w:pPr>
            <w:r>
              <w:rPr>
                <w:b/>
              </w:rPr>
              <w:t xml:space="preserve">NextDecade Corp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6"/>
        <w:gridCol w:w="1046"/>
        <w:gridCol w:w="1292"/>
        <w:gridCol w:w="1201"/>
        <w:gridCol w:w="1213"/>
        <w:gridCol w:w="1701"/>
        <w:gridCol w:w="1126"/>
        <w:gridCol w:w="1429"/>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2"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1"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13"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1"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9"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6" w:type="dxa"/>
            <w:tcBorders/>
            <w:shd w:fill="E7E7E2" w:val="clear"/>
            <w:vAlign w:val="center"/>
          </w:tcPr>
          <w:p>
            <w:pPr>
              <w:pStyle w:val="TableContents"/>
              <w:bidi w:val="0"/>
              <w:spacing w:before="0" w:after="283"/>
              <w:jc w:val="left"/>
              <w:rPr/>
            </w:pPr>
            <w:r>
              <w:rPr/>
              <w:t xml:space="preserve">Equity </w:t>
            </w:r>
          </w:p>
        </w:tc>
        <w:tc>
          <w:tcPr>
            <w:tcW w:w="1046" w:type="dxa"/>
            <w:tcBorders/>
            <w:shd w:fill="E7E7E2" w:val="clear"/>
            <w:vAlign w:val="center"/>
          </w:tcPr>
          <w:p>
            <w:pPr>
              <w:pStyle w:val="TableContents"/>
              <w:bidi w:val="0"/>
              <w:spacing w:before="0" w:after="283"/>
              <w:jc w:val="left"/>
              <w:rPr/>
            </w:pPr>
            <w:r>
              <w:rPr/>
              <w:t xml:space="preserve">Common Stock, par value $0.0001 per share </w:t>
            </w:r>
          </w:p>
        </w:tc>
        <w:tc>
          <w:tcPr>
            <w:tcW w:w="1292" w:type="dxa"/>
            <w:tcBorders/>
            <w:shd w:fill="E7E7E2" w:val="clear"/>
            <w:vAlign w:val="center"/>
          </w:tcPr>
          <w:p>
            <w:pPr>
              <w:pStyle w:val="TableContents"/>
              <w:bidi w:val="0"/>
              <w:spacing w:before="0" w:after="283"/>
              <w:jc w:val="center"/>
              <w:rPr/>
            </w:pPr>
            <w:r>
              <w:rPr/>
              <w:t xml:space="preserve">Other </w:t>
            </w:r>
          </w:p>
        </w:tc>
        <w:tc>
          <w:tcPr>
            <w:tcW w:w="1201" w:type="dxa"/>
            <w:tcBorders/>
            <w:shd w:fill="E7E7E2" w:val="clear"/>
            <w:vAlign w:val="center"/>
          </w:tcPr>
          <w:p>
            <w:pPr>
              <w:pStyle w:val="TableContents"/>
              <w:bidi w:val="0"/>
              <w:spacing w:before="0" w:after="283"/>
              <w:jc w:val="right"/>
              <w:rPr/>
            </w:pPr>
            <w:r>
              <w:rPr/>
              <w:t xml:space="preserve">5,000,000 </w:t>
            </w:r>
          </w:p>
        </w:tc>
        <w:tc>
          <w:tcPr>
            <w:tcW w:w="1213" w:type="dxa"/>
            <w:tcBorders/>
            <w:shd w:fill="E7E7E2" w:val="clear"/>
            <w:vAlign w:val="center"/>
          </w:tcPr>
          <w:p>
            <w:pPr>
              <w:pStyle w:val="TableContents"/>
              <w:bidi w:val="0"/>
              <w:spacing w:before="0" w:after="283"/>
              <w:jc w:val="right"/>
              <w:rPr/>
            </w:pPr>
            <w:r>
              <w:rPr/>
              <w:t xml:space="preserve">$ 6.25 </w:t>
            </w:r>
          </w:p>
        </w:tc>
        <w:tc>
          <w:tcPr>
            <w:tcW w:w="1701" w:type="dxa"/>
            <w:tcBorders/>
            <w:shd w:fill="E7E7E2" w:val="clear"/>
            <w:vAlign w:val="center"/>
          </w:tcPr>
          <w:p>
            <w:pPr>
              <w:pStyle w:val="TableContents"/>
              <w:bidi w:val="0"/>
              <w:spacing w:before="0" w:after="283"/>
              <w:jc w:val="right"/>
              <w:rPr/>
            </w:pPr>
            <w:r>
              <w:rPr/>
              <w:t xml:space="preserve">$ 31,250,000.00 </w:t>
            </w:r>
          </w:p>
        </w:tc>
        <w:tc>
          <w:tcPr>
            <w:tcW w:w="1126" w:type="dxa"/>
            <w:tcBorders/>
            <w:shd w:fill="E7E7E2" w:val="clear"/>
            <w:vAlign w:val="center"/>
          </w:tcPr>
          <w:p>
            <w:pPr>
              <w:pStyle w:val="TableContents"/>
              <w:bidi w:val="0"/>
              <w:spacing w:before="0" w:after="283"/>
              <w:jc w:val="right"/>
              <w:rPr/>
            </w:pPr>
            <w:r>
              <w:rPr/>
              <w:t xml:space="preserve">0.0001381 </w:t>
            </w:r>
          </w:p>
        </w:tc>
        <w:tc>
          <w:tcPr>
            <w:tcW w:w="1429" w:type="dxa"/>
            <w:tcBorders/>
            <w:shd w:fill="E7E7E2" w:val="clear"/>
            <w:vAlign w:val="center"/>
          </w:tcPr>
          <w:p>
            <w:pPr>
              <w:pStyle w:val="TableContents"/>
              <w:bidi w:val="0"/>
              <w:spacing w:before="0" w:after="283"/>
              <w:jc w:val="right"/>
              <w:rPr/>
            </w:pPr>
            <w:r>
              <w:rPr/>
              <w:t xml:space="preserve">$ 4,315.63 </w:t>
            </w:r>
          </w:p>
        </w:tc>
      </w:tr>
      <w:tr>
        <w:trPr/>
        <w:tc>
          <w:tcPr>
            <w:tcW w:w="4736" w:type="dxa"/>
            <w:gridSpan w:val="5"/>
            <w:tcBorders/>
            <w:vAlign w:val="center"/>
          </w:tcPr>
          <w:p>
            <w:pPr>
              <w:pStyle w:val="TableContents"/>
              <w:bidi w:val="0"/>
              <w:spacing w:before="0" w:after="0"/>
              <w:ind w:left="0" w:right="0" w:hanging="0"/>
              <w:jc w:val="right"/>
              <w:rPr/>
            </w:pPr>
            <w:r>
              <w:rPr/>
              <w:t>Total Offering Amounts:</w:t>
            </w:r>
          </w:p>
        </w:tc>
        <w:tc>
          <w:tcPr>
            <w:tcW w:w="1213"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0"/>
              <w:ind w:left="0" w:right="0" w:hanging="0"/>
              <w:jc w:val="right"/>
              <w:rPr/>
            </w:pPr>
            <w:bookmarkStart w:id="4" w:name="MaxAggtOfferingPrice"/>
            <w:bookmarkEnd w:id="4"/>
            <w:r>
              <w:rPr/>
              <w:t xml:space="preserve">$ 31,250,000.00 </w:t>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$ 4,315.63 </w:t>
            </w:r>
          </w:p>
        </w:tc>
      </w:tr>
      <w:tr>
        <w:trPr/>
        <w:tc>
          <w:tcPr>
            <w:tcW w:w="4736" w:type="dxa"/>
            <w:gridSpan w:val="5"/>
            <w:tcBorders/>
            <w:vAlign w:val="center"/>
          </w:tcPr>
          <w:p>
            <w:pPr>
              <w:pStyle w:val="TableContents"/>
              <w:bidi w:val="0"/>
              <w:spacing w:before="0" w:after="0"/>
              <w:ind w:left="0" w:right="0" w:hanging="0"/>
              <w:jc w:val="right"/>
              <w:rPr/>
            </w:pPr>
            <w:r>
              <w:rPr/>
              <w:t xml:space="preserve">Total Fee Offsets: </w:t>
            </w:r>
          </w:p>
        </w:tc>
        <w:tc>
          <w:tcPr>
            <w:tcW w:w="1213"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6" w:name="TotalOffsetAmt"/>
            <w:bookmarkEnd w:id="6"/>
            <w:r>
              <w:rPr/>
              <w:t xml:space="preserve">$ 0.00 </w:t>
            </w:r>
          </w:p>
        </w:tc>
      </w:tr>
      <w:tr>
        <w:trPr/>
        <w:tc>
          <w:tcPr>
            <w:tcW w:w="4736" w:type="dxa"/>
            <w:gridSpan w:val="5"/>
            <w:tcBorders/>
            <w:vAlign w:val="center"/>
          </w:tcPr>
          <w:p>
            <w:pPr>
              <w:pStyle w:val="TableContents"/>
              <w:bidi w:val="0"/>
              <w:spacing w:before="0" w:after="0"/>
              <w:ind w:left="0" w:right="0" w:hanging="0"/>
              <w:jc w:val="right"/>
              <w:rPr/>
            </w:pPr>
            <w:r>
              <w:rPr/>
              <w:t xml:space="preserve">Net Fee Due: </w:t>
            </w:r>
          </w:p>
        </w:tc>
        <w:tc>
          <w:tcPr>
            <w:tcW w:w="1213"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7" w:name="NetFeeAmt"/>
            <w:bookmarkEnd w:id="7"/>
            <w:r>
              <w:rPr/>
              <w:t xml:space="preserve">$ 4,315.63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7"/>
        <w:gridCol w:w="8707"/>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In accordance with Rule 416 under the Securities Act of 1933, as amended, this registration statement shall be deemed to cover an indeterminate number of additional shares to be offered or issued from stock splits, stock dividends or similar transactions with respect to the shares being registered. Calculated in accordance with Rule 457(c) and (h) under the Securities Act of 1933 solely for the purpose of calculating the registration fee, which is based on the average of the high and low market prices of the shares of Common Stock of the Registrant as reported on the Nasdaq Capital Market on July 28, 2026. Represents an additional 5,000,000 shares of Common Stock issuable under the Amended and Restated NextDecade Corporation 2017 Omnibus Incentive Plan, as amended, which increase in shares of Common Stock was approved by the Registrant's stockholders at its Annual Meeting of Stockholders on June 3, 2026.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shd w:fill="FFFFFF" w:val="clear"/>
        </w:rPr>
      </w:pPr>
      <w:r>
        <w:rPr>
          <w:shd w:fill="FFFFFF" w:val="clear"/>
        </w:rPr>
        <w:drawing>
          <wp:inline distT="0" distB="0" distL="0" distR="0">
            <wp:extent cx="4143375" cy="38100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2"/>
                    <a:stretch>
                      <a:fillRect/>
                    </a:stretch>
                  </pic:blipFill>
                  <pic:spPr bwMode="auto">
                    <a:xfrm>
                      <a:off x="0" y="0"/>
                      <a:ext cx="4143375" cy="38100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July 30,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NextDecade Corporation</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1000 Louisiana Street, Suite 3300</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Houston, Texas 77002</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before="0" w:after="0"/>
        <w:jc w:val="left"/>
        <w:rPr/>
      </w:pPr>
      <w:r>
        <w:rPr/>
      </w:r>
    </w:p>
    <w:tbl>
      <w:tblPr>
        <w:tblW w:w="6895"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789"/>
        <w:gridCol w:w="1789"/>
        <w:gridCol w:w="25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w:t>
            </w:r>
          </w:p>
        </w:tc>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NextDecade Corporation - Registration Statement on Form S-8</w:t>
            </w:r>
          </w:p>
        </w:tc>
      </w:tr>
    </w:tbl>
    <w:p>
      <w:pPr>
        <w:pStyle w:val="TextBody"/>
        <w:bidi w:val="0"/>
        <w:spacing w:lineRule="auto" w:line="288" w:before="240" w:after="283"/>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To the addressee set forth above: </w:t>
      </w:r>
    </w:p>
    <w:p>
      <w:pPr>
        <w:pStyle w:val="TextBody"/>
        <w:bidi w:val="0"/>
        <w:spacing w:lineRule="auto" w:line="288" w:before="120" w:after="283"/>
        <w:ind w:left="0" w:right="0" w:firstLine="720"/>
        <w:jc w:val="both"/>
        <w:rPr>
          <w:shd w:fill="FFFFFF" w:val="clear"/>
        </w:rPr>
      </w:pPr>
      <w:r>
        <w:rPr>
          <w:rFonts w:ascii="Times New Roman;serif" w:hAnsi="Times New Roman;serif"/>
          <w:b w:val="false"/>
          <w:color w:val="000000"/>
          <w:sz w:val="24"/>
          <w:shd w:fill="FFFFFF" w:val="clear"/>
        </w:rPr>
        <w:t>We have acted as special counsel to NextDecade Corporation, a Delaware corporation (the “</w:t>
      </w:r>
      <w:r>
        <w:rPr>
          <w:rFonts w:ascii="Times New Roman;serif" w:hAnsi="Times New Roman;serif"/>
          <w:b w:val="false"/>
          <w:color w:val="000000"/>
          <w:sz w:val="24"/>
          <w:u w:val="single"/>
          <w:shd w:fill="FFFFFF" w:val="clear"/>
        </w:rPr>
        <w:t>Company</w:t>
      </w:r>
      <w:r>
        <w:rPr>
          <w:color w:val="000000"/>
          <w:shd w:fill="FFFFFF" w:val="clear"/>
        </w:rPr>
        <w:t>”</w:t>
      </w:r>
      <w:r>
        <w:rPr>
          <w:rFonts w:ascii="Times New Roman;serif" w:hAnsi="Times New Roman;serif"/>
          <w:b w:val="false"/>
          <w:color w:val="000000"/>
          <w:sz w:val="24"/>
          <w:shd w:fill="FFFFFF" w:val="clear"/>
        </w:rPr>
        <w:t>), in connection with the proposed issuance of an aggregate of up to 5,000,000 shares of the Company’s common stock, $0.0001 par value per share (the “</w:t>
      </w:r>
      <w:r>
        <w:rPr>
          <w:rFonts w:ascii="Times New Roman;serif" w:hAnsi="Times New Roman;serif"/>
          <w:b w:val="false"/>
          <w:color w:val="000000"/>
          <w:sz w:val="24"/>
          <w:u w:val="single"/>
          <w:shd w:fill="FFFFFF" w:val="clear"/>
        </w:rPr>
        <w:t>Shares</w:t>
      </w:r>
      <w:r>
        <w:rPr>
          <w:color w:val="000000"/>
          <w:shd w:fill="FFFFFF" w:val="clear"/>
        </w:rPr>
        <w:t>”</w:t>
      </w:r>
      <w:r>
        <w:rPr>
          <w:rFonts w:ascii="Times New Roman;serif" w:hAnsi="Times New Roman;serif"/>
          <w:b w:val="false"/>
          <w:color w:val="000000"/>
          <w:sz w:val="24"/>
          <w:shd w:fill="FFFFFF" w:val="clear"/>
        </w:rPr>
        <w:t>) issuable under NextDecade Corporation 2017 Omnibus Incentive Plan (the “</w:t>
      </w:r>
      <w:r>
        <w:rPr>
          <w:rFonts w:ascii="Times New Roman;serif" w:hAnsi="Times New Roman;serif"/>
          <w:b w:val="false"/>
          <w:color w:val="000000"/>
          <w:sz w:val="24"/>
          <w:u w:val="single"/>
          <w:shd w:fill="FFFFFF" w:val="clear"/>
        </w:rPr>
        <w:t>Plan</w:t>
      </w:r>
      <w:r>
        <w:rPr>
          <w:color w:val="000000"/>
          <w:shd w:fill="FFFFFF" w:val="clear"/>
        </w:rPr>
        <w:t>”</w:t>
      </w:r>
      <w:r>
        <w:rPr>
          <w:rFonts w:ascii="Times New Roman;serif" w:hAnsi="Times New Roman;serif"/>
          <w:b w:val="false"/>
          <w:color w:val="000000"/>
          <w:sz w:val="24"/>
          <w:shd w:fill="FFFFFF" w:val="clear"/>
        </w:rPr>
        <w:t>). The Shares are included in a registration statement on Form S-8 under the Securities Act of 1933, as amended (the “</w:t>
      </w:r>
      <w:r>
        <w:rPr>
          <w:rFonts w:ascii="Times New Roman;serif" w:hAnsi="Times New Roman;serif"/>
          <w:b w:val="false"/>
          <w:color w:val="000000"/>
          <w:sz w:val="24"/>
          <w:u w:val="single"/>
          <w:shd w:fill="FFFFFF" w:val="clear"/>
        </w:rPr>
        <w:t>Act</w:t>
      </w:r>
      <w:r>
        <w:rPr>
          <w:color w:val="000000"/>
          <w:shd w:fill="FFFFFF" w:val="clear"/>
        </w:rPr>
        <w:t>”</w:t>
      </w:r>
      <w:r>
        <w:rPr>
          <w:rFonts w:ascii="Times New Roman;serif" w:hAnsi="Times New Roman;serif"/>
          <w:b w:val="false"/>
          <w:color w:val="000000"/>
          <w:sz w:val="24"/>
          <w:shd w:fill="FFFFFF" w:val="clear"/>
        </w:rPr>
        <w:t>), filed with the Securities and Exchange Commission (the “</w:t>
      </w:r>
      <w:r>
        <w:rPr>
          <w:rFonts w:ascii="Times New Roman;serif" w:hAnsi="Times New Roman;serif"/>
          <w:b w:val="false"/>
          <w:color w:val="000000"/>
          <w:sz w:val="24"/>
          <w:u w:val="single"/>
          <w:shd w:fill="FFFFFF" w:val="clear"/>
        </w:rPr>
        <w:t>Commission</w:t>
      </w:r>
      <w:r>
        <w:rPr>
          <w:color w:val="000000"/>
          <w:shd w:fill="FFFFFF" w:val="clear"/>
        </w:rPr>
        <w:t>”</w:t>
      </w:r>
      <w:r>
        <w:rPr>
          <w:rFonts w:ascii="Times New Roman;serif" w:hAnsi="Times New Roman;serif"/>
          <w:b w:val="false"/>
          <w:color w:val="000000"/>
          <w:sz w:val="24"/>
          <w:shd w:fill="FFFFFF" w:val="clear"/>
        </w:rPr>
        <w:t>) on July 30, 2026 (the “</w:t>
      </w:r>
      <w:r>
        <w:rPr>
          <w:rFonts w:ascii="Times New Roman;serif" w:hAnsi="Times New Roman;serif"/>
          <w:b w:val="false"/>
          <w:color w:val="000000"/>
          <w:sz w:val="24"/>
          <w:u w:val="single"/>
          <w:shd w:fill="FFFFFF" w:val="clear"/>
        </w:rPr>
        <w:t>Registration Statement</w:t>
      </w:r>
      <w:r>
        <w:rPr>
          <w:color w:val="000000"/>
          <w:shd w:fill="FFFFFF" w:val="clear"/>
        </w:rPr>
        <w:t>”</w:t>
      </w:r>
      <w:r>
        <w:rPr>
          <w:rFonts w:ascii="Times New Roman;serif" w:hAnsi="Times New Roman;serif"/>
          <w:b w:val="false"/>
          <w:color w:val="000000"/>
          <w:sz w:val="24"/>
          <w:shd w:fill="FFFFFF" w:val="clear"/>
        </w:rPr>
        <w:t xml:space="preserve">).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Shares. </w:t>
      </w:r>
    </w:p>
    <w:p>
      <w:pPr>
        <w:pStyle w:val="TextBody"/>
        <w:bidi w:val="0"/>
        <w:spacing w:lineRule="auto" w:line="288" w:before="240" w:after="283"/>
        <w:ind w:left="0" w:right="0" w:firstLine="720"/>
        <w:jc w:val="both"/>
        <w:rPr>
          <w:shd w:fill="FFFFFF" w:val="clear"/>
        </w:rPr>
      </w:pPr>
      <w:r>
        <w:rPr>
          <w:rFonts w:ascii="Times New Roman;serif" w:hAnsi="Times New Roman;serif"/>
          <w:b w:val="false"/>
          <w:color w:val="000000"/>
          <w:sz w:val="24"/>
          <w:shd w:fill="FFFFFF" w:val="clear"/>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serif" w:hAnsi="Times New Roman;serif"/>
          <w:b w:val="false"/>
          <w:color w:val="000000"/>
          <w:sz w:val="24"/>
          <w:u w:val="single"/>
          <w:shd w:fill="FFFFFF" w:val="clear"/>
        </w:rPr>
        <w:t>DGCL</w:t>
      </w:r>
      <w:r>
        <w:rPr>
          <w:color w:val="000000"/>
          <w:shd w:fill="FFFFFF" w:val="clear"/>
        </w:rPr>
        <w:t>”</w:t>
      </w:r>
      <w:r>
        <w:rPr>
          <w:rFonts w:ascii="Times New Roman;serif" w:hAnsi="Times New Roman;serif"/>
          <w:b w:val="false"/>
          <w:color w:val="000000"/>
          <w:sz w:val="24"/>
          <w:shd w:fill="FFFFFF" w:val="clear"/>
        </w:rPr>
        <w:t xml:space="preserve">), and we express no opinion with respect to any other laws. </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for legal consideration in excess of par value in the circumstances contemplated by the Plan, assuming in each case that the individual grants or awards under the Plan are duly authorized by all necessary corporate action and duly granted or awarded and exercised in accordance with the requirements of law and the Plan (and the agreements and awards duly adopted thereunder and in accordance therewith),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41020"/>
                <wp:effectExtent l="0" t="0" r="0" b="0"/>
                <wp:wrapNone/>
                <wp:docPr id="8" name="Frame6"/>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before="180" w:after="12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120"/>
                        <w:jc w:val="left"/>
                        <w:rPr/>
                      </w:pPr>
                      <w:r>
                        <w:rPr/>
                      </w:r>
                    </w:p>
                    <w:p>
                      <w:pPr>
                        <w:pStyle w:val="TextBody"/>
                        <w:bidi w:val="0"/>
                        <w:spacing w:before="0" w:after="0"/>
                        <w:jc w:val="left"/>
                        <w:rPr/>
                      </w:pPr>
                      <w:r>
                        <w:rPr/>
                      </w:r>
                    </w:p>
                  </w:txbxContent>
                </v:textbox>
                <w10:wrap type="none"/>
              </v:rect>
            </w:pict>
          </mc:Fallback>
        </mc:AlternateContent>
      </w:r>
    </w:p>
    <w:tbl>
      <w:tblPr>
        <w:tblW w:w="1019" w:type="dxa"/>
        <w:jc w:val="left"/>
        <w:tblInd w:w="0" w:type="dxa"/>
        <w:tblLayout w:type="fixed"/>
        <w:tblCellMar>
          <w:top w:w="28" w:type="dxa"/>
          <w:left w:w="28" w:type="dxa"/>
          <w:bottom w:w="28" w:type="dxa"/>
          <w:right w:w="28" w:type="dxa"/>
        </w:tblCellMar>
      </w:tblPr>
      <w:tblGrid>
        <w:gridCol w:w="326"/>
        <w:gridCol w:w="286"/>
        <w:gridCol w:w="407"/>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tLeast" w:line="160" w:before="0" w:after="0"/>
              <w:jc w:val="left"/>
              <w:rPr>
                <w:rFonts w:ascii="Arial;sans-serif" w:hAnsi="Arial;sans-serif"/>
                <w:b/>
                <w:color w:val="000000"/>
                <w:sz w:val="14"/>
              </w:rPr>
            </w:pPr>
            <w:r>
              <w:rPr>
                <w:rFonts w:ascii="Arial;sans-serif" w:hAnsi="Arial;sans-serif"/>
                <w:b/>
                <w:color w:val="000000"/>
                <w:sz w:val="14"/>
              </w:rPr>
              <w:t>July 30, 2026</w:t>
            </w:r>
          </w:p>
          <w:p>
            <w:pPr>
              <w:pStyle w:val="TableContents"/>
              <w:bidi w:val="0"/>
              <w:spacing w:lineRule="auto" w:line="376" w:before="0" w:after="0"/>
              <w:jc w:val="left"/>
              <w:rPr>
                <w:rFonts w:ascii="Arial;sans-serif" w:hAnsi="Arial;sans-serif"/>
                <w:b/>
                <w:color w:val="000000"/>
                <w:sz w:val="14"/>
              </w:rPr>
            </w:pPr>
            <w:r>
              <w:rPr>
                <w:rFonts w:ascii="Arial;sans-serif" w:hAnsi="Arial;sans-serif"/>
                <w:b/>
                <w:color w:val="000000"/>
                <w:sz w:val="14"/>
              </w:rPr>
              <w:t xml:space="preserve">Page 2 </w:t>
            </w:r>
          </w:p>
        </w:tc>
      </w:tr>
    </w:tbl>
    <w:p>
      <w:pPr>
        <w:pStyle w:val="TextBody"/>
        <w:bidi w:val="0"/>
        <w:spacing w:before="113" w:after="360"/>
        <w:jc w:val="left"/>
        <w:rPr>
          <w:shd w:fill="FFFFFF" w:val="clear"/>
        </w:rPr>
      </w:pPr>
      <w:r>
        <w:rPr>
          <w:shd w:fill="FFFFFF" w:val="clear"/>
        </w:rPr>
        <w:drawing>
          <wp:inline distT="0" distB="0" distL="0" distR="0">
            <wp:extent cx="1543050" cy="10477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33"/>
                    <a:stretch>
                      <a:fillRect/>
                    </a:stretch>
                  </pic:blipFill>
                  <pic:spPr bwMode="auto">
                    <a:xfrm>
                      <a:off x="0" y="0"/>
                      <a:ext cx="1543050" cy="104775"/>
                    </a:xfrm>
                    <a:prstGeom prst="rect">
                      <a:avLst/>
                    </a:prstGeom>
                  </pic:spPr>
                </pic:pic>
              </a:graphicData>
            </a:graphic>
          </wp:inline>
        </w:drawing>
      </w:r>
    </w:p>
    <w:p>
      <w:pPr>
        <w:pStyle w:val="TextBody"/>
        <w:bidi w:val="0"/>
        <w:spacing w:lineRule="auto" w:line="288" w:before="240" w:after="283"/>
        <w:ind w:left="0" w:right="0" w:firstLine="7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 </w:t>
      </w:r>
    </w:p>
    <w:p>
      <w:pPr>
        <w:pStyle w:val="TextBody"/>
        <w:bidi w:val="0"/>
        <w:spacing w:lineRule="auto" w:line="288" w:before="0" w:after="0"/>
        <w:jc w:val="left"/>
        <w:rPr>
          <w:color w:val="000000"/>
          <w:shd w:fill="FFFFFF" w:val="clear"/>
        </w:rPr>
      </w:pPr>
      <w:r>
        <w:rPr>
          <w:color w:val="000000"/>
          <w:shd w:fill="FFFFFF" w:val="clear"/>
        </w:rPr>
        <w:t> </w:t>
      </w:r>
    </w:p>
    <w:tbl>
      <w:tblPr>
        <w:tblW w:w="2730" w:type="dxa"/>
        <w:jc w:val="left"/>
        <w:tblInd w:w="0" w:type="dxa"/>
        <w:tblLayout w:type="fixed"/>
        <w:tblCellMar>
          <w:top w:w="28" w:type="dxa"/>
          <w:left w:w="28" w:type="dxa"/>
          <w:bottom w:w="28" w:type="dxa"/>
          <w:right w:w="28" w:type="dxa"/>
        </w:tblCellMar>
      </w:tblPr>
      <w:tblGrid>
        <w:gridCol w:w="872"/>
        <w:gridCol w:w="767"/>
        <w:gridCol w:w="1091"/>
      </w:tblGrid>
      <w:tr>
        <w:trPr/>
        <w:tc>
          <w:tcPr>
            <w:tcW w:w="87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Sincerely,</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Latham &amp; Watkins LLP</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92100"/>
                <wp:effectExtent l="0" t="0" r="0" b="0"/>
                <wp:wrapNone/>
                <wp:docPr id="10" name="Frame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|US-DOCS\152892597.2||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|US-DOCS\152892597.2||</w:t>
                      </w:r>
                    </w:p>
                  </w:txbxContent>
                </v:textbox>
                <w10:wrap type="none"/>
              </v:rect>
            </w:pict>
          </mc:Fallback>
        </mc:AlternateContent>
      </w:r>
    </w:p>
    <w:p>
      <w:pPr>
        <w:pStyle w:val="TextBody"/>
        <w:bidi w:val="0"/>
        <w:spacing w:lineRule="auto" w:line="333" w:before="0" w:after="20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lineRule="auto" w:line="333" w:before="0" w:after="200"/>
        <w:jc w:val="left"/>
        <w:rPr>
          <w:rFonts w:ascii="Arial;sans-serif" w:hAnsi="Arial;sans-serif"/>
          <w:b w:val="false"/>
          <w:color w:val="000000"/>
          <w:sz w:val="20"/>
        </w:rPr>
      </w:pPr>
      <w:r>
        <w:rPr>
          <w:rFonts w:ascii="Arial;sans-serif" w:hAnsi="Arial;sans-serif"/>
          <w:b w:val="false"/>
          <w:color w:val="000000"/>
          <w:sz w:val="20"/>
        </w:rPr>
        <w:t>We consent to the use of our reports dated February 27, 2026, with respect to the consolidated financial statements of NextDecade Corporation and subsidiaries, and the effectiveness of internal control over financial reporting, incorporated herein by reference.</w:t>
      </w:r>
    </w:p>
    <w:p>
      <w:pPr>
        <w:pStyle w:val="TextBody"/>
        <w:bidi w:val="0"/>
        <w:spacing w:lineRule="auto" w:line="333" w:before="0" w:after="200"/>
        <w:jc w:val="left"/>
        <w:rPr>
          <w:rFonts w:ascii="Arial;sans-serif" w:hAnsi="Arial;sans-serif"/>
          <w:b w:val="false"/>
          <w:color w:val="000000"/>
          <w:sz w:val="20"/>
        </w:rPr>
      </w:pPr>
      <w:r>
        <w:rPr>
          <w:rFonts w:ascii="Arial;sans-serif" w:hAnsi="Arial;sans-serif"/>
          <w:b w:val="false"/>
          <w:color w:val="000000"/>
          <w:sz w:val="20"/>
        </w:rPr>
        <w:t>/s/ KPMG LLP</w:t>
      </w:r>
    </w:p>
    <w:p>
      <w:pPr>
        <w:pStyle w:val="TextBody"/>
        <w:bidi w:val="0"/>
        <w:spacing w:lineRule="auto" w:line="333" w:before="0" w:after="200"/>
        <w:jc w:val="left"/>
        <w:rPr>
          <w:rFonts w:ascii="Arial;sans-serif" w:hAnsi="Arial;sans-serif"/>
          <w:b w:val="false"/>
          <w:color w:val="000000"/>
          <w:sz w:val="20"/>
        </w:rPr>
      </w:pPr>
      <w:r>
        <w:rPr>
          <w:rFonts w:ascii="Arial;sans-serif" w:hAnsi="Arial;sans-serif"/>
          <w:b w:val="false"/>
          <w:color w:val="000000"/>
          <w:sz w:val="20"/>
        </w:rPr>
        <w:t>Houston, Texas</w:t>
        <w:br/>
        <w:t>July 30, 2026</w:t>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issued our report dated March 11, 2024 (except for Note 2, Segments, as to which the date is February 27, 2025, and Item 15(a)(2), as to which the date is February 27, 2026) with respect to the consolidated financial statements of NextDecade Corporation included in the Annual Report on Form 10-K for the year ended December 31, 2023, which is incorporated by reference in this Registration Statement. We consent to the incorporation by reference of the aforementioned report in this Registration Statement.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GRANT THORNTON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Houston, Texas</w:t>
      </w:r>
    </w:p>
    <w:p>
      <w:pPr>
        <w:pStyle w:val="TextBody"/>
        <w:bidi w:val="0"/>
        <w:spacing w:lineRule="auto" w:line="319"/>
        <w:jc w:val="left"/>
        <w:rPr>
          <w:rFonts w:ascii="Times New Roman;serif" w:hAnsi="Times New Roman;serif"/>
          <w:b w:val="false"/>
          <w:color w:val="000000"/>
          <w:sz w:val="20"/>
        </w:rPr>
      </w:pPr>
      <w:r>
        <w:rPr>
          <w:rFonts w:ascii="Times New Roman;serif" w:hAnsi="Times New Roman;serif"/>
          <w:b w:val="false"/>
          <w:color w:val="000000"/>
          <w:sz w:val="20"/>
        </w:rPr>
        <w:t xml:space="preserve">July 30, 2026 </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12720/000161272017000018/next-20171215xs8.htm" TargetMode="External"/><Relationship Id="rId4" Type="http://schemas.openxmlformats.org/officeDocument/2006/relationships/hyperlink" Target="https://www.sec.gov/Archives/edgar/data/1612720/000143774919022153/next20191108_s8.htm" TargetMode="External"/><Relationship Id="rId5" Type="http://schemas.openxmlformats.org/officeDocument/2006/relationships/hyperlink" Target="https://www.sec.gov/Archives/edgar/data/1612720/000143774921007307/next20210128_s8.htm" TargetMode="External"/><Relationship Id="rId6" Type="http://schemas.openxmlformats.org/officeDocument/2006/relationships/hyperlink" Target="https://www.sec.gov/Archives/edgar/data/1612720/000143774921017007/next20210608_s8.htm" TargetMode="External"/><Relationship Id="rId7" Type="http://schemas.openxmlformats.org/officeDocument/2006/relationships/hyperlink" Target="https://www.sec.gov/Archives/edgar/data/1612720/000143774922015896/next20220620_s8.htm" TargetMode="External"/><Relationship Id="rId8" Type="http://schemas.openxmlformats.org/officeDocument/2006/relationships/hyperlink" Target="https://www.sec.gov/Archives/edgar/data/1612720/000143774923023855/next20230810_s8.htm" TargetMode="External"/><Relationship Id="rId9" Type="http://schemas.openxmlformats.org/officeDocument/2006/relationships/hyperlink" Target="https://www.sec.gov/Archives/edgar/data/1612720/000162828024037392/nexts-8.htm" TargetMode="External"/><Relationship Id="rId10" Type="http://schemas.openxmlformats.org/officeDocument/2006/relationships/hyperlink" Target="https://www.sec.gov/Archives/edgar/data/1612720/000162828025041026/nexts-82025.htm" TargetMode="External"/><Relationship Id="rId11" Type="http://schemas.openxmlformats.org/officeDocument/2006/relationships/hyperlink" Target="https://www.sec.gov/ix?doc=/Archives/edgar/data/1612720/000161272026000009/next-20251231.htm" TargetMode="External"/><Relationship Id="rId12" Type="http://schemas.openxmlformats.org/officeDocument/2006/relationships/hyperlink" Target="https://www.sec.gov/Archives/edgar/data/1612720/000161272026000026/0001612720-26-000026-index.htm" TargetMode="External"/><Relationship Id="rId13" Type="http://schemas.openxmlformats.org/officeDocument/2006/relationships/hyperlink" Target="https://www.sec.gov/ix?doc=/Archives/edgar/data/1612720/000161272026000049/next-20260630.htm" TargetMode="External"/><Relationship Id="rId14" Type="http://schemas.openxmlformats.org/officeDocument/2006/relationships/hyperlink" Target="https://www.sec.gov/ix?doc=/Archives/edgar/data/1612720/000161272026000013/next-20260415.htm" TargetMode="External"/><Relationship Id="rId15" Type="http://schemas.openxmlformats.org/officeDocument/2006/relationships/hyperlink" Target="https://www.sec.gov/ix?doc=/Archives/edgar/data/1612720/000161272026000036/next-20260603.htm" TargetMode="External"/><Relationship Id="rId16" Type="http://schemas.openxmlformats.org/officeDocument/2006/relationships/hyperlink" Target="https://www.sec.gov/ix?doc=/Archives/edgar/data/1612720/000161272026000039/next-20260617.htm" TargetMode="External"/><Relationship Id="rId17" Type="http://schemas.openxmlformats.org/officeDocument/2006/relationships/hyperlink" Target="https://www.sec.gov/Archives/edgar/data/1612720/000161272026000043/0001612720-26-000043-index.htm" TargetMode="External"/><Relationship Id="rId18" Type="http://schemas.openxmlformats.org/officeDocument/2006/relationships/hyperlink" Target="https://www.sec.gov/ix?doc=/Archives/edgar/data/1612720/000161272026000018/next-20260423.htm" TargetMode="External"/><Relationship Id="rId19" Type="http://schemas.openxmlformats.org/officeDocument/2006/relationships/hyperlink" Target="https://www.sec.gov/ix?doc=/Archives/edgar/data/1612720/000161272026000034/next-20260519.htm" TargetMode="External"/><Relationship Id="rId20" Type="http://schemas.openxmlformats.org/officeDocument/2006/relationships/hyperlink" Target="https://www.sec.gov/Archives/edgar/data/1612720/000121390015000835/f8a12b_harmonymerger.htm" TargetMode="External"/><Relationship Id="rId21" Type="http://schemas.openxmlformats.org/officeDocument/2006/relationships/hyperlink" Target="https://www.sec.gov/Archives/edgar/data/1612720/000121390015001864/f8a12b031815a1_harmony.htm" TargetMode="External"/><Relationship Id="rId22" Type="http://schemas.openxmlformats.org/officeDocument/2006/relationships/hyperlink" Target="https://www.sec.gov/Archives/edgar/data/1612720/000121390017008018/f8k072417ex3i_nextdecade.htm" TargetMode="External"/><Relationship Id="rId23" Type="http://schemas.openxmlformats.org/officeDocument/2006/relationships/hyperlink" Target="https://www.sec.gov/Archives/edgar/data/1612720/000143774922015895/ex_389213.htm" TargetMode="External"/><Relationship Id="rId24" Type="http://schemas.openxmlformats.org/officeDocument/2006/relationships/hyperlink" Target="https://www.sec.gov/Archives/edgar/data/1612720/000143774920004261/ex_174493.htm" TargetMode="External"/><Relationship Id="rId25" Type="http://schemas.openxmlformats.org/officeDocument/2006/relationships/hyperlink" Target="https://www.sec.gov/Archives/edgar/data/1612720/000161272017000018/next-20171215xex10.htm" TargetMode="External"/><Relationship Id="rId26" Type="http://schemas.openxmlformats.org/officeDocument/2006/relationships/hyperlink" Target="https://www.sec.gov/Archives/edgar/data/1612720/000143774921014904/ex_257150.htm" TargetMode="External"/><Relationship Id="rId27" Type="http://schemas.openxmlformats.org/officeDocument/2006/relationships/hyperlink" Target="https://www.sec.gov/Archives/edgar/data/1612720/000143774922015633/ex_389091.htm" TargetMode="External"/><Relationship Id="rId28" Type="http://schemas.openxmlformats.org/officeDocument/2006/relationships/hyperlink" Target="https://www.sec.gov/Archives/edgar/data/1612720/000143774923016387/ex_525583.htm" TargetMode="External"/><Relationship Id="rId29" Type="http://schemas.openxmlformats.org/officeDocument/2006/relationships/hyperlink" Target="https://www.sec.gov/Archives/edgar/data/1612720/000162828024026373/exhibit101.htm" TargetMode="External"/><Relationship Id="rId30" Type="http://schemas.openxmlformats.org/officeDocument/2006/relationships/hyperlink" Target="https://www.sec.gov/Archives/edgar/data/1612720/000162828024026373/exhibit101.htm" TargetMode="External"/><Relationship Id="rId31" Type="http://schemas.openxmlformats.org/officeDocument/2006/relationships/hyperlink" Target="https://www.sec.gov/Archives/edgar/data/1612720/000161272026000036/exhibit1012026.htm" TargetMode="External"/><Relationship Id="rId32" Type="http://schemas.openxmlformats.org/officeDocument/2006/relationships/image" Target="media/image2.png"/><Relationship Id="rId33" Type="http://schemas.openxmlformats.org/officeDocument/2006/relationships/image" Target="media/image3.pn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2579</Words>
  <Characters>13867</Characters>
  <CharactersWithSpaces>16334</CharactersWithSpaces>
  <Paragraphs>249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