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392" w:type="dxa"/>
        <w:jc w:val="center"/>
        <w:tblInd w:w="0" w:type="dxa"/>
        <w:tblLayout w:type="fixed"/>
        <w:tblCellMar>
          <w:top w:w="28" w:type="dxa"/>
          <w:left w:w="28" w:type="dxa"/>
          <w:bottom w:w="28" w:type="dxa"/>
          <w:right w:w="28" w:type="dxa"/>
        </w:tblCellMar>
      </w:tblPr>
      <w:tblGrid>
        <w:gridCol w:w="217"/>
        <w:gridCol w:w="191"/>
        <w:gridCol w:w="193"/>
        <w:gridCol w:w="109"/>
        <w:gridCol w:w="109"/>
        <w:gridCol w:w="109"/>
        <w:gridCol w:w="136"/>
        <w:gridCol w:w="136"/>
        <w:gridCol w:w="192"/>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8-K</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pPr>
      <w:r>
        <w:rPr>
          <w:rFonts w:ascii="Times New Roman;serif" w:hAnsi="Times New Roman;serif"/>
          <w:b/>
          <w:color w:val="000000"/>
          <w:sz w:val="20"/>
        </w:rPr>
        <w:t>PURSUANT TO SECTION</w:t>
      </w:r>
      <w:r>
        <w:rPr>
          <w:color w:val="000000"/>
        </w:rPr>
        <w:t xml:space="preserve"> </w:t>
      </w:r>
      <w:r>
        <w:rPr>
          <w:rFonts w:ascii="Times New Roman;serif" w:hAnsi="Times New Roman;serif"/>
          <w:b/>
          <w:color w:val="000000"/>
          <w:sz w:val="20"/>
        </w:rPr>
        <w:t>13 OR 15(D) OF THE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120" w:after="283"/>
        <w:jc w:val="center"/>
        <w:rPr/>
      </w:pPr>
      <w:r>
        <w:rPr/>
        <w:drawing>
          <wp:inline distT="0" distB="0" distL="0" distR="0">
            <wp:extent cx="5429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2925" cy="5524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September 29, 2026</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NEXTDECADE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10205" w:type="dxa"/>
        <w:jc w:val="center"/>
        <w:tblInd w:w="0" w:type="dxa"/>
        <w:tblLayout w:type="fixed"/>
        <w:tblCellMar>
          <w:top w:w="28" w:type="dxa"/>
          <w:left w:w="28" w:type="dxa"/>
          <w:bottom w:w="28" w:type="dxa"/>
          <w:right w:w="28" w:type="dxa"/>
        </w:tblCellMar>
      </w:tblPr>
      <w:tblGrid>
        <w:gridCol w:w="1778"/>
        <w:gridCol w:w="1562"/>
        <w:gridCol w:w="1577"/>
        <w:gridCol w:w="757"/>
        <w:gridCol w:w="757"/>
        <w:gridCol w:w="765"/>
        <w:gridCol w:w="877"/>
        <w:gridCol w:w="877"/>
        <w:gridCol w:w="1255"/>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001-36842</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46-5723951</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1000 Louisiana Street, Suite 3300</w:t>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Houston, Texas</w:t>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77002</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40" w:before="2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(713) 574-1880</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 4(c))</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66" w:type="dxa"/>
        <w:jc w:val="left"/>
        <w:tblInd w:w="0" w:type="dxa"/>
        <w:tblLayout w:type="fixed"/>
        <w:tblCellMar>
          <w:top w:w="28" w:type="dxa"/>
          <w:left w:w="28" w:type="dxa"/>
          <w:bottom w:w="28" w:type="dxa"/>
          <w:right w:w="28" w:type="dxa"/>
        </w:tblCellMar>
      </w:tblPr>
      <w:tblGrid>
        <w:gridCol w:w="1060"/>
        <w:gridCol w:w="932"/>
        <w:gridCol w:w="947"/>
        <w:gridCol w:w="109"/>
        <w:gridCol w:w="109"/>
        <w:gridCol w:w="109"/>
        <w:gridCol w:w="499"/>
        <w:gridCol w:w="499"/>
        <w:gridCol w:w="501"/>
        <w:gridCol w:w="109"/>
        <w:gridCol w:w="109"/>
        <w:gridCol w:w="109"/>
        <w:gridCol w:w="1161"/>
        <w:gridCol w:w="1161"/>
        <w:gridCol w:w="1652"/>
      </w:tblGrid>
      <w:tr>
        <w:trPr/>
        <w:tc>
          <w:tcPr>
            <w:tcW w:w="10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6" w:before="0" w:after="0"/>
              <w:ind w:left="0" w:right="0" w:hanging="160"/>
              <w:jc w:val="center"/>
              <w:rPr/>
            </w:pPr>
            <w:r>
              <w:rPr>
                <w:rFonts w:ascii="Times New Roman;serif" w:hAnsi="Times New Roman;serif"/>
                <w:b/>
                <w:color w:val="000000"/>
                <w:sz w:val="20"/>
              </w:rPr>
              <w:t>Title</w:t>
            </w:r>
            <w:r>
              <w:rPr>
                <w:color w:val="000000"/>
              </w:rPr>
              <w:t xml:space="preserve"> </w:t>
            </w:r>
            <w:r>
              <w:rPr>
                <w:rFonts w:ascii="Times New Roman;serif" w:hAnsi="Times New Roman;serif"/>
                <w:b/>
                <w:color w:val="000000"/>
                <w:sz w:val="20"/>
              </w:rPr>
              <w:t>of</w:t>
            </w:r>
            <w:r>
              <w:rPr>
                <w:color w:val="000000"/>
              </w:rPr>
              <w:t xml:space="preserve"> </w:t>
            </w:r>
            <w:r>
              <w:rPr>
                <w:rFonts w:ascii="Times New Roman;serif" w:hAnsi="Times New Roman;serif"/>
                <w:b/>
                <w:color w:val="000000"/>
                <w:sz w:val="20"/>
              </w:rPr>
              <w:t>each</w:t>
            </w:r>
            <w:r>
              <w:rPr>
                <w:color w:val="000000"/>
              </w:rPr>
              <w:t xml:space="preserve"> </w:t>
            </w:r>
            <w:r>
              <w:rPr>
                <w:rFonts w:ascii="Times New Roman;serif" w:hAnsi="Times New Roman;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Name</w:t>
            </w:r>
            <w:r>
              <w:rPr>
                <w:color w:val="000000"/>
              </w:rPr>
              <w:t xml:space="preserve"> </w:t>
            </w:r>
            <w:r>
              <w:rPr>
                <w:rFonts w:ascii="Times New Roman;serif" w:hAnsi="Times New Roman;serif"/>
                <w:b/>
                <w:color w:val="000000"/>
                <w:sz w:val="20"/>
              </w:rPr>
              <w:t>of</w:t>
            </w:r>
            <w:r>
              <w:rPr>
                <w:color w:val="000000"/>
              </w:rPr>
              <w:t xml:space="preserve"> </w:t>
            </w:r>
            <w:r>
              <w:rPr>
                <w:rFonts w:ascii="Times New Roman;serif" w:hAnsi="Times New Roman;serif"/>
                <w:b/>
                <w:color w:val="000000"/>
                <w:sz w:val="20"/>
              </w:rPr>
              <w:t>each</w:t>
            </w:r>
            <w:r>
              <w:rPr>
                <w:color w:val="000000"/>
              </w:rPr>
              <w:t xml:space="preserve"> </w:t>
            </w:r>
            <w:r>
              <w:rPr>
                <w:rFonts w:ascii="Times New Roman;serif" w:hAnsi="Times New Roman;serif"/>
                <w:b/>
                <w:color w:val="000000"/>
                <w:sz w:val="20"/>
              </w:rPr>
              <w:t>exchange</w:t>
            </w:r>
            <w:r>
              <w:rPr>
                <w:color w:val="000000"/>
              </w:rPr>
              <w:t xml:space="preserve"> </w:t>
            </w:r>
            <w:r>
              <w:rPr>
                <w:rFonts w:ascii="Times New Roman;serif" w:hAnsi="Times New Roman;serif"/>
                <w:b/>
                <w:color w:val="000000"/>
                <w:sz w:val="20"/>
              </w:rPr>
              <w:t>on</w:t>
            </w:r>
            <w:r>
              <w:rPr>
                <w:color w:val="000000"/>
              </w:rPr>
              <w:t xml:space="preserve"> </w:t>
            </w:r>
            <w:r>
              <w:rPr>
                <w:rFonts w:ascii="Times New Roman;serif" w:hAnsi="Times New Roman;serif"/>
                <w:b/>
                <w:color w:val="000000"/>
                <w:sz w:val="20"/>
              </w:rPr>
              <w:t>which</w:t>
            </w:r>
            <w:r>
              <w:rPr>
                <w:color w:val="000000"/>
              </w:rPr>
              <w:t xml:space="preserve"> </w:t>
            </w:r>
            <w:r>
              <w:rPr>
                <w:rFonts w:ascii="Times New Roman;serif" w:hAnsi="Times New Roman;serif"/>
                <w:b/>
                <w:color w:val="000000"/>
                <w:sz w:val="20"/>
              </w:rPr>
              <w:t>registered:</w:t>
            </w:r>
          </w:p>
        </w:tc>
      </w:tr>
      <w:tr>
        <w:trPr/>
        <w:tc>
          <w:tcPr>
            <w:tcW w:w="29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NEXT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both"/>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September 29, 2026, NextDecade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received a letter from Mr. Giovanni Oddo indicating that he was resigning from the Company's Board of Directors (the “</w:t>
      </w:r>
      <w:r>
        <w:rPr>
          <w:rFonts w:ascii="Times New Roman;serif" w:hAnsi="Times New Roman;serif"/>
          <w:b w:val="false"/>
          <w:color w:val="000000"/>
          <w:sz w:val="20"/>
          <w:u w:val="single"/>
        </w:rPr>
        <w:t>Board</w:t>
      </w:r>
      <w:r>
        <w:rPr>
          <w:color w:val="000000"/>
        </w:rPr>
        <w:t>”</w:t>
      </w:r>
      <w:r>
        <w:rPr>
          <w:rFonts w:ascii="Times New Roman;serif" w:hAnsi="Times New Roman;serif"/>
          <w:b w:val="false"/>
          <w:color w:val="000000"/>
          <w:sz w:val="20"/>
        </w:rPr>
        <w:t>), effective immediately. Mr. Oddo was initially appointed to the Board in May 2022 pursuant to that certain Purchaser Rights Agreement between the Company and Ninteenth Investment Company LLC (“</w:t>
      </w:r>
      <w:r>
        <w:rPr>
          <w:rFonts w:ascii="Times New Roman;serif" w:hAnsi="Times New Roman;serif"/>
          <w:b w:val="false"/>
          <w:color w:val="000000"/>
          <w:sz w:val="20"/>
          <w:u w:val="single"/>
        </w:rPr>
        <w:t>NIC</w:t>
      </w:r>
      <w:r>
        <w:rPr>
          <w:color w:val="000000"/>
        </w:rPr>
        <w:t>”</w:t>
      </w:r>
      <w:r>
        <w:rPr>
          <w:rFonts w:ascii="Times New Roman;serif" w:hAnsi="Times New Roman;serif"/>
          <w:b w:val="false"/>
          <w:color w:val="000000"/>
          <w:sz w:val="20"/>
        </w:rPr>
        <w:t>), an affiliate of Mubadala Investment Company, dated as of October 28, 2019 (the “</w:t>
      </w:r>
      <w:r>
        <w:rPr>
          <w:rFonts w:ascii="Times New Roman;serif" w:hAnsi="Times New Roman;serif"/>
          <w:b w:val="false"/>
          <w:color w:val="000000"/>
          <w:sz w:val="20"/>
          <w:u w:val="single"/>
        </w:rPr>
        <w:t>Purchaser Rights Agreement</w:t>
      </w:r>
      <w:r>
        <w:rPr>
          <w:color w:val="000000"/>
        </w:rPr>
        <w:t>”</w:t>
      </w:r>
      <w:r>
        <w:rPr>
          <w:rFonts w:ascii="Times New Roman;serif" w:hAnsi="Times New Roman;serif"/>
          <w:b w:val="false"/>
          <w:color w:val="000000"/>
          <w:sz w:val="20"/>
        </w:rPr>
        <w:t xml:space="preserve">). Mr. Oddo indicated that his resignation was not due to any disagreements with the Company on any matter relating to the Company’s operations, policies or practices.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the Purchaser Rights Agreement, NIC has the right to designate a replacement for Mr. Oddo on the Company's Board.</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Dated: October 1, 2026</w:t>
      </w:r>
    </w:p>
    <w:tbl>
      <w:tblPr>
        <w:tblW w:w="4064" w:type="dxa"/>
        <w:jc w:val="left"/>
        <w:tblInd w:w="0" w:type="dxa"/>
        <w:tblLayout w:type="fixed"/>
        <w:tblCellMar>
          <w:top w:w="28" w:type="dxa"/>
          <w:left w:w="28" w:type="dxa"/>
          <w:bottom w:w="28" w:type="dxa"/>
          <w:right w:w="28" w:type="dxa"/>
        </w:tblCellMar>
      </w:tblPr>
      <w:tblGrid>
        <w:gridCol w:w="124"/>
        <w:gridCol w:w="109"/>
        <w:gridCol w:w="109"/>
        <w:gridCol w:w="467"/>
        <w:gridCol w:w="467"/>
        <w:gridCol w:w="467"/>
        <w:gridCol w:w="649"/>
        <w:gridCol w:w="649"/>
        <w:gridCol w:w="6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NEXTDECADE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Vera de Gyarfas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Vera de Gyarfas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497</Words>
  <Characters>2784</Characters>
  <CharactersWithSpaces>3228</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