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22860</wp:posOffset>
            </wp:positionV>
            <wp:extent cx="1577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19685</wp:posOffset>
            </wp:positionV>
            <wp:extent cx="1577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74295</wp:posOffset>
            </wp:positionV>
            <wp:extent cx="48895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895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July 2, 2026</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NEXTDECADE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34" w:lineRule="exact"/>
        <w:rPr>
          <w:sz w:val="24"/>
          <w:szCs w:val="24"/>
          <w:color w:val="auto"/>
        </w:rPr>
      </w:pPr>
    </w:p>
    <w:tbl>
      <w:tblPr>
        <w:tblLayout w:type="fixed"/>
        <w:tblInd w:w="580" w:type="dxa"/>
        <w:tblCellMar>
          <w:top w:w="0" w:type="dxa"/>
          <w:left w:w="0" w:type="dxa"/>
          <w:bottom w:w="0" w:type="dxa"/>
          <w:right w:w="0" w:type="dxa"/>
        </w:tblCellMar>
      </w:tblPr>
      <w:tr>
        <w:trPr>
          <w:trHeight w:val="233"/>
        </w:trPr>
        <w:tc>
          <w:tcPr>
            <w:tcW w:w="4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001-36842</w:t>
            </w:r>
          </w:p>
        </w:tc>
        <w:tc>
          <w:tcPr>
            <w:tcW w:w="29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46-5723951</w:t>
            </w:r>
          </w:p>
        </w:tc>
      </w:tr>
      <w:tr>
        <w:trPr>
          <w:trHeight w:val="234"/>
        </w:trPr>
        <w:tc>
          <w:tcPr>
            <w:tcW w:w="4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29"/>
        </w:trPr>
        <w:tc>
          <w:tcPr>
            <w:tcW w:w="4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1000 Louisiana Street, Suite 3300</w:t>
            </w:r>
          </w:p>
        </w:tc>
        <w:tc>
          <w:tcPr>
            <w:tcW w:w="27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4"/>
        </w:trPr>
        <w:tc>
          <w:tcPr>
            <w:tcW w:w="4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700" w:type="dxa"/>
            <w:vAlign w:val="bottom"/>
          </w:tcPr>
          <w:p>
            <w:pPr>
              <w:spacing w:after="0"/>
              <w:rPr>
                <w:sz w:val="20"/>
                <w:szCs w:val="20"/>
                <w:color w:val="auto"/>
              </w:rPr>
            </w:pPr>
          </w:p>
        </w:tc>
        <w:tc>
          <w:tcPr>
            <w:tcW w:w="29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4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0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574-1880</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8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385"/>
        </w:trPr>
        <w:tc>
          <w:tcPr>
            <w:tcW w:w="3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0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NEXT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July 2, 2026, Rio Grande LNG, LLC, a Texas limited liability company (“</w:t>
      </w:r>
      <w:r>
        <w:rPr>
          <w:rFonts w:ascii="Times New Roman" w:cs="Times New Roman" w:eastAsia="Times New Roman" w:hAnsi="Times New Roman"/>
          <w:sz w:val="18"/>
          <w:szCs w:val="18"/>
          <w:u w:val="single" w:color="auto"/>
          <w:color w:val="auto"/>
        </w:rPr>
        <w:t>RGLNG</w:t>
      </w:r>
      <w:r>
        <w:rPr>
          <w:rFonts w:ascii="Times New Roman" w:cs="Times New Roman" w:eastAsia="Times New Roman" w:hAnsi="Times New Roman"/>
          <w:sz w:val="18"/>
          <w:szCs w:val="18"/>
          <w:color w:val="auto"/>
        </w:rPr>
        <w:t>”) and an indirect subsidiary of NextDecade Corporation (“</w:t>
      </w:r>
      <w:r>
        <w:rPr>
          <w:rFonts w:ascii="Times New Roman" w:cs="Times New Roman" w:eastAsia="Times New Roman" w:hAnsi="Times New Roman"/>
          <w:sz w:val="18"/>
          <w:szCs w:val="18"/>
          <w:u w:val="single" w:color="auto"/>
          <w:color w:val="auto"/>
        </w:rPr>
        <w:t>NextDecade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completed its previously announced offering of $1,000 million aggregate principal amount of 5.250% Senior Secured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$500 million aggregate principal amount of 5.500% Senior Secured Notes due 2034 (the “</w:t>
      </w:r>
      <w:r>
        <w:rPr>
          <w:rFonts w:ascii="Times New Roman" w:cs="Times New Roman" w:eastAsia="Times New Roman" w:hAnsi="Times New Roman"/>
          <w:sz w:val="18"/>
          <w:szCs w:val="18"/>
          <w:u w:val="single" w:color="auto"/>
          <w:color w:val="auto"/>
        </w:rPr>
        <w:t>2034 Notes</w:t>
      </w:r>
      <w:r>
        <w:rPr>
          <w:rFonts w:ascii="Times New Roman" w:cs="Times New Roman" w:eastAsia="Times New Roman" w:hAnsi="Times New Roman"/>
          <w:sz w:val="18"/>
          <w:szCs w:val="18"/>
          <w:color w:val="auto"/>
        </w:rPr>
        <w:t>”), $1,250 million aggregate principal amount of 5.750% Senior Secured Notes due 2036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and $750 million aggregate principal amount of 6.150% Senior Secured Notes due 2041 (the “</w:t>
      </w:r>
      <w:r>
        <w:rPr>
          <w:rFonts w:ascii="Times New Roman" w:cs="Times New Roman" w:eastAsia="Times New Roman" w:hAnsi="Times New Roman"/>
          <w:sz w:val="18"/>
          <w:szCs w:val="18"/>
          <w:u w:val="single" w:color="auto"/>
          <w:color w:val="auto"/>
        </w:rPr>
        <w:t>2041 Notes</w:t>
      </w:r>
      <w:r>
        <w:rPr>
          <w:rFonts w:ascii="Times New Roman" w:cs="Times New Roman" w:eastAsia="Times New Roman" w:hAnsi="Times New Roman"/>
          <w:sz w:val="18"/>
          <w:szCs w:val="18"/>
          <w:color w:val="auto"/>
        </w:rPr>
        <w:t>” and together with the 2031 Notes, the 2034 Notes and the 2036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Notes were issued pursuant to an indenture, dated as of July 2, 2026, between RGLNG and Wilmington Trust, National Association, as Trustee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RGLNG intends to use the net proceeds from the offering of the Notes to (i) repay a portion of the outstanding borrowings under its existing credit agreements and (ii) pay related fees and expenses thereto.</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Notes were offered only to persons reasonably believed to be qualified institutional buyers in reliance on Rule 144A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outside the United States, only to non-U.S. investors pursuant to Regulation S under the Securities Act. The Notes have not been and will not be registered under the Securities Act or the securities laws of any state.</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RGLNG will pay interest on the 2031 Notes, 2036 Notes and 2041 Notes semi-annually in cash in arrears on December 30 and June 30 of each year, beginning on December 30, 2026. RGLNG will pay interest on the 2034 Notes semi-annually in cash in arrears on January 30 and July 30 of each year, beginning on January 30, 2027. The 2031 Notes will bear interest at the rate of 5.250% and mature on June 30, 2031. The 2034 Notes will bear interest at the rate of 5.500% and mature on January 30, 2034. The 2036 Notes will bear interest at the rate of 5.750% and mature on June 30, 2036. The 2041 Notes will bear interest at the rate of 6.150% and mature on June 30, 2041.</w:t>
      </w:r>
    </w:p>
    <w:p>
      <w:pPr>
        <w:spacing w:after="0" w:line="212" w:lineRule="exact"/>
        <w:rPr>
          <w:sz w:val="20"/>
          <w:szCs w:val="20"/>
          <w:color w:val="auto"/>
        </w:rPr>
      </w:pPr>
    </w:p>
    <w:p>
      <w:pPr>
        <w:jc w:val="both"/>
        <w:ind w:firstLine="648"/>
        <w:spacing w:after="0" w:line="205" w:lineRule="exact"/>
        <w:rPr>
          <w:sz w:val="20"/>
          <w:szCs w:val="20"/>
          <w:color w:val="auto"/>
        </w:rPr>
      </w:pPr>
      <w:r>
        <w:rPr>
          <w:rFonts w:ascii="Times New Roman" w:cs="Times New Roman" w:eastAsia="Times New Roman" w:hAnsi="Times New Roman"/>
          <w:sz w:val="18"/>
          <w:szCs w:val="18"/>
          <w:color w:val="auto"/>
        </w:rPr>
        <w:t>At any time or from time to time prior to one (1) month (in the case of the 2031 Notes), two (2) months (in the case of the 2034 Notes), three (3) months (in the case of the 2036 Notes) or six (6) months (in the case of the 2041 Notes) prior to the applicable maturity date, RGLNG may redeem the applicable notes, in whole or in part, at a redemption price equal to 100% of the principal amount of the notes, plus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premium, plus accrued and unpaid interest, if any, to, but excluding, the redemption date. At any time or from time to time on or after one (1) month (in the case of the 2031 Notes), two (2) months (in the case of the 2034 Notes), three (3) months (in the case of the 2036 Notes) or six (6) months (in the case of the 2041 Notes) prior to the applicable maturity date, RGLNG may redeem the notes, in whole or in part, at any time and from time to time, at a redemption price equal to 100% of the principal amount of the notes being redeemed, plus accrued and unpaid interest thereon to, but excluding, the redemption date.</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Indenture is a senior secured debt instrument under the Common Terms Agreement, dated as of July 12, 2023, as amended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by and among RGLNG, each senior secured debt holder representative that is a party thereto, and MUFG Bank, Ltd., as the P1 intercreditor agent. The Notes are senior secured obligations of RGLNG and rank pari passu with all of RGLNG’s existing and future indebtedness that is senior and secured by the same collateral securing the Notes, including all obligations under the other senior secured debt instruments pursuant to the Common Terms Agreement.</w:t>
      </w:r>
    </w:p>
    <w:p>
      <w:pPr>
        <w:spacing w:after="0" w:line="22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Indenture also contains customary terms and events of default and certain covenants that, among other things, limit RGLNG’s ability to incur additional indebtedness, make certain investments or pay dividends or distributions on equity interests or subordinated indebtedness or purchase, redeem, or retire equity interests, sell or transfer assets, incur liens, dissolve, liquidate, consolidate, merge, or sell or lease all or substantially all of RGLNG’s assets. The Indenture further requires RGLNG to submit certain reports and information to the Trustee and the holders of the Notes. The Company expects to post RGLNG's quarterly financial information on its website in connection with this reporting requirement. With respect to certain events, including a change of control event and receipt of certain proceeds from asset sales, events of loss or liquidated damages, the Indenture requires RGLNG to make an offer to repurchase the Notes at 101% (with respect to a change of control event) or par (with respect to each other event), in each case, on the terms specified in the Indenture. The Indenture covenants are subject to a number of important limitations and exceptions, including the terms and covenants contained in the Common Terms Agreement. A copy of the Indenture will be filed as an exhibit to the Company’s quarterly report on Form 10-Q for the quarter ended September 30, 2026.</w:t>
      </w:r>
    </w:p>
    <w:p>
      <w:pPr>
        <w:spacing w:after="0" w:line="19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 2026</w:t>
      </w:r>
    </w:p>
    <w:p>
      <w:pPr>
        <w:spacing w:after="0" w:line="17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NEXTDECADE CORPORATION</w:t>
      </w:r>
    </w:p>
    <w:p>
      <w:pPr>
        <w:spacing w:after="0" w:line="252" w:lineRule="exact"/>
        <w:rPr>
          <w:sz w:val="20"/>
          <w:szCs w:val="20"/>
          <w:color w:val="auto"/>
        </w:rPr>
      </w:pPr>
    </w:p>
    <w:p>
      <w:pPr>
        <w:ind w:left="3420"/>
        <w:spacing w:after="0"/>
        <w:tabs>
          <w:tab w:leader="none" w:pos="3860" w:val="left"/>
        </w:tabs>
        <w:rPr>
          <w:sz w:val="20"/>
          <w:szCs w:val="20"/>
          <w:color w:val="auto"/>
        </w:rPr>
      </w:pPr>
      <w:r>
        <w:rPr>
          <w:rFonts w:ascii="Times New Roman" w:cs="Times New Roman" w:eastAsia="Times New Roman" w:hAnsi="Times New Roman"/>
          <w:sz w:val="18"/>
          <w:szCs w:val="18"/>
          <w:color w:val="auto"/>
        </w:rPr>
        <w:t>By:</w:t>
        <w:tab/>
        <w:t>/s/ Vera de Gyarfas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26035</wp:posOffset>
            </wp:positionV>
            <wp:extent cx="2451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4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 Vera de Gyarfas</w:t>
      </w:r>
    </w:p>
    <w:p>
      <w:pPr>
        <w:spacing w:after="0" w:line="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2026-07-02T15:34:35Z</dcterms:created>
  <dcterms:modified xsi:type="dcterms:W3CDTF">2026-07-02T15:34:35Z</dcterms:modified>
</cp:coreProperties>
</file>