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29255.xml.htm"/>
      <w:bookmarkStart w:id="1" w:name="kswkform4_17891292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Schatzman Matthew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LOUISIANA STREET, SUITE 3300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NextDecade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NEXT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65"/>
        <w:gridCol w:w="447"/>
        <w:gridCol w:w="663"/>
        <w:gridCol w:w="1310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69,583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7.54</w:t>
            </w:r>
          </w:p>
        </w:tc>
        <w:tc>
          <w:tcPr>
            <w:tcW w:w="13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5,319,526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tax withholding obligations in connection with the vesting of restricted stock units on September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reflects shares underlying PSUs that were forfeited for no consideration and were exempt from reporting pursuant to Rule 16a-4(d).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Vera de Gyarfas,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6751" TargetMode="External"/><Relationship Id="rId5" Type="http://schemas.openxmlformats.org/officeDocument/2006/relationships/hyperlink" Target="http://www.sec.gov/cgi-bin/browse-edgar?action=getcompany&amp;CIK=0001612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3367</Characters>
  <CharactersWithSpaces>3912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