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760" w:type="dxa"/>
        <w:tblCellMar>
          <w:top w:w="0" w:type="dxa"/>
          <w:left w:w="0" w:type="dxa"/>
          <w:bottom w:w="0" w:type="dxa"/>
          <w:right w:w="0" w:type="dxa"/>
        </w:tblCellMar>
      </w:tblP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229"/>
        </w:trPr>
        <w:tc>
          <w:tcPr>
            <w:tcW w:w="30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Commission File No. 001-36842</w:t>
            </w:r>
          </w:p>
        </w:tc>
        <w:tc>
          <w:tcPr>
            <w:tcW w:w="2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85725</wp:posOffset>
            </wp:positionV>
            <wp:extent cx="48895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3600" w:type="dxa"/>
            <w:vAlign w:val="bottom"/>
          </w:tcPr>
          <w:p>
            <w:pPr>
              <w:spacing w:after="0"/>
              <w:rPr>
                <w:sz w:val="20"/>
                <w:szCs w:val="20"/>
                <w:color w:val="auto"/>
              </w:rPr>
            </w:pPr>
          </w:p>
        </w:tc>
      </w:tr>
      <w:tr>
        <w:trPr>
          <w:trHeight w:val="27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3"/>
                <w:szCs w:val="23"/>
                <w:color w:val="auto"/>
              </w:rPr>
            </w:pPr>
          </w:p>
        </w:tc>
      </w:tr>
      <w:tr>
        <w:trPr>
          <w:trHeight w:val="324"/>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8"/>
              </w:rPr>
              <w:t>46-5723951</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Louisiana Street, Suite 3300, Houston, Texas 77002</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2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41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(713) 574-1880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70"/>
        </w:trPr>
        <w:tc>
          <w:tcPr>
            <w:tcW w:w="3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9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20" w:type="dxa"/>
            <w:vAlign w:val="bottom"/>
          </w:tcPr>
          <w:p>
            <w:pPr>
              <w:spacing w:after="0"/>
              <w:rPr>
                <w:sz w:val="23"/>
                <w:szCs w:val="23"/>
                <w:color w:val="auto"/>
              </w:rPr>
            </w:pPr>
          </w:p>
        </w:tc>
      </w:tr>
      <w:tr>
        <w:trPr>
          <w:trHeight w:val="270"/>
        </w:trPr>
        <w:tc>
          <w:tcPr>
            <w:tcW w:w="3320" w:type="dxa"/>
            <w:vAlign w:val="bottom"/>
          </w:tcPr>
          <w:p>
            <w:pPr>
              <w:spacing w:after="0"/>
              <w:rPr>
                <w:sz w:val="23"/>
                <w:szCs w:val="23"/>
                <w:color w:val="auto"/>
              </w:rPr>
            </w:pPr>
          </w:p>
        </w:tc>
        <w:tc>
          <w:tcPr>
            <w:tcW w:w="7900" w:type="dxa"/>
            <w:vAlign w:val="bottom"/>
            <w:gridSpan w:val="6"/>
          </w:tcPr>
          <w:p>
            <w:pPr>
              <w:jc w:val="center"/>
              <w:ind w:right="31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24"/>
        </w:trPr>
        <w:tc>
          <w:tcPr>
            <w:tcW w:w="3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NEXT</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4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4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157"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040"/>
        <w:spacing w:after="0" w:line="34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August 7, 2024, the issuer had 259,474,273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JUNE 30, 2024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5"/>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3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Organizational Structure</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20" w:type="dxa"/>
            <w:vAlign w:val="bottom"/>
            <w:gridSpan w:val="22"/>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1. Consolidated Financial Statements</w:t>
            </w: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0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780" w:type="dxa"/>
            <w:vAlign w:val="bottom"/>
            <w:gridSpan w:val="10"/>
            <w:shd w:val="clear" w:color="auto" w:fill="CCEEFF"/>
          </w:tcPr>
          <w:p>
            <w:pPr>
              <w:spacing w:after="0"/>
              <w:rPr>
                <w:sz w:val="17"/>
                <w:szCs w:val="17"/>
                <w:color w:val="auto"/>
              </w:rPr>
            </w:pP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Stockholders’ Equity and Convertible Preferred Stock</w:t>
            </w: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3960" w:type="dxa"/>
            <w:vAlign w:val="bottom"/>
            <w:gridSpan w:val="2"/>
          </w:tcPr>
          <w:p>
            <w:pPr>
              <w:spacing w:after="0"/>
              <w:rPr>
                <w:sz w:val="17"/>
                <w:szCs w:val="17"/>
                <w:color w:val="auto"/>
              </w:rPr>
            </w:pP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1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20" w:type="dxa"/>
            <w:vAlign w:val="bottom"/>
            <w:gridSpan w:val="5"/>
            <w:shd w:val="clear" w:color="auto" w:fill="CCEEFF"/>
          </w:tcPr>
          <w:p>
            <w:pPr>
              <w:spacing w:after="0"/>
              <w:rPr>
                <w:sz w:val="17"/>
                <w:szCs w:val="17"/>
                <w:color w:val="auto"/>
              </w:rPr>
            </w:pP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280" w:type="dxa"/>
            <w:vAlign w:val="bottom"/>
            <w:tcBorders>
              <w:bottom w:val="single" w:sz="8" w:color="CCEEFF"/>
            </w:tcBorders>
            <w:gridSpan w:val="3"/>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1. Legal Proceedings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320" w:type="dxa"/>
            <w:vAlign w:val="bottom"/>
            <w:tcBorders>
              <w:bottom w:val="single" w:sz="8" w:color="CCEEFF"/>
            </w:tcBorders>
            <w:gridSpan w:val="9"/>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 Other Information</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6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Item 6. Exhibits</w:t>
            </w:r>
          </w:p>
        </w:tc>
        <w:tc>
          <w:tcPr>
            <w:tcW w:w="8340" w:type="dxa"/>
            <w:vAlign w:val="bottom"/>
            <w:tcBorders>
              <w:top w:val="single" w:sz="8" w:color="CCEEFF"/>
            </w:tcBorders>
            <w:gridSpan w:val="14"/>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20"/>
        </w:trPr>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318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depicts our abbreviated organizational structure with references to the names of certain entities discussed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45720</wp:posOffset>
            </wp:positionV>
            <wp:extent cx="5589270" cy="394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92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“NextDecade,” the “Company,” “we,” “us” and “our” refer to NextDecade Corporation (NASDAQ: NEXT) and its consolidated subsidiaries, and references to “Rio Grande” refer to Rio Grande LNG, LLC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6"/>
        </w:trPr>
        <w:tc>
          <w:tcPr>
            <w:tcW w:w="7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9"/>
        </w:trPr>
        <w:tc>
          <w:tcPr>
            <w:tcW w:w="79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38,241</w:t>
            </w:r>
          </w:p>
        </w:tc>
        <w:tc>
          <w:tcPr>
            <w:tcW w:w="0" w:type="dxa"/>
            <w:vAlign w:val="bottom"/>
          </w:tcPr>
          <w:p>
            <w:pPr>
              <w:spacing w:after="0"/>
              <w:rPr>
                <w:sz w:val="1"/>
                <w:szCs w:val="1"/>
                <w:color w:val="auto"/>
              </w:rPr>
            </w:pPr>
          </w:p>
        </w:tc>
      </w:tr>
      <w:tr>
        <w:trPr>
          <w:trHeight w:val="228"/>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256,237</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Derivatives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17,958</w:t>
            </w:r>
          </w:p>
        </w:tc>
        <w:tc>
          <w:tcPr>
            <w:tcW w:w="0" w:type="dxa"/>
            <w:vAlign w:val="bottom"/>
          </w:tcPr>
          <w:p>
            <w:pPr>
              <w:spacing w:after="0"/>
              <w:rPr>
                <w:sz w:val="1"/>
                <w:szCs w:val="1"/>
                <w:color w:val="auto"/>
              </w:rPr>
            </w:pPr>
          </w:p>
        </w:tc>
      </w:tr>
      <w:tr>
        <w:trPr>
          <w:trHeight w:val="227"/>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314,525</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3,733,783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2,437,733</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170,827</w:t>
            </w:r>
          </w:p>
        </w:tc>
        <w:tc>
          <w:tcPr>
            <w:tcW w:w="0" w:type="dxa"/>
            <w:vAlign w:val="bottom"/>
          </w:tcPr>
          <w:p>
            <w:pPr>
              <w:spacing w:after="0"/>
              <w:rPr>
                <w:sz w:val="1"/>
                <w:szCs w:val="1"/>
                <w:color w:val="auto"/>
              </w:rPr>
            </w:pPr>
          </w:p>
        </w:tc>
      </w:tr>
      <w:tr>
        <w:trPr>
          <w:trHeight w:val="227"/>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issuance costs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389,695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11,021</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4,757,174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3,323,801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shd w:val="clear" w:color="auto" w:fill="CCEEFF"/>
          </w:tcPr>
          <w:p>
            <w:pPr>
              <w:ind w:left="26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243,129</w:t>
            </w:r>
          </w:p>
        </w:tc>
        <w:tc>
          <w:tcPr>
            <w:tcW w:w="0" w:type="dxa"/>
            <w:vAlign w:val="bottom"/>
          </w:tcPr>
          <w:p>
            <w:pPr>
              <w:spacing w:after="0"/>
              <w:rPr>
                <w:sz w:val="1"/>
                <w:szCs w:val="1"/>
                <w:color w:val="auto"/>
              </w:rPr>
            </w:pPr>
          </w:p>
        </w:tc>
      </w:tr>
      <w:tr>
        <w:trPr>
          <w:trHeight w:val="228"/>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306,115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0" w:type="dxa"/>
            <w:vAlign w:val="bottom"/>
          </w:tcPr>
          <w:p>
            <w:pPr>
              <w:spacing w:after="0"/>
              <w:rPr>
                <w:sz w:val="1"/>
                <w:szCs w:val="1"/>
                <w:color w:val="auto"/>
              </w:rPr>
            </w:pPr>
          </w:p>
        </w:tc>
      </w:tr>
      <w:tr>
        <w:trPr>
          <w:trHeight w:val="221"/>
        </w:trPr>
        <w:tc>
          <w:tcPr>
            <w:tcW w:w="79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499,555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552,387</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2,833,809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1,816,301</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145,962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66,899</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3,478,390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2,583,367</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$0.0001 par value, 480.0 million authorized: 257.9 million and 256.5 million outstanding,</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stock: 2.2 million shares and 2.2 million respectively, at cost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(14,214)</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$0.0001 par value, 0.5 million authorized: none outstanding</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1,043,307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693,883</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(391,772)</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632,964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287,923</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645,820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452,511</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1,278,784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740,434</w:t>
            </w:r>
          </w:p>
        </w:tc>
        <w:tc>
          <w:tcPr>
            <w:tcW w:w="0" w:type="dxa"/>
            <w:vAlign w:val="bottom"/>
          </w:tcPr>
          <w:p>
            <w:pPr>
              <w:spacing w:after="0"/>
              <w:rPr>
                <w:sz w:val="1"/>
                <w:szCs w:val="1"/>
                <w:color w:val="auto"/>
              </w:rPr>
            </w:pPr>
          </w:p>
        </w:tc>
      </w:tr>
      <w:tr>
        <w:trPr>
          <w:trHeight w:val="249"/>
        </w:trPr>
        <w:tc>
          <w:tcPr>
            <w:tcW w:w="79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4,757,174</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3,323,801</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33,902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53,067</w:t>
            </w: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2,603</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39,534</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r>
      <w:tr>
        <w:trPr>
          <w:trHeight w:val="237"/>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(39,534)</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(54,686)</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gain (loss)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109,067</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367,939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(87,450)</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(40,133)</w:t>
            </w:r>
          </w:p>
        </w:tc>
        <w:tc>
          <w:tcPr>
            <w:tcW w:w="4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7"/>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41,838</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(92,713)</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266,730</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(92,950)</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(147,636)</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34,880</w:t>
            </w:r>
          </w:p>
        </w:tc>
        <w:tc>
          <w:tcPr>
            <w:tcW w:w="4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(127,043)</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(161,090)</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148,943</w:t>
            </w:r>
          </w:p>
        </w:tc>
      </w:tr>
    </w:tbl>
    <w:p>
      <w:pPr>
        <w:spacing w:after="0" w:line="31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3300" w:type="dxa"/>
            <w:vAlign w:val="bottom"/>
          </w:tcPr>
          <w:p>
            <w:pPr>
              <w:spacing w:after="0"/>
              <w:rPr>
                <w:sz w:val="24"/>
                <w:szCs w:val="24"/>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80" w:type="dxa"/>
            <w:vAlign w:val="bottom"/>
            <w:gridSpan w:val="9"/>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 and Convertible Preferred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 thousands, unaudited)</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64"/>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23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beginning balances</w:t>
            </w:r>
          </w:p>
        </w:tc>
        <w:tc>
          <w:tcPr>
            <w:tcW w:w="1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54,371</w:t>
            </w:r>
          </w:p>
        </w:tc>
      </w:tr>
      <w:tr>
        <w:trPr>
          <w:trHeight w:val="216"/>
        </w:trPr>
        <w:tc>
          <w:tcPr>
            <w:tcW w:w="45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r>
      <w:tr>
        <w:trPr>
          <w:trHeight w:val="216"/>
        </w:trPr>
        <w:tc>
          <w:tcPr>
            <w:tcW w:w="45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289,084</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74,985</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362,735</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(230,140)</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(147,636)</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(377,776)</w:t>
            </w:r>
          </w:p>
        </w:tc>
      </w:tr>
      <w:tr>
        <w:trPr>
          <w:trHeight w:val="216"/>
        </w:trPr>
        <w:tc>
          <w:tcPr>
            <w:tcW w:w="4580" w:type="dxa"/>
            <w:vAlign w:val="bottom"/>
            <w:tcBorders>
              <w:bottom w:val="single" w:sz="8" w:color="CCEEFF"/>
            </w:tcBorders>
            <w:gridSpan w:val="2"/>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6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196"/>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6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ending balances</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1,278,784</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1,278,784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28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Series A-C:</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209,129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202,443</w:t>
            </w: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r>
      <w:tr>
        <w:trPr>
          <w:trHeight w:val="26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215,864</w:t>
            </w:r>
          </w:p>
        </w:tc>
      </w:tr>
      <w:tr>
        <w:trPr>
          <w:trHeight w:val="21"/>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reconcile net income (loss) to net cash used in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settlements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2,300,554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1,305,729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per Consolidated Balance Sheets: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 natural gas liquefaction and export facility located in the Rio Grande Valley in Brownsville, Texas (the “Rio Grande LNG Facility”). The Rio Grande LNG Facility has received Federal Energy Regulatory Commission (“FERC”) approval and Department of Energy (“DOE”) FTA and non-FTA authorizations for the construction of five liquefaction trains and LNG exports totaling 27 million tonnes per annum (“MTPA”). The Rio Grande LNG Facility has three liquefaction trains and related infrastructure (“Phase 1”) under construction while liquefaction trains 4 and 5 are currently in development. We are also developing a planned carbon capture and storage (“CCS”) project at the Rio Grande LNG Facility and other potential CCS projects that would be located at third-party industrial facilities.</w:t>
      </w:r>
    </w:p>
    <w:p>
      <w:pPr>
        <w:spacing w:after="0" w:line="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2023. In our opinion, all adjustments, consisting only of normal recurring items, which are considered necessary for a fair presentation of the unaudited consolidated financial statements, have been included. The results of operations for the three and six months ended June 30, 2024 are not necessarily indicative of the operating results for the full year.</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conform prior period information to the current presentation. The reclassifications did not have a material effect on the Company’s financial position, results of operations or cash flows.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management expects operating losses and negative cash flows to continue until the commencement of operations at the Rio Grande LNG Facility and, as a result, the Company will require additional capital to fund its operations and execute its business plan. As of June 30, 2024, the Company had $38.1 million in cash and cash equivalents and available commitments of $26.2 million under a revolving loan facility, which may not be sufficient to fund the Company’s planned operations and development activities for future phases of the Rio Grande LNG Facility, including expected spending for Train 4 prior to a positive final investment decision (“FID”), and CCS projects through one year after the date the consolidated financial statements are issued. Accordingly, there is substantial doubt about the Company’s ability to continue as a going concern. The analysis used to determine the Company’s ability to continue as a going concern does not include cash sources outside of the Company’s direct control that management expects to be available within the next twelve months.</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plans to alleviate the going concern issue by obtaining sufficient funding through additional equity, equity-based or debt instruments or any other means and by managing certain operating and overhead costs. The Company’s ability to raise additional capital in the equity and debt markets, should the Company choose to do so, is dependent on a number of factors, including, but not limited to, the market demand for the Company’s equity or debt securities, which itself is subject to a number of business risks and uncertainties, as well as the uncertainty that the Company would be able to raise such additional capital at a price or on terms that are satisfactory to the Company. In the event the Company is unable to obtain sufficient additional funding, there can be no assurance that it will be able to continue as a going concern.</w:t>
      </w:r>
    </w:p>
    <w:p>
      <w:pPr>
        <w:spacing w:after="0" w:line="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Property, Plant and Equipment</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7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under construction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2,431,389</w:t>
            </w: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3,734,534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2,438,907</w:t>
            </w: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3,733,783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2,437,733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Derivatives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July 2023, Rio Grande entered into interest rate swaps agreements (the “Swaps”) to protect against interest rate volatility by hedging a portion of the floating-rate interest payments associated with the credit facilities described in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2024, Rio Grande reduced the maximum notional amount associated with the Swaps by approximately $583.1 million, which resulted in a realized derivative gain of $30.9 million.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Rio Grande has the following Swaps outstanding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 Notional</w:t>
            </w:r>
          </w:p>
        </w:tc>
        <w:tc>
          <w:tcPr>
            <w:tcW w:w="2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 xml:space="preserve">Maturity </w:t>
            </w:r>
            <w:r>
              <w:rPr>
                <w:rFonts w:ascii="Times New Roman" w:cs="Times New Roman" w:eastAsia="Times New Roman" w:hAnsi="Times New Roman"/>
                <w:sz w:val="23"/>
                <w:szCs w:val="23"/>
                <w:b w:val="1"/>
                <w:bCs w:val="1"/>
                <w:color w:val="auto"/>
                <w:w w:val="93"/>
                <w:vertAlign w:val="superscript"/>
              </w:rPr>
              <w:t>(1)</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Fixed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Variable Interest Rate</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Notional Amount</w:t>
            </w:r>
          </w:p>
        </w:tc>
        <w:tc>
          <w:tcPr>
            <w:tcW w:w="220" w:type="dxa"/>
            <w:vAlign w:val="bottom"/>
          </w:tcPr>
          <w:p>
            <w:pPr>
              <w:spacing w:after="0"/>
              <w:rPr>
                <w:sz w:val="23"/>
                <w:szCs w:val="23"/>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20" w:type="dxa"/>
            <w:vAlign w:val="bottom"/>
            <w:gridSpan w:val="2"/>
            <w:vMerge w:val="continue"/>
          </w:tcPr>
          <w:p>
            <w:pPr>
              <w:spacing w:after="0"/>
              <w:rPr>
                <w:sz w:val="23"/>
                <w:szCs w:val="2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Paid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0" w:type="dxa"/>
            <w:vAlign w:val="bottom"/>
          </w:tcPr>
          <w:p>
            <w:pPr>
              <w:spacing w:after="0"/>
              <w:rPr>
                <w:sz w:val="1"/>
                <w:szCs w:val="1"/>
                <w:color w:val="auto"/>
              </w:rPr>
            </w:pPr>
          </w:p>
        </w:tc>
      </w:tr>
      <w:tr>
        <w:trPr>
          <w:trHeight w:val="237"/>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7,916,900</w:t>
            </w:r>
          </w:p>
        </w:tc>
        <w:tc>
          <w:tcPr>
            <w:tcW w:w="10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 - SOFR</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Swaps have an early mandatory termination date in July 2030.</w:t>
      </w:r>
    </w:p>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values the Swaps using an income-based approach based on observable inputs to the valuation model including interest rate curves, risk adjusted discount rates, credit spreads and other relevant data. The fair value of the Swaps is approximately $276.5 million as of June 30, 2024, and is classified as Level 2 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commenced the Rio Grande LNG Facility site lease on July 12, 2023 and it has an initial term of 30 years. The Company has the option to renew and extend the term of the lease for up to two consecutive renewal periods of ten years each, but as the Company is not reasonably certain that those options will be exercised, none are recognized as part of our right of use assets and lease liabilities. The Company has also entered into an office space lease which expires on December 31, 2035, and does not include any options for renewal.</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our operating lease costs were $2.6 million and $0.3 million, respectively. For the six months ended June 30, 2024 and 2023, our operating lease costs were $5.6 million and $0.7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Maturity of operating lease liabilities as of June 30, 2024 are as follows (in thousands, except lease term and discount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percent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45"/>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our operating leases is as follows (in thousands):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amounts paid included in the measurement of operating lease liabilities</w:t>
            </w:r>
          </w:p>
        </w:tc>
        <w:tc>
          <w:tcPr>
            <w:tcW w:w="6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405"/>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Accrued Liabilities and Other Current Liabilities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costs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expense</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64"/>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364,909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306,115</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Senior Secured Notes and Loans: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6.67% Senior Secured Notes due 2033</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6.72% Senior Secured Loans due 2033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7.11% Senior Secured Loans due 2047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6.85% Senior Secured Notes due 2047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6.58% Senior Secured Notes due 2047</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1,115,000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Senior Secured Notes and Loans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2,612,000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CD Senior Working Capital Facility</w:t>
            </w:r>
          </w:p>
        </w:tc>
        <w:tc>
          <w:tcPr>
            <w:tcW w:w="3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CD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TCF Credit Facility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2,868,554</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0" w:type="dxa"/>
            <w:vAlign w:val="bottom"/>
          </w:tcPr>
          <w:p>
            <w:pPr>
              <w:spacing w:after="0"/>
              <w:rPr>
                <w:sz w:val="1"/>
                <w:szCs w:val="1"/>
                <w:color w:val="auto"/>
              </w:rPr>
            </w:pPr>
          </w:p>
        </w:tc>
      </w:tr>
      <w:tr>
        <w:trPr>
          <w:trHeight w:val="27"/>
        </w:trPr>
        <w:tc>
          <w:tcPr>
            <w:tcW w:w="7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0" w:type="dxa"/>
            <w:vAlign w:val="bottom"/>
          </w:tcPr>
          <w:p>
            <w:pPr>
              <w:spacing w:after="0"/>
              <w:rPr>
                <w:sz w:val="1"/>
                <w:szCs w:val="1"/>
                <w:color w:val="auto"/>
              </w:rPr>
            </w:pPr>
          </w:p>
        </w:tc>
      </w:tr>
      <w:tr>
        <w:trPr>
          <w:trHeight w:val="263"/>
        </w:trPr>
        <w:tc>
          <w:tcPr>
            <w:tcW w:w="7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debt,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2,833,809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1,816,301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 and Loans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6.67% Senior Secured Notes, 6.85% Senior Secured Notes and 6.58% Senior Secured Notes (collectively, the “Senior Secured Notes”) as well as the 6.72% Senior Secured Loans and 7.11% Senior Secured Loans (collectively, the “Senior Secured Loans”) are senior secured obligations of Rio Grande, ranking senior in right of payment to any and all of Rio Grande’s future indebtedness that is subordinated to the Senior Secured Notes and the Senior Secured Loans, and equal in right of payment with Rio Grande’s other existing and future indebtedness that is senior and secured by the same collateral securing the Senior Secured Notes and Senior Secured Loans. The Senior Secured Notes and Senior Secured Loans are secured on a first-priority</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basis by a security interest in all of the membership interests in Rio Grande and substantially all of Rio Grande’s assets, on a pari passu basis with the CD Credit Agreement and the TCF Credit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our committed credit facilities outstanding as of June 30, 2024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CD Senior Working</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Credit</w:t>
            </w:r>
          </w:p>
        </w:tc>
      </w:tr>
      <w:tr>
        <w:trPr>
          <w:trHeight w:val="238"/>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 Facility</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CD Credit Facility</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TCF Credit Facility</w:t>
            </w:r>
          </w:p>
        </w:tc>
        <w:tc>
          <w:tcPr>
            <w:tcW w:w="18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Facility</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Facility Size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Letters of credit issued</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ranking</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Senior secured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Senior secured</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Senior secured</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on outstanding balance</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SOFR + 2.25%</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SOFR + 2.25%</w:t>
            </w:r>
          </w:p>
        </w:tc>
        <w:tc>
          <w:tcPr>
            <w:tcW w:w="16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SOFR + 2.25%</w:t>
            </w:r>
          </w:p>
        </w:tc>
        <w:tc>
          <w:tcPr>
            <w:tcW w:w="180" w:type="dxa"/>
            <w:vAlign w:val="bottom"/>
          </w:tcPr>
          <w:p>
            <w:pPr>
              <w:spacing w:after="0"/>
              <w:rPr>
                <w:sz w:val="21"/>
                <w:szCs w:val="21"/>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SOFR + 4.50%</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fees on undrawn balance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0.68 %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 Date</w:t>
            </w:r>
          </w:p>
        </w:tc>
        <w:tc>
          <w:tcPr>
            <w:tcW w:w="1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Rio Grande under the CD Senior Working Capital Facility and CD Credit Facility are secured by substantially all of the assets of Rio Grande as well as a pledge of all of the membership interests in Rio Grande on a</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first-priority, pari passu basis with the Senior Secured Notes, the Senior Secured Loans and the loans made under the TCF Credit Facility.</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Rio Grande under the TCF Credit Agreement are secured by substantially all of the assets of Rio Grande as well as a pledge of all of the membership interests in Rio Grande on a first-priority, pari passu basis with the Senior Secured Notes, the Senior Secured Loans and the loans made under the CD Credit Agreement. Total Energies Holdings SAS provides contingent credit support to the lenders under the TCF Credit Agreement to pay past due amounts owing from Rio Grande under the agreement upon demand.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NextDecade LLC under the Corporate Credit Facility are guaranteed by Rio Grande LNG Super Holdings, LLC and Rio Grande LNG Intermediate Super Holdings, LLC, wholly owned subsidiaries of NextDecade LLC. The Corporate Credit Facility matures at the earlier of two years from the closing date or 10 business days after a positive FID on Train 4 at the Rio Grande LNG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Debt Covenants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CD Credit Facility and the TCF Credit Facility (collectively, the “Rio Grande Facilities”) include certain covenants and events of default customary for project financings, including a requirement that interest rates for a minimum of 75% of the projected and outstanding principal amount be hedged or have fixed interest rates. The Rio Grande Facilities, the Senior Secured Loans, and Senior Secured Notes require Rio Grande to maintain a historical debt service coverage ratio of at least 1.10:1.00 at the end of each fiscal quarter starting from the initial principal payment date.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certain events, including a change of control event and receipt of certain proceeds from asset sales, events of loss or liquidated damages, the Senior Secured Notes and Senior Secured Loans requires Rio Grande to make an offer to repay the amounts outstanding at 101% (with respect to a change of control event) or par (with respect to each other event).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Company was in compliance with all covenants related to its respective debt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Extinguishment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Rio Grande has made repayments of $1,282.0 million, on the outstanding principal balance of the CD Credit Facility. As a result of these repayments, during the three and six months ended June 30, 2024, Rio Grande recognized approximately $40.1 million and $47.6 million loss on extinguishment,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Maturities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9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8"/>
        </w:trPr>
        <w:tc>
          <w:tcPr>
            <w:tcW w:w="9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2024 - 2025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2027 - 2028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2,841,000</w:t>
            </w:r>
          </w:p>
        </w:tc>
        <w:tc>
          <w:tcPr>
            <w:tcW w:w="0" w:type="dxa"/>
            <w:vAlign w:val="bottom"/>
          </w:tcPr>
          <w:p>
            <w:pPr>
              <w:spacing w:after="0"/>
              <w:rPr>
                <w:sz w:val="1"/>
                <w:szCs w:val="1"/>
                <w:color w:val="auto"/>
              </w:rPr>
            </w:pPr>
          </w:p>
        </w:tc>
      </w:tr>
      <w:tr>
        <w:trPr>
          <w:trHeight w:val="27"/>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2,868,554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interest expense, net of capitalized interest, consisted of the following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 contractual rate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costs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cost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63,827</w:t>
            </w:r>
          </w:p>
        </w:tc>
        <w:tc>
          <w:tcPr>
            <w:tcW w:w="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 of capitalized interest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8"/>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81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estimated fair value of our debt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60" w:type="dxa"/>
            <w:vAlign w:val="bottom"/>
          </w:tcPr>
          <w:p>
            <w:pPr>
              <w:spacing w:after="0"/>
              <w:rPr>
                <w:sz w:val="24"/>
                <w:szCs w:val="24"/>
                <w:color w:val="auto"/>
              </w:rPr>
            </w:pPr>
          </w:p>
        </w:tc>
        <w:tc>
          <w:tcPr>
            <w:tcW w:w="26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0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 Level 2</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743,593</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Loans — Level 2</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632,998</w:t>
            </w: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exception of the 6.58% Senior Secured Notes, the fair value of the Senior Secured Notes and Senior Secured Loans was calculated based on inputs that are observable in the market or that could be derived from, or corroborated with, observable market data, including interest rates on debt issued by parties with comparable credit ratings. The fair value of the 6.58% Senior Secured Notes approximates its’ carrying amount due to the close proximity of the issuance of the debt and June 30, 2024.</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CD Credit Facility, TCF Credit Facility and Corporate Credit Facility approximates its respective carrying amount due to its variable interest rate, which approximates a market interest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Variable Interest Entity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Intermediate Holdings and its wholly owned subsidiaries, including Rio Grande, have been formed to undertake construction and operation of Phase 1 of the Rio Grande LNG Facility. The Company is not obligated to fund losses of Intermediate Holdings, however, the Company’s capital account, which would be considered in allocating the net assets of Intermediate Holdings were it to be liquidated, continues to share in losses of Intermediate Holdings. Further, Rio Grande has granted the Company decision-making rights regarding the construction of Phase 1 of the Rio Grande LNG Facility and key aspects of its operation, which may only be terminated by equity holders for cause, via agreements with NextDecade LLC. Due to the foregoing, the Company determined that it holds a variable interest in Rio Grande through Intermediate Holdings and is its primary beneficiary, and therefore consolidates Intermediate Holdings in these Consolidated Financial Statements.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summarized assets and liabilities (in thousands) of Intermediate Holdings, which are included in the Company’s Consolidated Balance Sheets. The assets in the table below may only be used to settle the obligations of Intermediate Holdings. In addition, there is no recourse to us for the consolidated VIE’s liabilities. The assets and liabilities in the table below include assets and liabilities of Intermediate Holdings only and exclude intercompany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between Intermediate Holdings and NextDecade, which are eliminated in the Consolidated Financial Statements of NextDecade.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vMerge w:val="continue"/>
          </w:tcPr>
          <w:p>
            <w:pPr>
              <w:spacing w:after="0"/>
              <w:rPr>
                <w:sz w:val="23"/>
                <w:szCs w:val="23"/>
                <w:color w:val="auto"/>
              </w:rPr>
            </w:pPr>
          </w:p>
        </w:tc>
        <w:tc>
          <w:tcPr>
            <w:tcW w:w="4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4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183,878</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2,428,583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389,695</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0" w:type="dxa"/>
            <w:vAlign w:val="bottom"/>
          </w:tcPr>
          <w:p>
            <w:pPr>
              <w:spacing w:after="0"/>
              <w:rPr>
                <w:sz w:val="1"/>
                <w:szCs w:val="1"/>
                <w:color w:val="auto"/>
              </w:rPr>
            </w:pPr>
          </w:p>
        </w:tc>
      </w:tr>
      <w:tr>
        <w:trPr>
          <w:trHeight w:val="26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4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4,686,967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3,259,008</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129,372</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238,582</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348,924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288,779</w:t>
            </w: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480,897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131,901</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2,806,255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1,816,301</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3,417,741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diluted net income (loss) per share computations because their effect would have been anti-dilutive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gridSpan w:val="4"/>
          </w:tcPr>
          <w:p>
            <w:pPr>
              <w:ind w:left="5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Unvested stock and stock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600" w:type="dxa"/>
            <w:vAlign w:val="bottom"/>
            <w:gridSpan w:val="2"/>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95"/>
        </w:trPr>
        <w:tc>
          <w:tcPr>
            <w:tcW w:w="2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62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57,039</w:t>
            </w:r>
          </w:p>
        </w:tc>
        <w:tc>
          <w:tcPr>
            <w:tcW w:w="80" w:type="dxa"/>
            <w:vAlign w:val="bottom"/>
          </w:tcPr>
          <w:p>
            <w:pPr>
              <w:spacing w:after="0"/>
              <w:rPr>
                <w:sz w:val="21"/>
                <w:szCs w:val="21"/>
                <w:color w:val="auto"/>
              </w:rPr>
            </w:pPr>
          </w:p>
        </w:tc>
        <w:tc>
          <w:tcPr>
            <w:tcW w:w="2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63"/>
        </w:trPr>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potentially dilutive common shares</w:t>
            </w:r>
          </w:p>
        </w:tc>
        <w:tc>
          <w:tcPr>
            <w:tcW w:w="9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60,501</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ind w:left="20" w:right="20" w:firstLine="6"/>
        <w:spacing w:after="0" w:line="242" w:lineRule="auto"/>
        <w:tabs>
          <w:tab w:leader="none" w:pos="201"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impact of unvested shares containing performance conditions to the extent that the underlying performance conditions are satisfied based on actual results as of the respective 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granted shares of Company common stock, restricted Company common stock and restricted stock units to employees, consultants and non-employee directors under our 2017 Omnibus Incentive Plan, as amended (the “2017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12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awards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our cumulative loss position, we have established a full valuation allowance against our deferred tax assets at June 30, 2024 and December 31, 2023. Due to our full valuation allowance, we have not recorded a provision for federal or state income taxes during either of the three and six months ended June 30, 2024 or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legal actions that arise in the ordinary course of business. As of June 30, 2024, management is not aware of any claims or legal actions that, separately or in the aggregate, are likely to have a material adverse effect on the Company’s financial position, results of operations or cash flows, although the Company cannot guarantee that a material adverse effect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Supplemental 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disclosure of cash flow information (in thousands):</w:t>
      </w:r>
    </w:p>
    <w:p>
      <w:pPr>
        <w:spacing w:after="0" w:line="16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for acquisition of property, plant and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acquisition of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settlement of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fixed asset retirements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for debt and equity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from other non-current assets to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settlement of paid-in-kind dividends on convertible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for debt and equity issuance costs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for acquisition of other non-current assets</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6, 2024, the U.S. Court of Appeals for the D.C. Circuit (the “Court”) issued an order vacating the FERC remand authorization of the Rio Grande LNG Facility on the grounds that the FERC should have issued a supplemental Environmental Impact Statement (“EIS”) during its remand process. The Court's decision will not be effective until the Court has issued its mandate, which is not expected to occur until after the appeals process has been completed. At this time, construction continues on Phase 1 at the Rio Grande LNG Facility.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reviewing the Court's decision and assessing all of its options, together with the key project constituencies, including its equity partners and lenders. The Company expects to take all available legal and regulatory actions, including but not limited to, appellate actions and other strategies, to ensure that construction on Phase 1 will continue and that necessary regulatory approvals will be maintained to enable the construction of Trains 4 and 5 at the Rio Grande LNG Facility.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14, 2024, the Company was in compliance with all covenants related to its respective debt agreements.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are forward-looking statements. The words “anticipate,” “contemplate,” “estimate,” “expect,” “project,” “plan,” “intend,” “target,” “believe,” “may,” “might,” “will,” “would,” “could,” “should,” “can have,” “likely,” “continue,” “design” and other words and terms of similar expressions, are intended to identify forward-looking statements.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strategy, short-term and long-term business operations and objectives and financial needs.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spacing w:after="0" w:line="75" w:lineRule="exact"/>
        <w:rPr>
          <w:sz w:val="20"/>
          <w:szCs w:val="20"/>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development of our liquefied natural gas (“LNG”) liquefaction and export project and any carbon capture and storage projects (“CCS projects”) we may develop and the timing of that progress;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construction and operation of the first three liquefaction trains and related common facilities (“Phase 1”) of the multi-plant integrated natural gas and liquefaction and LNG export terminal facility to be located at the Port of Brownsville in southern Texas (the “Rio Grande LNG Facility”);</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frequency of cash distributions available to us from our joint venture owning Phase 1 of the Rio Grande LNG Facility;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of subsequent liquefaction trains at the Rio Grande LNG Facility;</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 to satisfy Rio Grande's significant debt service obligations or to refinance such obligations ahead of their maturity;</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Rio Grande's debt agreements that limit flexibility in operating its business;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increasing the cost of servicing Rio Grande's indebtedness;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contractors to successfully complete the Rio Grande LNG Facility, the pipeline to supply gas to the Rio Grande LNG Facility and any CCS projects we develop;</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CCS projects;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debt and equity financing in the future, including any refinancing of outstanding indebtedness, on commercially acceptable terms and to continue as a going concern;</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estimated costs for the Rio Grande LNG Facility and CCS projects;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operational characteristics of the Rio Grande LNG Facility and CCS projects, when completed, including amounts of liquefaction capacities and amount of CO2 captured and stored, and any differences in such operational characteristics from our expectations;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risks, operational hazards and regulatory approvals applicable to our LNG and carbon capture and storage development, construction and operation activities and those of our third-party contractors and counterparties;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governmental approvals to construct or operate the Rio Grande LNG Facility and CCS projects, including in relation to the recent decision by the D.C. Circuit Court of Appeals;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which may lessen our anticipated competitive advantage or demand for our offerings;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demand for and price of LNG;</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LNG vessels worldwide;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407"/>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regulations relating to the LNG and carbon capture industries, including environmental laws and regulations that impose significant compliance costs and liabilities;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implementation of carbon pricing regimes aimed at reducing greenhouse gas emissions;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development and maturation of emissions reduction credit markets;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existing or proposed carbon tax incentive regimes;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including the 2019 novel coronavirus (“COVID-19”) pandemic, the Russia-Ukraine conflict, the Israel-Hamas conflict,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 or carbon capture;</w:t>
      </w:r>
    </w:p>
    <w:p>
      <w:pPr>
        <w:spacing w:after="0" w:line="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and having counterparties in foreign countries;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Capital Market or another securities exchange or quotation medium;</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businesses in which we are engaged;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rising interest rates;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 applications for customary tax incentives.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 foregoing risks or uncertainties materialize in a way that negatively impacts us, or should the underlying assumptions prove incorrect, our actual results may vary materially from those anticipated in our forward-looking statements, and our business, financial condition, and results of operations could be materially and adversely affected.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we do not undertake any obligation to publicly correct or update any forward-looking statements. 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Significant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 natural gas liquefaction and export facility located in the Rio Grande Valley in Brownsville, Texas (the “Rio Grande LNG Facility”), which currently has three liquefaction trains and related infrastructure under construction. The Rio Grande LNG Facility has received Federal Energy Regulatory Commission (“FERC”) approval and Department of Energy ("DOE") FTA and non-FTA authorizations for the construction of five liquefaction trains and supporting infrastructure with LNG exports totaling 27 million tonnes per annum (“MTPA”). Please see "Significant Recent Developments - Regulatory" for more information regarding our FERC permit. Liquefaction trains 1 through 3 and related infrastructure are currently under construction and liquefaction trains 4 and 5 at the Rio Grande LNG Facility are currently in development. We are also developing a planned carbon capture and storage (“CCS”) project at the Rio Grande LNG Facility and other potential CCS projects that would be located at third-party industrial facilities.</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constructing the Rio Grande LNG Facility on the north shore of the Brownsville Ship Channel. The site is located on 984 acres of land which has been leased long-term and includes 15 thousand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Rio Grande LNG Facility has been permitted by the FERC and authorized by the DOE to export up to 27 MTPA of LNG from up to five liquefaction trains.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our partially owned subsidiary Rio Grande LNG, LLC ("Rio Grande") commenced construction on the first three liquefaction trains and related infrastructure (“Phase 1”) of the Rio Grande LNG Facility following a positive final investment decision (“FID”) and the closing of project financing by Rio Grande, which owns Phase 1 of the Rio Grande LNG Facility. Construction will be completed by Bechtel Energy Inc. (“Bechtel”) under fully wrapped, lump-sum turnkey engineering, procurement, and construction (“EPC”) contracts, and will utilize APCI liquefaction technology, which is the predominant liquefaction technology utilized globally.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joint venture agreement with equity partners for ownership of Rio Grande,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Rio Grande has entered into long-term LNG Sale and Purchase Agreements (“SPAs”) for over 90% of the expected Phase 1 nameplate LNG production capacity, pursuant to which Rio Grande customers are generally required to pay a fixed fee with respect to the contracted volumes, irrespective of whether they cancel or suspend deliveries of LNG cargoes. These SPAs create a stable foundation of predictable, long-term cash flows to Rio Grande. We believe our SPAs are attractive to our customers for several reasons, including long-term reliable supply, volumes to support growing demand for LNG and to replace customers’ contracts with legacy LNG suppliers, diversification of supply portfolios in terms of geography, price indexation, delivery points, and/or tenor, flexibility of volumes with no destination restrictions, and compatibility of some of our customers’ ESG goals with our expected lower carbon intensity LNG and planned CCS project at the Rio Grande LNG Facility.</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DES SPA, commissioning volumes, and expected portfolio volumes.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Rio Grande will provide a number of services in support of producing and selling LNG from the Rio Grande LNG Facility pursuant to its SPAs, including natural gas feedstock procurement and transportation, liquefaction, and delivery of LNG to customers either at the loading dock of the Rio Grande LNG Facility or at the customer’s global delivery points via chartered vessels.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focused on constructing and operating the Rio Grande LNG Facility safely, efficiently, reliably, and sustainably. We seek to provide a less carbon-intensive and more sustainable LNG through project design, responsibly sourced gas, proposed net-zero power, and our planned CCS project at the Rio Grande LNG Facility. We also seek to make additional measurable contributions toward a net-zero future by developing CCS projects to reduce greenhouse gas emissions at other industrial facilities.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“NextDecade,” “the Company,” “we,” “us,” and “our” refer to NextDecade Corporation and its consolidated subsidiaries, and references to “Rio Grande” refer to Rio Grande LNG, LLC and its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Recent Developments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developments since January 1, 2024 and through the filing date of this 10-Q include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w:t>
      </w:r>
    </w:p>
    <w:p>
      <w:pPr>
        <w:spacing w:after="0" w:line="11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EPC contracts with Bechtel, Phase 1 progress is tracked for Train 1, Train 2, and the common facilities on a combined basis and Train 3 on a separate basis. As of June 2024:</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project completion percentage for Trains 1 and 2 and the common facilities of the Rio Grande LNG Facility was 24.1%, which is in line with the schedule under the EPC contract. Within this project completion percentage, engineering was 66.4% complete, procurement was 45.4% complete, and construction was 3.5% complete.</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project completion percentage for Train 3 of the Rio Grande LNG Facility was 7.8%, based on preliminary schedules, which is also in line with the schedule under the EPC contract. Within this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1296"/>
        <w:spacing w:after="0" w:line="375" w:lineRule="auto"/>
        <w:rPr>
          <w:sz w:val="20"/>
          <w:szCs w:val="20"/>
          <w:color w:val="auto"/>
        </w:rPr>
      </w:pPr>
      <w:r>
        <w:rPr>
          <w:rFonts w:ascii="Times New Roman" w:cs="Times New Roman" w:eastAsia="Times New Roman" w:hAnsi="Times New Roman"/>
          <w:sz w:val="18"/>
          <w:szCs w:val="18"/>
          <w:color w:val="auto"/>
        </w:rPr>
        <w:t xml:space="preserve">project completion percentage, engineering was 8.4% complete, procurement was 18.4% complete, and construction was 0.1% complete. </w:t>
      </w:r>
      <w:r>
        <w:rPr>
          <w:rFonts w:ascii="Times New Roman" w:cs="Times New Roman" w:eastAsia="Times New Roman" w:hAnsi="Times New Roman"/>
          <w:sz w:val="18"/>
          <w:szCs w:val="18"/>
          <w:i w:val="1"/>
          <w:iCs w:val="1"/>
          <w:color w:val="auto"/>
        </w:rPr>
        <w:t>Strategic and Commercial</w:t>
      </w:r>
    </w:p>
    <w:p>
      <w:pPr>
        <w:spacing w:after="0" w:line="1"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entered into a 20-year LNG SPA with ADNOC, pursuant to which ADNOC will purchase 1.9 MTPA of LNG from Train 4 at the Rio Grande LNG Facility for 20 years, on a free on board (FOB) basis at a price indexed to Henry Hub, subject to a positive FID on Train 4.</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 entered into a non-binding Heads of Agreement (HoA) with Aramco for a 20-year LNG SPA for offtake from Train 4 at the Rio Grande LNG Facility. Under the terms of the HoA, Aramco expects to purchase 1.2 MTPA of LNG for 20 years, on an FOB basis at a price indexed to Henry Hub. Aramco and the Company are in the process of negotiating a binding LNG SPA, and once executed, the SPA will be subject to a positive FID on Train 4.</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finalized an EPC contract with Bechtel for Train 4 and related infrastructure for a cost of approximately $4.3 billion. Price validity under the EPC contract for Train 4 and related infrastructure extends through December 31, 2024.</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appointed Tarik Skeik as Chief Operating Officer. Mr. Skeik has over 20 years of experience delivering complex global mega projects in LNG, oil, and petrochemicals across North America, the Middle East, and Asia. He led the completion and start-up of six greenfield assets, and his experience includes the planning and execution through initial operation of projects including the Huizhou Chemicals Complex in China, Gulf Coast Growth Ventures in the US, Banyu Urip in Indonesia, Kearl Expansion in Canada, and QatarGas 2 in Qatar.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w:t>
      </w:r>
    </w:p>
    <w:p>
      <w:pPr>
        <w:spacing w:after="0" w:line="119"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Company’s wholly-owned subsidiary NextDecade LLC entered into a credit agreement that provides for a $50 million senior secured revolving credit facility with additional capacity of $12.5 million to cover interest. Borrowings under the revolving credit facility may be used for general corporate purposes, including development costs related to Train 4 at the Rio Grande LNG Facility. Borrowings bear interest at SOFR or the base rate plus an applicable margin as defined in the credit agreement. The revolving credit facility and interest term loan mature at the earlier of two years from the closing date of 10 business days after a positive FID on Train 4.</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2024, Rio Grande issued and sold $190 million of senior secured notes in a private placement transaction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 senior secured notes bear interest at a fixed rate of 6.85%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2024, Rio Grande issued $1.115 billion of senior secured notes in a private placement, and net proceeds were utilized to reduce outstanding borrowings and commitments under existing Rio Grande bank credit facilities for Phase 1. These senior secured notes will be amortized over a period of 18 years beginning in September 2029, with a final maturity in September 2047. The senior secured notes bear interest at a fixed rate of 6.58%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 Including this transaction, the Company has refinanced a total of over $1.85 billion of the original $11.1 billion Rio Grande term loan facilities since a positive FID was reached on Phase 1 at the Rio Grande LNG Facility in July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119"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U.S. Court of Appeals for the D.C. Circuit (the “Court”) issued an order vacating the FERC remand authorization of the Rio Grande LNG Facility on the grounds that the FERC should have issued a supplemental Environmental Impact Statement (“EIS”) during its remand process. The Court's decision will not be effective until the Court has issued its mandate, which is not expected to occur until after the appeals process has been completed.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construction continues on Phase 1 at the Rio Grande LNG Facility.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reviewing the Court's decision and assessing all of its options, together with the key project constituencies, including its equity partners and lenders. The Company expects to take all available legal and regulatory actions, including but not limited to, appellate actions and other strategies, to ensure that construction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Phase 1 will continue and that necessary regulatory approvals will be maintained to enable the construction of Trains 4 and 5 at the Rio Grande LNG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Rio Grande LNG Facility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Liquefaction Facilities Overview</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constructing the Rio Grande LNG Facility on the north shore of the Brownsville Ship Channel. The site is located on 984 acres of land which has been leased long-term and includes 15 thousand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permitted by the FERC and authorized by the DOE to export up to 27 MTPA of LNG from up to five liquefaction trains. Please see "Significant Recent Developments - Regulatory" for more information regarding our FERC permit.</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construction commenced on Phase 1 of the Rio Grande LNG Facility following a positive FID and the closing of project financing by Rio Grande, which owns Phase 1 of the Rio Grande LNG Facility. Phase 1 includes three liquefaction trains with a total expected nameplate capacity of approximately 17.6 MTPA, two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two totally enclosed ground flares for the LNG tanks and marine facilities, two ground flares for the liquefaction trains, roads, levees surrounding the entire site, and warehouses, administrative, operations control room and maintenance buildings.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2024, progress on Trains 1 through 3 is in line with the schedule under the EPC Contracts.Train 1 deep soil mixing has been completed and foundation pours are underway, including refrigeration compressor foundations. Additionally, steel erection for Train 1 is in process, and first pipework has been placed in the Train 1 cryogenic rack. Train 2 deep soil mixing is in process, and delivery of key materials such as large bore above-ground pipe and structural steel has continued. LNG tank progress has been strong, with excavation, pile leveling, and rebar installation for Tank 1 underway and Tank 2 piling completed. The permanent water supply for the site has been full constructed and is operational.</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Bechtel has continued to make meaningful progress on procurement for Phase 1, with a focus on completing purchase orders for critical and high-value items early in the construction process. As of June 2024, Bechtel has issued approximately 92% of the total purchase orders for Trains 1 and 2 and approximately 88% of the total purchase orders for Train 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LNG Sale and Purchase Agreements</w:t>
      </w:r>
    </w:p>
    <w:p>
      <w:pPr>
        <w:spacing w:after="0" w:line="2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Phase 1 of the Rio Grande LNG Facility, Rio Grande has entered into long-term LNG SPAs with nine creditworthy counterparties for aggregate volumes of approximately 16.2 MTPA of LNG, which is over 90% of the expected Phase 1 nameplate LNG production capacity. The SPAs have a weighted average term of 19.2 years. Under these SPAs, the customers will purchase LNG from Rio Grande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Rio Grande’s portfolio of LNG SPAs for Phase 1 of the Rio Grande LNG Facility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 (MTPA)</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Tenor (years)</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Delivery Model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TotalEnergies Gas &amp; Power North America, Inc.</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Shell NA LNG LLC (“Shell”)</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ENN LNG Singapore Pte Ltd.</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ENGIE S.A.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Gas Hongda Energy Trading Co., LTD</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Guangdong Energy Group</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DES</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Exxon Mobil LNG Asia Pacific</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Galp Trading S.A.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Itochu</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18"/>
        </w:trPr>
        <w:tc>
          <w:tcPr>
            <w:tcW w:w="5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8"/>
                <w:szCs w:val="18"/>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16.15</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 years</w:t>
            </w: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2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FOB - free on board; DES - delivered ex-ship</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In aggregate, approximately 14.65 MTPA of Phase 1 Henry Hub-linked SPAs have average fixed fees, unadjusted for inflation, totaling approximately $1.8 billion expected to be paid annually.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of Uncontracted Volumes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DES SPA, commissioning volumes, and expected portfolio volumes.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Procurement and Construction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entered into fully wrapped, lump-sum turnkey contracts with Bechtel, a well-established and reputable LNG engineering and construction firm, for the engineering, procurement, and construction of Phase 1 and Train 4 at the Rio Grande LNG Facility, under which Bechtel has generally guaranteed cost, performance, and schedule. Under the Phase 1 and Train 4 EPC contracts, Bechtel is responsible for the engineering, procurement, construction,commissioning, and startup of liquefaction trains and their respective related infrastructure.</w:t>
      </w:r>
    </w:p>
    <w:p>
      <w:pPr>
        <w:spacing w:after="0" w:line="7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12, 2023, Rio Grande issued final notice to proceed to Bechtel under the EPC contracts for Phase 1. Total expected capital costs for Phase 1 are estimated to be approximately $18.0 billion, including estimated EPC costs, owner’s costs, contingencies, and financing costs, and including amounts spent prior to FID under limited notices to proceed.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Transportation and Supply</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Phase 1 of the Rio Grande LNG Facility, Rio Grande has entered into a firm transportation agreement for capacity on the Rio Bravo Pipeline to transport natural gas feedstock to the Rio Grande LNG Facility. The Rio Bravo Pipeline will be developed by Whistler LLC, a joint venture between WhiteWater, I Squared, MPLX LP, and Enbridge, and will be constructed and operated by WhiteWater. The Rio Bravo Pipeline will provide Rio Grande access to purchase natural gas supplies in the Agua Dulce area and will connect to six regional intra and interstate pipelines, giving Rio Grande access to prolific gas production from the Permian Basin and Eagle Ford Shale and providing significant flexibility to obtain competitively priced natural gas feedstock.</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Rio Bravo Pipeline is under development and is expected to be constructed and completed prior to the start of commissioning of Train 1 at the Rio Grande LNG Facility. Rio Grande has also entered into an agreement for capacity on an interruptible basis with Enbridge’s Valley Crossing Pipeline to provide redundant natural gas transportation capacity to the Rio Grande LNG Facility for commissioning and operations.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proposed and are in the process of executing on a substantial and diversified natural gas feedstock sourcing strategy to spread risk exposure across multiple contracts, counterparties, and pricing hubs. We expect to enter into gas supply arrangements with a wide range of suppliers, and we also expect to leverage trading platforms and exchanges to lock in natural gas supply prices and/or hedge risk. Certain of our LNG offtake counterparties have the option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sell to Rio Grande some or all of the natural gas required to produce their respective contracted LNG volumes pursuant to structured options which define how much volume can be supplied and how much notice must be provided to switch to and from self-sourcing.</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Final Investment Decision of Train 4 and Train 5 at the Rio Grande LNG Facility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make a positive final investment decision and commence construction of Train 4 and related infrastructure, and subsequently Train 5 and related infrastructure, at the Rio Grande LNG Facility, subject to, among other things, maintaining requisite governmental approvals, finalizing and entering into EPC contracts, entering into appropriate commercial arrangements, and obtaining adequate financing to construct each train and related infrastructure.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finalized an EPC contract with Bechtel for Train 4 and related infrastructure.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advance commercial discussions with multiple potential counterparties and expects to finalize commercial arrangements for Train 4 in the coming months to support a positive FID on Train 4. The Company entered into an LNG SPA with ADNOC for the sale of 1.9 MTPA of LNG from Train 4, as well as a non-binding HoA with Aramco for the sale of 1.2 MTPA of LNG from Train 4. The Company is working with Aramco to finalize a binding SPA. Additionally, an affiliate of TotalEnergies SE (“TotalEnergies”) has an LNG purchase option of 1.5 MTPA for Train 4, and the Company expects TotalEnergies to exercise the option.</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to finance construction of Train 4 utilizing a combination of debt and equity funding. The Company expects to enter into bank facilities for the debt portion of the funding. In connection with consummating the Rio Grande Phase 1 equity joint venture, the Company’s equity partners each have options to invest in Train 4 equity, which, if exercised, would provide approximately 60% of the equity funding required for Train 4. Inclusive of these options, NextDecade currently expects to fund 40% of the equity commitments for Train 4 and to have an initial economic interest of 40% in Train 4, increasing to 60% after its equity partners achieve certain returns on their investments in Train 4. The Company expects to take a final investment decision on Train 4 after commercial and financing arrangements are finalized.</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progress the development of Train 5 after a positive FID on Train 4. TotalEnergies also holds an LNG purchase option for 1.5 MTPA for Train 5, and the Rio Grande Phase 1 equity partners have options to invest in Train 5 equity which are materially equivalent to their options to participate in Train 4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Update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21, 2023, the FERC issued the order on remand (the “Remand Order”) reaffirming the order issued by FERC on November 22, 2019, authorizing the siting, construction and operation of the Rio Grande LNG Facility (the “Order”). The Remand Order reaffirmed that the Rio Grande LNG Facility is not inconsistent with the public interest under the Natural Gas Act Section 3.</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Remand Order was issued as a result of the decision of the U.S. Court of Appeals for the District of Columbia (the “D.C. Circuit”) dated August 3, 2021, which denied all petitions filed by parties who filed requests for re-hearing of the Order, except for two technical issues dealing with environmental justice and GHG emissions, which were remanded to the FERC for further consideration.</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Parties sought rehearing of the Remand Order, which FERC denied by operation of law on June 22, 2023, and subsequently issued a substantive order on the merits upholding the conclusions in the Remand Order, and its reaffirmation of the FERC Order. On August 17, 2023, parties petitioned the D.C. Circuit for review of the Remand Order. Oral arguments were held on May 17, 2024. On August 6, 2024, the D.C. Circuit issued an order vacating FERC's remand authorization of the Rio Grande LNG Facility on the grounds that the FERC should have issued a supplemental EIS during its remand process. The D.C. Circuit's decision will not be effective until the appeals process has been completed.</w:t>
      </w:r>
    </w:p>
    <w:p>
      <w:pPr>
        <w:spacing w:after="0" w:line="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a motion was filed with FERC to stay construction of the Rio Grande LNG Facility, which FERC denied on January 24, 2024. On February 2, 2024, parties filed a motion with the D.C. Circuit to stay construction of the Rio Grande LNG Facility. On March 1, 2024 the motion to stay was denied by the D.C. Circuit.</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reviewing the D.C. Circuit's decision and evaluating all of our options. We expect to take all available legal and regulatory actions, including but not limited to, appellate actions and other strategies, to ensure that construction on Phase 1 will continue and that necessary regulatory approvals are maintained to enable the construction of Trains 4 and 5 at the Rio Grande LNG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maintain corporate and general and administrative functions to serve our business activities described above. We are also in various stages of developing other projects, such as Train 4 and Train 5 at the Rio Grande LNG Facility, additional liquefaction expansions at the Rio Grande LNG Facility, a CCS project at the Rio Grande LNG Facilities, and potential CCS projects at third party industrial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Credit Facility</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our wholly-owned subsidiary NextDecade LLC entered into a credit agreement that provides for a $50 million senior secured revolving credit facility with additional capacity of $12.5 million to cover interest. Borrowings under the revolving credit facility may be used for general corporate purposes, including development costs related to Train 4 at the Rio Grande LNG Facility. Borrowings bear interest at SOFR or the base rate plus an applicable margin as defined in the credit agreement. The revolving credit facility and interest term loan mature at the earlier of two years from the closing date or 10 business days after a positive FID on Train 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Rio Grande Senior Secured Notes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February 2024, Rio Grande issued and sold $190 million of senior secured notes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 senior secured notes bear interest at a fixed rate of 6.85%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w:t>
      </w:r>
    </w:p>
    <w:p>
      <w:pPr>
        <w:spacing w:after="0" w:line="7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2024, Rio Grande issued $1.115 billion of senior secured notes in a private placement, and proceeds were utilized to reduce outstanding borrowings and commitments under Rio Grande's existing bank credit facilities for Phase 1. These senior secured notes will be amortized over a period of 18 years beginning in September 2029, with a final maturity in September 2047. The senior secured notes bear interest at a fixed rate of 6.58% and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to Rio Grande's existing senior secured financings.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FID on Phase 1 and the project financing obtained by Rio Grande, NextDecade and Rio Grande operate with independent capital structures. Although our sources and uses are presented from a consolidated standpoint, certain restrictions under debt and equity agreements limit the ability of NextDecade and Rio Grande to use and distribute cash. Rio Grande is required to deposit all cash received under its debt agreements into restricted accounts. The usage or withdrawal of such cash is restricted to the payment of obligations related to Phase 1 and other restricted payments, and such cash and capital resources are not available to service the obligations of NextDecade.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FID Rio Grande Financing</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FID on Phase 1 of the Rio Grande LNG Facility, Rio Grande obtained approximately $6.2 billion in equity capital commitments, inclusive of commitments from the NextDecade Member, entered into senior secured non-recourse bank credit facilities of $11.6 billion, consisting of $11.1 billion in construction term loans and a $500 million working capital facility, and closed a $700 million senior secured non-recourse private notes offering. Rio Grande expects to utilize these capital resources to fund the total cost of Phase 1, which is currently estimated at $18.0 billion and consists of EPC costs, owner’s costs and contingencies, dredging for the Brazos Island Harbor Channel Improvement Project, conservation of more than 4,000 acres of wetland and wildlife habitat area and installation of utilities, and interest during construction and other financing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Near Term Liquidity and Capital Resources of NextDecade Corporation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FID on Phase 1 of the Rio Grande LNG Facility, our primary cash needs historically were funding development activities in support of the Rio Grande LNG Facility and our CCS projects, which included payments of initial direct costs of the Rio Grande site lease and expenses in support of engineering and design activities, regulatory approvals and compliance, commercial and marketing activities and corporate overhead. We spent approximately $97.7 million on such development activities year-to-date through FID on July 12, 2023, which we funded through our cash on hand and proceeds from the issuances of equity and equity-based securities. Following the FID on Phase 1 of the Rio Grande LNG Facility, costs associated with the Phase 1 EPC agreements, Rio Grande site lease, and other Phase 1 related costs are being funded by debt and equity proceeds received by Rio Grande.</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our businesses and assets are under construction or in development, we have not historically generated significant cash flow from operations, nor do we expect to do so until liquefaction trains at the Rio Grande LNG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 operating or until we install CCS systems at third-party industrial facilities. We intend to fund development activities for the foreseeable future with cash and cash equivalents on hand and through the sale of additional equity, equity-based or debt securities in us or in our subsidiaries. There can be no assurance that we will succeed in selling equity or equity-based securities or, if successful, that the capital we raise will not be expensive or dilutive to stockholders.</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as of and for the three and six months ended June 30, 2024 have been prepared on the basis that we will continue as a going concern, which contemplates the realization of assets and satisfaction of liabilities in the normal course of business. Based on our balance of cash and cash equivalents of $38.1 million and available commitments under a revolving loan facility of $26.2 million at June 30, 2024, there is substantial doubt about our ability to continue as a going concern within one year after the date that our consolidated financial statements were issued. Our ability to continue as a going concern will depend on managing certain operating and overhead costs and our ability to raise capital through equity, equity-based or debt financings. The consolidated financial statements do not include any adjustments that might result from the outcome of this uncertainty, which could have a material adverse effect on our financial condition.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raising activities since January 1, 2024 have included the following:</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NextDecade LLC entered into a Credit and Guaranty Agreement by and among NextDecade LLC, as borrower, Rio Grande LNG Super Holdings, LLC and Rio Grande LNG Intermediate Super Holdings, LLC, as subsidiary guarantors, MUFG Bank, Ltd., as the administrative agent (the “Administrative Agent”), Wilmington Trust, National Association, as the collateral agent (the “Collateral Agent”), MUFG Bank, Ltd., as coordinating lead arranger and bookrunner and the financial institutions party thereto as lenders. The Credit and Guarantee Agreement provides for the following facilities:</w:t>
      </w:r>
    </w:p>
    <w:p>
      <w:pPr>
        <w:spacing w:after="0" w:line="75"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facility (the “Revolving Loans”) in an amount up to $50.0 million available to NextDecade LLC to be used for (a) general corporate purposes and working capital requirements of NextDecade LLC and its subsidiaries, including development costs related to the fourth liquefaction train and related common facilities at the Rio Grande LNG Facility, and (b) certain permitted payments on behalf of the Company and its subsidiaries; and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loan facility (the “Interest Loans” and together with the Revolving Loans, the “Loans”) in an amount up to $12.5 million available to NextDecade LLC to pay interest obligations, fees, and expenses due and payable under the Credit Agreement and the other finance documents.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Liquidity and Capital Resources of NextDecade Corporation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receive significant cash flows from Phase 1 of the Rio Grande LNG Facility until it is operational, and the commercial operation date for the first train of Phase 1 is expected to occur in late 2027 based on the schedule under the EPC contracts. Any future phases of development at the Rio Grande LNG Facility and CCS projects will similarly take an extended period of time to develop, construct and become operational and will require significant capital deployment.</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that the long-term capital requirements for future phases of development at the Rio Grande LNG Facility and any CCS projects will be financed predominantly through the proceeds from future debt, equity-based, and equity offerings by us or our subsidiaries. As a result, our business success will depend, to a significant extent, upon our ability to obtain financing required to fund future phases of development and construction at the Rio Grande LNG Facility and any CCS projects, to bring them into operation on a commercially viable basis and to finance any required increases in staffing, operating and expansion costs during that process. There can be no assurance that we will succeed in securing additional debt and/or equity financing in the future to fund future phases of development and construction at the Rio Grande LNG Facility or complete any CCS projects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3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8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The following table summarizes the sources and uses of our cash for the periods presented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(41,204)</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(56,471)</w:t>
            </w:r>
          </w:p>
        </w:tc>
      </w:tr>
      <w:tr>
        <w:trPr>
          <w:trHeight w:val="27"/>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74,898</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(22,777)</w:t>
            </w:r>
          </w:p>
        </w:tc>
      </w:tr>
      <w:tr>
        <w:trPr>
          <w:trHeight w:val="27"/>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62,789</w:t>
            </w:r>
          </w:p>
        </w:tc>
      </w:tr>
      <w:tr>
        <w:trPr>
          <w:trHeight w:val="26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6"/>
              </w:rPr>
              <w:t>40,012</w:t>
            </w:r>
          </w:p>
        </w:tc>
      </w:tr>
      <w:tr>
        <w:trPr>
          <w:trHeight w:val="21"/>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cash outflows during the six months ended June 30, 2024 and 2023 were $22.8 million and $41.2 million, respectively. The decrease in operating cash outflows during the six months ended June 30, 2024 compared to the six months ended June 30, 2023 was primarily due to cash received in the settlement of derivatives partially offset by an increase in employee costs and professional fees paid to consultants as we construct Phase 1 of the Rio Grande LNG Facility and continue to develop subsequent phases.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Investing cash outflows during the six months ended June 30, 2024 and 2023 were $1,374.3 million and $56.5 million, respectively. Investing cash outflows primarily consist of cash used in the construction of Phase 1 of the Rio Grande LNG Facility. The increase in investing cash outflows during the six months ended June 30, 2024 compared to the same period in 2023 was primarily due to a positive FID on Phase 1 of the Rio Grande LNG Facility in July 2023 which has carried into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Financing cash inflows during the six months ended June 30, 2024 and 2023 were $1,305.7 million and $74.9 million, respectively. Financing cash inflows during the 2024 period are primarily comprised of $2,300.6 million of proceeds from borrowings under Rio Grande's credit facilities and its issuance of senior secured notes and proceeds from the receipt of equity commitments in Intermediate Holdings of $333.3 million, partially offset by debt issuance costs of $36.6 million and repayment of $1,282.0 million of debt using proceeds of the senior secured notes offering during the 2024 period. Financing cash inflows during the 2023 period were primarily comprised of the sale of Company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939"/>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840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costs, expenses and other income for the periods indicated (in thousands):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7"/>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16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50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13,340</w:t>
            </w:r>
          </w:p>
        </w:tc>
      </w:tr>
      <w:tr>
        <w:trPr>
          <w:trHeight w:val="2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w:t>
            </w:r>
          </w:p>
        </w:tc>
      </w:tr>
      <w:tr>
        <w:trPr>
          <w:trHeight w:val="26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r>
      <w:tr>
        <w:trPr>
          <w:trHeight w:val="2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4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(39,534)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(77,651)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(54,686)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(22,965)</w:t>
            </w:r>
          </w:p>
        </w:tc>
      </w:tr>
      <w:tr>
        <w:trPr>
          <w:trHeight w:val="236"/>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6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gain (loss)</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455,389</w:t>
            </w:r>
          </w:p>
        </w:tc>
      </w:tr>
      <w:tr>
        <w:trPr>
          <w:trHeight w:val="2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r>
      <w:tr>
        <w:trPr>
          <w:trHeight w:val="26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(47,573)</w:t>
            </w:r>
          </w:p>
        </w:tc>
      </w:tr>
      <w:tr>
        <w:trPr>
          <w:trHeight w:val="2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r>
      <w:tr>
        <w:trPr>
          <w:trHeight w:val="24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336,715</w:t>
            </w:r>
          </w:p>
        </w:tc>
      </w:tr>
      <w:tr>
        <w:trPr>
          <w:trHeight w:val="2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193,309</w:t>
            </w:r>
          </w:p>
        </w:tc>
      </w:tr>
      <w:tr>
        <w:trPr>
          <w:trHeight w:val="26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r>
      <w:tr>
        <w:trPr>
          <w:trHeight w:val="268"/>
        </w:trPr>
        <w:tc>
          <w:tcPr>
            <w:tcW w:w="5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attributable to common stockholders was $32.6 million, or $(0.13) per common share (basic and diluted) for the three months ended June 30, 2024 compared to a net loss of $127.0 million, or $(0.84) per common share (basic and diluted), for the three months ended June 30, 2023. The $94.5 million decrease in net loss was primarily a result of derivative gain, partially offset by increases in general and administrative expense, net income attributable to non-controlling interest, loss on debt extinguishment and interest expense, net of capitalized interest.</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Derivative gain during the three months ended June 30, 2024 of $109.1 million is primarily due to an increase in forward SOFR rates from March 31, 2024 to June 30, 2024 and cash received in derivative settlements.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during the three months ended June 30, 2024 increased approximately $7.1 million compared to the same period in 2023 primarily due to an increase in professional fees and employee costs, partially offset by a decrease in share-based compensation expense.</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during the three months ended June 30, 2024 of $26.0 million represents total interest cost on debt of $63.8 million, net of capitalized interest of $37.8 million.</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during the three and six months ended June 30, 2024 of $34.9 million and $193.3 million, respectively, is due to the sale of equity in Intermediate Holdings in July 2023 and the non-controlling interests share of Intermediate Holdings net income.</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attributable to common stockholders was $4.2 million, or $(0.02) per common share (basic and diluted) for the six months ended June 30, 2024 compared to a net loss of $161.1 million, or $(1.08) per common share (basic and diluted), for the six months ended June 30, 2023. The $156.9 million decrease in net loss was primarily a result of derivative gain, partially offset by increases in general and administrative expense, net income attributable to non-controlling interest, loss on debt extinguishment and interest expense, net of capitalized interest.</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Derivative gain during the six months ended June 30, 2024 of $367.9 million is due to the reversal of derivative liabilities recognized at December 31, 2023, an increase in forward SOFR rates from December 31, 2023 to June 30, 2024 and cash received in derivative settlements.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during the six months ended June 30, 2024 increased approximately $13.3 million compared to the same period in 2023 primarily due to an increase in professional fees and employee costs, partially offset by a decrease in share-based compensation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during the six months ended June 30, 2024 of $51.5 million represents total interest cost on debt of $117.4 million, net of capitalized interest of $65.9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(“GAAP”) requires management to make certain estimates and assumptions that affect the amounts reported in the Consolidated Financial Statements and the accompanying notes. There have been no significant changes to our critical accounting estimates from those disclosed in our Annual Report on Form 10-K for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Exchange Act, is recorded, processed, summarized and reported within the time periods specified in the SEC’s rules and forms. As of the end of the period covered by this report, we evaluated, under the supervision and with the participation of our management, including our Chief Executive Officer and our Chief Financial Officer, the effectiveness of our disclosure controls and procedures pursuant to Rule 13a-15 of the Exchange Act. Based on that evaluation, our Chief Executive Officer and our Chief Financial Officer concluded that, as of June 30, 2024, our disclosure controls and procedures were effective.</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most recent fiscal quarter,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below and in Part I, "Item 1A. Risk Factors" in our 2023 Annual Report on Form 10-K, which could materially affect our business, financial condition or future results.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 decision by the D.C. Circuit Court of Appeals could impact Rio Grande’s ability to complete Phase 1 on the expected time frame or at all, our ability to take a final investment decision on expansion trains at the Rio Grande LNG Facility and our ability to achieve expected investment returns.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obtain and maintain governmental approvals and authorizations to implement our proposed business strategy, which includes the design, construction and operation of the Rio Grande LNG Facility and the export of LNG from the U.S. to foreign countries. As described in more detail in “Item</w:t>
      </w:r>
    </w:p>
    <w:p>
      <w:pPr>
        <w:jc w:val="both"/>
        <w:ind w:firstLine="8"/>
        <w:spacing w:after="0" w:line="251" w:lineRule="auto"/>
        <w:tabs>
          <w:tab w:leader="none" w:pos="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Operations—Overview of Business and Significant Developments— Significant Recent Developments—Regulatory,” on August 6, 2024, the D.C. Circuit Court of Appeals vacated the FERC authorization for the siting, construction and operation of the Rio Grande LNG Facility. We intend to pursue available legal remedies against judicial challenges and are engaged in active resolution of the requisite issues to ensure that the affected permit remains in effect; however, there is no guarantee as to how long any agency proceedings and judicial challenges will take to resolve, whether there will be any delays in construction activities or whether Rio Grande will ultimately succeed in maintaining the permit in its issued form or in a suitable replacement form. These uncertainties could cause Rio Grande to be subject to increased costs and adverse impact to its ability to complete the construction of Phase 1 on a timely basis or at all, which in turn could adversely affect the ability for Rio Grande and its owners, including us, to successfully implement our business strategy or achieve expected returns. Similarly, these uncertainties could impact the timing of, and our ability to take, a final investment decision on any expansion trains at the Rio Grande LNG Facility. In addition, the bank credit facilities obtained by Rio Grande to finance a substantial portion of Phase 1 costs require maintenance of material governmental approvals. To the extent Rio Grande becomes unable to satisfy such requirement as set forth in the credit agreements or reach other accommodations with its lenders, its ability to continue borrowing under such credit facilities could be negatively impacted, which in turn could adversely affect our business, financial condition, results of operations and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repurchases for the three months ended June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Part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81"/>
        </w:trPr>
        <w:tc>
          <w:tcPr>
            <w:tcW w:w="4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restart"/>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58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vMerge w:val="restart"/>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Paid Per Share </w:t>
            </w:r>
            <w:r>
              <w:rPr>
                <w:rFonts w:ascii="Times New Roman" w:cs="Times New Roman" w:eastAsia="Times New Roman" w:hAnsi="Times New Roman"/>
                <w:sz w:val="23"/>
                <w:szCs w:val="23"/>
                <w:b w:val="1"/>
                <w:bCs w:val="1"/>
                <w:color w:val="auto"/>
                <w:vertAlign w:val="superscript"/>
              </w:rPr>
              <w:t>(2)</w:t>
            </w: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hanging="11"/>
        <w:spacing w:after="0" w:line="282" w:lineRule="auto"/>
        <w:rPr>
          <w:sz w:val="20"/>
          <w:szCs w:val="20"/>
          <w:color w:val="auto"/>
        </w:rPr>
      </w:pPr>
      <w:r>
        <w:rPr>
          <w:rFonts w:ascii="Times New Roman" w:cs="Times New Roman" w:eastAsia="Times New Roman" w:hAnsi="Times New Roman"/>
          <w:sz w:val="18"/>
          <w:szCs w:val="18"/>
          <w:color w:val="auto"/>
        </w:rPr>
        <w:t>Represents shares of Company common stock surrendered to us by participants in the 2017 Plan to settle the participants’ personal tax liabilities that resulted from the lapsing of restrictions on awards made to the participants under the 2017 Plan.</w:t>
      </w:r>
    </w:p>
    <w:p>
      <w:pPr>
        <w:spacing w:after="0" w:line="54" w:lineRule="exact"/>
        <w:rPr>
          <w:sz w:val="20"/>
          <w:szCs w:val="20"/>
          <w:color w:val="auto"/>
        </w:rPr>
      </w:pPr>
    </w:p>
    <w:p>
      <w:pPr>
        <w:ind w:hanging="11"/>
        <w:spacing w:after="0" w:line="282" w:lineRule="auto"/>
        <w:rPr>
          <w:sz w:val="20"/>
          <w:szCs w:val="20"/>
          <w:color w:val="auto"/>
        </w:rPr>
      </w:pPr>
      <w:r>
        <w:rPr>
          <w:rFonts w:ascii="Times New Roman" w:cs="Times New Roman" w:eastAsia="Times New Roman" w:hAnsi="Times New Roman"/>
          <w:sz w:val="18"/>
          <w:szCs w:val="18"/>
          <w:color w:val="auto"/>
        </w:rPr>
        <w:t>The price paid per share of Company common stock was based on the closing trading price of such stock on the dates on which we repurchased shares of Company common stock from the participants under the 2017 Plan.</w:t>
      </w:r>
    </w:p>
    <w:p>
      <w:pPr>
        <w:spacing w:after="0" w:line="5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6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140" w:type="dxa"/>
            <w:vAlign w:val="bottom"/>
            <w:tcBorders>
              <w:top w:val="single" w:sz="8" w:color="auto"/>
            </w:tcBorders>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980" w:type="dxa"/>
            <w:vAlign w:val="bottom"/>
            <w:tcBorders>
              <w:top w:val="single" w:sz="8" w:color="auto"/>
              <w:bottom w:val="single" w:sz="8" w:color="0000FF"/>
            </w:tcBorders>
            <w:gridSpan w:val="21"/>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Second Amended and Restated Certificate of Incorporation of NextDecade Corporation, dated July 24, 2017(Incorporated by reference to</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Exhibit 3.1 of the Registrant’s Current Report on Form 8-K, filed July 28, 2017).</w:t>
              </w:r>
            </w:hyperlink>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9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NextDecade Corporation, as amended March 3, 2021(Incorporated by reference to Exhibit 4.2 of the</w:t>
              </w:r>
            </w:hyperlink>
          </w:p>
        </w:tc>
      </w:tr>
      <w:tr>
        <w:trPr>
          <w:trHeight w:val="196"/>
        </w:trPr>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Registrant’s Registration Statement on Form S-1 filed June 24, 2022).</w:t>
              </w:r>
            </w:hyperlink>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2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4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202"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Certificate of Designations of Series A Convertible Preferred Stock, dated August 9, 2018 (Incorporated by reference to Exhibit 4.3 of the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Registrant’s Registration Statement on Form S-3, filed December 20, 2018).</w:t>
              </w:r>
            </w:hyperlink>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140" w:type="dxa"/>
            <w:vAlign w:val="bottom"/>
            <w:tcBorders>
              <w:bottom w:val="single" w:sz="8" w:color="CCEEFF"/>
            </w:tcBorders>
            <w:shd w:val="clear" w:color="auto" w:fill="CCEEFF"/>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96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Designations of Series B Convertible Preferred Stock, dated September 28, 2018 (Incorporated by reference to Exhibit 3.4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558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of the Registrant’s Quarterly Report on Form 10-Q, filed November 9, 2018).</w:t>
              </w:r>
            </w:hyperlink>
          </w:p>
        </w:tc>
        <w:tc>
          <w:tcPr>
            <w:tcW w:w="4400" w:type="dxa"/>
            <w:vAlign w:val="bottom"/>
            <w:tcBorders>
              <w:bottom w:val="single" w:sz="8" w:color="CCEEFF"/>
            </w:tcBorders>
            <w:gridSpan w:val="13"/>
            <w:shd w:val="clear" w:color="auto" w:fill="CCEEFF"/>
          </w:tcPr>
          <w:p>
            <w:pPr>
              <w:spacing w:after="0"/>
              <w:rPr>
                <w:sz w:val="21"/>
                <w:szCs w:val="21"/>
                <w:color w:val="auto"/>
              </w:rPr>
            </w:pPr>
          </w:p>
        </w:tc>
      </w:tr>
      <w:tr>
        <w:trPr>
          <w:trHeight w:val="203"/>
        </w:trPr>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202"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Certificate of Designations of Series C Convertible Preferred Stock, dated March 17, 2021 (Incorporated by reference to Exhibit 3.1 of the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Registrant’s Current Report on Form 8-K, filed March 18, 2021).</w:t>
              </w:r>
            </w:hyperlink>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9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Certificate of Designations of Series A Convertible Preferred Stock, dated July 12, 2019 (Incorporated by</w:t>
              </w:r>
            </w:hyperlink>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720" w:type="dxa"/>
            <w:vAlign w:val="bottom"/>
            <w:tcBorders>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reference to Exhibit 3.1 of the Registrant’s Current Report on Form 8-K, filed July 15, 2019).</w:t>
              </w:r>
            </w:hyperlink>
          </w:p>
        </w:tc>
        <w:tc>
          <w:tcPr>
            <w:tcW w:w="326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Amendment to Certificate of Designations of Series B Convertible Preferred Stock, dated July 12, 2019 (Incorporated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reference to Exhibit 3.2 of the Registrant’s Current Report on Form 8-K, filed July 15, 2019).</w:t>
              </w:r>
            </w:hyperlink>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96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Increase to Certificate of Designations of Series A Convertible Preferred Stock of NextDecade Corporation, dated July 15,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720" w:type="dxa"/>
            <w:vAlign w:val="bottom"/>
            <w:tcBorders>
              <w:bottom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2019 (Incorporated by reference to Exhibit 3.7 of the Registrant's Quarterly Report on Form 10-Q, filed August 6, 2019).</w:t>
              </w:r>
            </w:hyperlink>
          </w:p>
        </w:tc>
        <w:tc>
          <w:tcPr>
            <w:tcW w:w="12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Increase to Certificate of Designations of Series B Convertible Preferred Stock of NextDecade Corporation, dated July 15,</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2019 (Incorporated by reference to Exhibit 3.8 of the Registrant’s Quarterly Report on Form 10-Q, filed August 6, 2019).</w:t>
              </w:r>
            </w:hyperlink>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of the NextDecade Corporation 2017 Omnibus Incentive Compensation Plan (Incorporated by reference to Exhibit 10.1 of</w:t>
              </w:r>
            </w:hyperlink>
          </w:p>
        </w:tc>
      </w:tr>
      <w:tr>
        <w:trPr>
          <w:trHeight w:val="243"/>
        </w:trPr>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72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the Registrant’s Current Report on Form 8-K, filed June 3, 2024).</w:t>
              </w:r>
            </w:hyperlink>
          </w:p>
        </w:tc>
        <w:tc>
          <w:tcPr>
            <w:tcW w:w="502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24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2"/>
        </w:trPr>
        <w:tc>
          <w:tcPr>
            <w:tcW w:w="12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99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Indenture, dated as of June 28, 2024, by and between Rio Grande LNG, LLC and Wilmington Trust, National Association, as Trustee.</w:t>
            </w:r>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60" w:type="dxa"/>
            <w:vAlign w:val="bottom"/>
            <w:tcBorders>
              <w:right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998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Amendment No. 1, dated as of April 5, 2024, to Credit Agreement, dated as of September 15, 2023, by and among Rio Grande LNG,</w:t>
            </w: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LLC, as Borrower, Wilmington Trust, National Association, as Administrative Agent, Mizuho Bank (USA) as P1 Collateral Agent, and</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the senior lenders party thereto.</w:t>
            </w:r>
          </w:p>
        </w:tc>
        <w:tc>
          <w:tcPr>
            <w:tcW w:w="240" w:type="dxa"/>
            <w:vAlign w:val="bottom"/>
            <w:tcBorders>
              <w:top w:val="single" w:sz="8" w:color="CCEEFF"/>
            </w:tcBorders>
            <w:gridSpan w:val="3"/>
            <w:shd w:val="clear" w:color="auto" w:fill="CCEEFF"/>
          </w:tcPr>
          <w:p>
            <w:pPr>
              <w:spacing w:after="0"/>
              <w:rPr>
                <w:sz w:val="17"/>
                <w:szCs w:val="17"/>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9580" w:type="dxa"/>
            <w:vAlign w:val="bottom"/>
            <w:tcBorders>
              <w:bottom w:val="single" w:sz="8" w:color="0000FF"/>
            </w:tcBorders>
            <w:gridSpan w:val="14"/>
          </w:tcPr>
          <w:p>
            <w:pPr>
              <w:spacing w:after="0" w:line="202" w:lineRule="exact"/>
              <w:rPr>
                <w:sz w:val="20"/>
                <w:szCs w:val="20"/>
                <w:color w:val="auto"/>
              </w:rPr>
            </w:pPr>
            <w:r>
              <w:rPr>
                <w:rFonts w:ascii="Times New Roman" w:cs="Times New Roman" w:eastAsia="Times New Roman" w:hAnsi="Times New Roman"/>
                <w:sz w:val="18"/>
                <w:szCs w:val="18"/>
                <w:color w:val="0000FF"/>
                <w:w w:val="99"/>
              </w:rPr>
              <w:t>Change Orders to the Amended and Restated Fixed Price Turnkey Agreement for the Engineering, Procurement and Construction of</w:t>
            </w:r>
          </w:p>
        </w:tc>
        <w:tc>
          <w:tcPr>
            <w:tcW w:w="4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Trains 1 and 2 of the Rio Grande Natural Gas Liquefaction Facility, made and executed as of September 14, 2022, by and between Rio</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Grande LNG, LLC and Bechtel Energy Inc.: (i) EC00112, dated as of April 8, 2024; (ii) EC00131, dated as of April 11, 2024; (iii)</w:t>
            </w:r>
          </w:p>
        </w:tc>
        <w:tc>
          <w:tcPr>
            <w:tcW w:w="300" w:type="dxa"/>
            <w:vAlign w:val="bottom"/>
            <w:tcBorders>
              <w:top w:val="single" w:sz="8" w:color="0000FF"/>
            </w:tcBorders>
            <w:gridSpan w:val="4"/>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EC00106, dated as of May 2, 2024; (iv) EC00150 and EC00152, each dated as of May 10, 2024; and (v) EC00114, dated as of June 3,</w:t>
            </w:r>
          </w:p>
        </w:tc>
        <w:tc>
          <w:tcPr>
            <w:tcW w:w="3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2024.</w:t>
            </w:r>
          </w:p>
        </w:tc>
        <w:tc>
          <w:tcPr>
            <w:tcW w:w="1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60" w:type="dxa"/>
            <w:vAlign w:val="bottom"/>
            <w:tcBorders>
              <w:bottom w:val="single" w:sz="8" w:color="CCEEFF"/>
              <w:right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9960" w:type="dxa"/>
            <w:vAlign w:val="bottom"/>
            <w:tcBorders>
              <w:bottom w:val="single" w:sz="8" w:color="0000FF"/>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Change Orders to the Amended and Restated Fixed Price Turnkey Agreement for the Engineering, Procurement and Construction of Train</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3 of the Rio Grande Natural Gas Liquefaction Facility, made and executed as of September 14, 2022, by and between Rio Grande LNG,</w:t>
            </w: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0" w:type="dxa"/>
            <w:vAlign w:val="bottom"/>
            <w:gridSpan w:val="3"/>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2580" w:type="dxa"/>
            <w:vAlign w:val="bottom"/>
            <w:tcBorders>
              <w:right w:val="single" w:sz="8" w:color="CCEEFF"/>
            </w:tcBorders>
            <w:gridSpan w:val="8"/>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LLC and Bechtel Energy Inc.: (i) (i) EC00132, dated as of April 11, 2024; (ii) EC00151, dated as of May 10, 2024; (iii) EC00153, dated</w:t>
            </w:r>
          </w:p>
        </w:tc>
      </w:tr>
      <w:tr>
        <w:trPr>
          <w:trHeight w:val="243"/>
        </w:trPr>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600" w:type="dxa"/>
            <w:vAlign w:val="bottom"/>
            <w:tcBorders>
              <w:top w:val="single" w:sz="8" w:color="0000FF"/>
              <w:bottom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as of May 13, 2024; and (iv) EC00115, dated as of June 3, 2024</w:t>
            </w:r>
          </w:p>
        </w:tc>
        <w:tc>
          <w:tcPr>
            <w:tcW w:w="5200" w:type="dxa"/>
            <w:vAlign w:val="bottom"/>
            <w:tcBorders>
              <w:top w:val="single" w:sz="8" w:color="0000FF"/>
              <w:bottom w:val="single" w:sz="8" w:color="CCEEFF"/>
              <w:right w:val="single" w:sz="8" w:color="CCEEFF"/>
            </w:tcBorders>
            <w:gridSpan w:val="16"/>
            <w:shd w:val="clear" w:color="auto" w:fill="CCEEFF"/>
          </w:tcPr>
          <w:p>
            <w:pPr>
              <w:spacing w:after="0"/>
              <w:rPr>
                <w:sz w:val="21"/>
                <w:szCs w:val="21"/>
                <w:color w:val="auto"/>
              </w:rPr>
            </w:pPr>
          </w:p>
        </w:tc>
        <w:tc>
          <w:tcPr>
            <w:tcW w:w="18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4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9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95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Borders>
              <w:top w:val="single" w:sz="8" w:color="0000FF"/>
            </w:tcBorders>
            <w:gridSpan w:val="3"/>
          </w:tcPr>
          <w:p>
            <w:pPr>
              <w:ind w:left="42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gridSpan w:val="4"/>
          </w:tcPr>
          <w:p>
            <w:pPr>
              <w:ind w:left="160"/>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48"/>
        </w:trPr>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760" w:type="dxa"/>
            <w:vAlign w:val="bottom"/>
          </w:tcPr>
          <w:p>
            <w:pPr>
              <w:spacing w:after="0"/>
              <w:rPr>
                <w:sz w:val="4"/>
                <w:szCs w:val="4"/>
                <w:color w:val="auto"/>
              </w:rPr>
            </w:pPr>
          </w:p>
        </w:tc>
      </w:tr>
      <w:tr>
        <w:trPr>
          <w:trHeight w:val="203"/>
        </w:trPr>
        <w:tc>
          <w:tcPr>
            <w:tcW w:w="1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gridSpan w:val="4"/>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r>
      <w:tr>
        <w:trPr>
          <w:trHeight w:val="225"/>
        </w:trPr>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100" w:type="dxa"/>
            <w:vAlign w:val="bottom"/>
          </w:tcPr>
          <w:p>
            <w:pPr>
              <w:spacing w:after="0"/>
              <w:rPr>
                <w:sz w:val="20"/>
                <w:szCs w:val="20"/>
                <w:color w:val="auto"/>
              </w:rPr>
            </w:pPr>
          </w:p>
        </w:tc>
        <w:tc>
          <w:tcPr>
            <w:tcW w:w="10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3"/>
        </w:trPr>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1260" w:hanging="885"/>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5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63" w:lineRule="exact"/>
        <w:rPr>
          <w:rFonts w:ascii="Times New Roman" w:cs="Times New Roman" w:eastAsia="Times New Roman" w:hAnsi="Times New Roman"/>
          <w:sz w:val="18"/>
          <w:szCs w:val="18"/>
          <w:color w:val="auto"/>
        </w:rPr>
      </w:pPr>
    </w:p>
    <w:p>
      <w:pPr>
        <w:ind w:left="540" w:hanging="51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540" w:hanging="51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601(a)(5)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NEXTDECADE CORPORATION</w:t>
            </w:r>
          </w:p>
        </w:tc>
      </w:tr>
      <w:tr>
        <w:trPr>
          <w:trHeight w:val="54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K. Schatzman</w:t>
            </w:r>
          </w:p>
        </w:tc>
      </w:tr>
      <w:tr>
        <w:trPr>
          <w:trHeight w:val="27"/>
        </w:trPr>
        <w:tc>
          <w:tcPr>
            <w:tcW w:w="3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K. Schatzman</w:t>
            </w:r>
          </w:p>
        </w:tc>
      </w:tr>
      <w:tr>
        <w:trPr>
          <w:trHeight w:val="270"/>
        </w:trPr>
        <w:tc>
          <w:tcPr>
            <w:tcW w:w="35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35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Brent E. Wahl</w:t>
            </w:r>
          </w:p>
        </w:tc>
      </w:tr>
      <w:tr>
        <w:trPr>
          <w:trHeight w:val="27"/>
        </w:trPr>
        <w:tc>
          <w:tcPr>
            <w:tcW w:w="3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E. Wahl</w:t>
            </w:r>
          </w:p>
        </w:tc>
      </w:tr>
      <w:tr>
        <w:trPr>
          <w:trHeight w:val="270"/>
        </w:trPr>
        <w:tc>
          <w:tcPr>
            <w:tcW w:w="35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5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1"/>
        </w:trPr>
        <w:tc>
          <w:tcPr>
            <w:tcW w:w="3500" w:type="dxa"/>
            <w:vAlign w:val="bottom"/>
          </w:tcPr>
          <w:p>
            <w:pPr>
              <w:spacing w:after="0"/>
              <w:rPr>
                <w:sz w:val="24"/>
                <w:szCs w:val="24"/>
                <w:color w:val="auto"/>
              </w:rPr>
            </w:pP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1665605</wp:posOffset>
            </wp:positionV>
            <wp:extent cx="7080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6.580% SENIOR SECURED NOTES DUE 2047</w:t>
      </w:r>
    </w:p>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INDENTURE</w:t>
      </w:r>
    </w:p>
    <w:p>
      <w:pPr>
        <w:spacing w:after="0" w:line="2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Dated as of June 28,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331470</wp:posOffset>
            </wp:positionV>
            <wp:extent cx="7080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8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1"/>
        </w:trPr>
        <w:tc>
          <w:tcPr>
            <w:tcW w:w="9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DEFINITIONS AND INCORPORATION BY REFERENCE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UCC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and Financial Determinations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9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and Dating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Execution and Authentication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Registrar and Paying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Noteholder Lists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 and Exchange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Treasury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Temporary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2.11</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Cancellation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2.12</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Defaulted Interest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180" w:type="dxa"/>
            <w:vAlign w:val="bottom"/>
          </w:tcPr>
          <w:p>
            <w:pPr>
              <w:spacing w:after="0"/>
              <w:rPr>
                <w:sz w:val="22"/>
                <w:szCs w:val="22"/>
                <w:color w:val="auto"/>
              </w:rPr>
            </w:pPr>
          </w:p>
        </w:tc>
        <w:tc>
          <w:tcPr>
            <w:tcW w:w="92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2.13  CUSIP Numbers / PPN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2.14</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Withholding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2.15</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of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REDEMPTION AND PREPAYMENT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 to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Selection of Notes to Be Redeemed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 of Redemption or 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Redeemed in Part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Optional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Open Market Purchases; No Mandatory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Offer to Purchase by Application of Collateral Proceeds; LNG SPA Termination Offer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 of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Compliance Certificate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Distributions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Use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Incurrence of Indebtedness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Designated Offtake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8"/>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Ratings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ectPr>
          <w:pgSz w:w="11900" w:h="16838" w:orient="portrait"/>
          <w:cols w:equalWidth="0" w:num="1">
            <w:col w:w="11200"/>
          </w:cols>
          <w:pgMar w:left="340" w:top="1413" w:right="359" w:bottom="1440" w:gutter="0" w:footer="0" w:header="0"/>
        </w:sectPr>
      </w:pPr>
    </w:p>
    <w:bookmarkStart w:id="33" w:name="page34"/>
    <w:bookmarkEnd w:id="3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Payments for Consent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4.12  Offer to Repurchase Upon Change of Control Triggering Event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4.13</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Events of Loss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4.14</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 Sales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4.15</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Liquidated Damages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4.16  2024 Senior Notes DSRA</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4.17</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Project Documents.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4.18</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4.19</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4.20</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Books and Records.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Inspection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4.22</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Sanctions Regulations,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4.23</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Designated Offtake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4.24</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4.25  Limitation on Formation of Controlled Subsidiaries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4.26</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Historical DSCR</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4.27</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Affiliated Noteholder Cap</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4.28</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 Guarantees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5.</w:t>
            </w: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Merger, Consolidation, or Sale of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Corporation Substituted</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6.</w:t>
            </w: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DEFAULTS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Past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Control by Majority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Limitation on Suits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Noteholders to Receive Payment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Collection Suit by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Undertaking for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7.</w:t>
            </w:r>
          </w:p>
        </w:tc>
        <w:tc>
          <w:tcPr>
            <w:tcW w:w="8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Duties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7.3</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Individual 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Trustee’s Disclaimer</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7.6</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Compensation and Indemnity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7.7</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7.8</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Trustee by Merger,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7.9</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7.10  Authorization to Enter Into Accession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8"/>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Trustee Protective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ectPr>
          <w:pgSz w:w="11900" w:h="16838" w:orient="portrait"/>
          <w:cols w:equalWidth="0" w:num="1">
            <w:col w:w="11200"/>
          </w:cols>
          <w:pgMar w:left="340" w:top="1440" w:right="359" w:bottom="1440" w:gutter="0" w:footer="0" w:header="0"/>
        </w:sectPr>
      </w:pPr>
    </w:p>
    <w:bookmarkStart w:id="34" w:name="page35"/>
    <w:bookmarkEnd w:id="3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8.  LEGAL DEFEASANCE AND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8.1</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8.2</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Legal Defeasance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8.3</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8.4</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Conditions to Legal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8.5</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Deposited Money and Government Securities to Be Held in Trust; Other Miscellaneous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Repayment to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8.7</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Reinstatement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9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9.  AMENDMENT, SUPPLEMENT AND WAIVER</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9.1</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Without Consent of Noteholders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9.2</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 Consent of Noteholders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9.3</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Decisions under Other Financing Documents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9.4</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Revocation and Effect of Consents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9.5</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9.6</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9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COLLATERAL AND SECURITY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10.1</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Senior Secured Debt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10.2</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Release of Collateral</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96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11.1</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11.2  Application of Trust Money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9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MISCELLANEOUS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12.1</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12.2  Certificate and Opinion as to Conditions Precedent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12.3  Statements Required in Certificate or Opinion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12.4  Rules by Trustee and Agents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12.5  No Personal Liability of Directors, Officers, Employees and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12.6  Applicable Law, Jurisdiction,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12.7  No Adverse Interpretation of Other Agreements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12.8</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12.10</w:t>
            </w:r>
          </w:p>
        </w:tc>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Counterpart Originals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12.11  Trustee’s Receipt of Funds to the Extent not Required to be Applied to Payment of the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12.12  Table of Contents, Headings,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8"/>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12.13</w:t>
            </w:r>
          </w:p>
        </w:tc>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bl>
    <w:p>
      <w:pPr>
        <w:sectPr>
          <w:pgSz w:w="11900" w:h="16838" w:orient="portrait"/>
          <w:cols w:equalWidth="0" w:num="1">
            <w:col w:w="11200"/>
          </w:cols>
          <w:pgMar w:left="340" w:top="144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ANNEX AND EXHIBITS</w:t>
      </w:r>
    </w:p>
    <w:p>
      <w:pPr>
        <w:spacing w:after="0" w:line="202"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ANNEX A</w:t>
      </w:r>
      <w:r>
        <w:rPr>
          <w:sz w:val="20"/>
          <w:szCs w:val="20"/>
          <w:color w:val="auto"/>
        </w:rPr>
        <w:tab/>
      </w:r>
      <w:r>
        <w:rPr>
          <w:rFonts w:ascii="Times New Roman" w:cs="Times New Roman" w:eastAsia="Times New Roman" w:hAnsi="Times New Roman"/>
          <w:sz w:val="19"/>
          <w:szCs w:val="19"/>
          <w:color w:val="auto"/>
        </w:rPr>
        <w:t>PAYMENT SCHEDULE</w:t>
      </w:r>
    </w:p>
    <w:p>
      <w:pPr>
        <w:spacing w:after="0" w:line="21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ANNEX B</w:t>
      </w:r>
      <w:r>
        <w:rPr>
          <w:sz w:val="20"/>
          <w:szCs w:val="20"/>
          <w:color w:val="auto"/>
        </w:rPr>
        <w:tab/>
      </w:r>
      <w:r>
        <w:rPr>
          <w:rFonts w:ascii="Times New Roman" w:cs="Times New Roman" w:eastAsia="Times New Roman" w:hAnsi="Times New Roman"/>
          <w:sz w:val="19"/>
          <w:szCs w:val="19"/>
          <w:color w:val="auto"/>
        </w:rPr>
        <w:t>DISQUALIFIED INSTITUTIONS</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NOTE</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CERTIFICATE OF TRANSFER</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CERTIFICATE OF EXCHANGE</w:t>
      </w:r>
    </w:p>
    <w:p>
      <w:pPr>
        <w:spacing w:after="0" w:line="216" w:lineRule="exact"/>
        <w:rPr>
          <w:sz w:val="20"/>
          <w:szCs w:val="20"/>
          <w:color w:val="auto"/>
        </w:rPr>
      </w:pPr>
    </w:p>
    <w:p>
      <w:pPr>
        <w:ind w:left="1280" w:right="119"/>
        <w:spacing w:after="0" w:line="454" w:lineRule="auto"/>
        <w:rPr>
          <w:sz w:val="20"/>
          <w:szCs w:val="20"/>
          <w:color w:val="auto"/>
        </w:rPr>
      </w:pPr>
      <w:r>
        <w:rPr>
          <w:rFonts w:ascii="Times New Roman" w:cs="Times New Roman" w:eastAsia="Times New Roman" w:hAnsi="Times New Roman"/>
          <w:sz w:val="20"/>
          <w:szCs w:val="20"/>
          <w:color w:val="auto"/>
        </w:rPr>
        <w:t>Exhibit D ADDITIONAL NOTES AND SUPPLEMENTAL INDENTURES FOR ADDITIONAL NOTES Exhibit E FORM OF CERTIFICATE FROM ACQUIRING INSTITUTIONAL ACCREDITED INVESTOR Exhibit 2.15-A FORM OF U.S. TAX COMPLIANCE CERTIFICATE Exhibit 2.15-B FORM OF U.S. TAX COMPLIANCE CERTIFICATE</w:t>
      </w:r>
    </w:p>
    <w:p>
      <w:pPr>
        <w:spacing w:after="0" w:line="1" w:lineRule="exact"/>
        <w:rPr>
          <w:sz w:val="20"/>
          <w:szCs w:val="20"/>
          <w:color w:val="auto"/>
        </w:rPr>
      </w:pPr>
    </w:p>
    <w:p>
      <w:pPr>
        <w:ind w:left="1280"/>
        <w:spacing w:after="0"/>
        <w:tabs>
          <w:tab w:leader="none" w:pos="2640" w:val="left"/>
        </w:tabs>
        <w:rPr>
          <w:sz w:val="20"/>
          <w:szCs w:val="20"/>
          <w:color w:val="auto"/>
        </w:rPr>
      </w:pPr>
      <w:r>
        <w:rPr>
          <w:rFonts w:ascii="Times New Roman" w:cs="Times New Roman" w:eastAsia="Times New Roman" w:hAnsi="Times New Roman"/>
          <w:sz w:val="20"/>
          <w:szCs w:val="20"/>
          <w:color w:val="auto"/>
        </w:rPr>
        <w:t>Exhibit 2.15-C</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202" w:lineRule="exact"/>
        <w:rPr>
          <w:sz w:val="20"/>
          <w:szCs w:val="20"/>
          <w:color w:val="auto"/>
        </w:rPr>
      </w:pPr>
    </w:p>
    <w:p>
      <w:pPr>
        <w:ind w:left="1280"/>
        <w:spacing w:after="0"/>
        <w:tabs>
          <w:tab w:leader="none" w:pos="2640" w:val="left"/>
        </w:tabs>
        <w:rPr>
          <w:sz w:val="20"/>
          <w:szCs w:val="20"/>
          <w:color w:val="auto"/>
        </w:rPr>
      </w:pPr>
      <w:r>
        <w:rPr>
          <w:rFonts w:ascii="Times New Roman" w:cs="Times New Roman" w:eastAsia="Times New Roman" w:hAnsi="Times New Roman"/>
          <w:sz w:val="20"/>
          <w:szCs w:val="20"/>
          <w:color w:val="auto"/>
        </w:rPr>
        <w:t>Exhibit 2.15-D</w:t>
      </w:r>
      <w:r>
        <w:rPr>
          <w:sz w:val="20"/>
          <w:szCs w:val="20"/>
          <w:color w:val="auto"/>
        </w:rPr>
        <w:tab/>
      </w:r>
      <w:r>
        <w:rPr>
          <w:rFonts w:ascii="Times New Roman" w:cs="Times New Roman" w:eastAsia="Times New Roman" w:hAnsi="Times New Roman"/>
          <w:sz w:val="19"/>
          <w:szCs w:val="19"/>
          <w:color w:val="auto"/>
        </w:rPr>
        <w:t>FORM OF U.S. TAX COMPLIANCE CERTIFICATE</w:t>
      </w:r>
    </w:p>
    <w:p>
      <w:pPr>
        <w:sectPr>
          <w:pgSz w:w="11900" w:h="16838" w:orient="portrait"/>
          <w:cols w:equalWidth="0" w:num="1">
            <w:col w:w="10139"/>
          </w:cols>
          <w:pgMar w:left="320" w:top="1413" w:right="1440" w:bottom="1440" w:gutter="0" w:footer="0" w:header="0"/>
        </w:sectPr>
      </w:pPr>
    </w:p>
    <w:bookmarkStart w:id="36" w:name="page37"/>
    <w:bookmarkEnd w:id="36"/>
    <w:p>
      <w:pPr>
        <w:spacing w:after="0" w:line="28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xml:space="preserve"> dated as of June 28, 2024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and the Trustee agree as follows for the benefit of each other and for the equal and ratable benefit of the Noteholders (as defined herein).</w:t>
      </w:r>
    </w:p>
    <w:p>
      <w:pPr>
        <w:spacing w:after="0" w:line="155" w:lineRule="exact"/>
        <w:rPr>
          <w:sz w:val="20"/>
          <w:szCs w:val="20"/>
          <w:color w:val="auto"/>
        </w:rPr>
      </w:pPr>
    </w:p>
    <w:p>
      <w:pPr>
        <w:ind w:right="5460" w:firstLine="8"/>
        <w:spacing w:after="0" w:line="452" w:lineRule="auto"/>
        <w:tabs>
          <w:tab w:leader="none" w:pos="634"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AND INCORPORATION BY REFERENCE 1.1 </w:t>
      </w:r>
      <w:r>
        <w:rPr>
          <w:rFonts w:ascii="Times New Roman" w:cs="Times New Roman" w:eastAsia="Times New Roman" w:hAnsi="Times New Roman"/>
          <w:sz w:val="20"/>
          <w:szCs w:val="20"/>
          <w:u w:val="single" w:color="auto"/>
          <w:color w:val="auto"/>
        </w:rPr>
        <w:t>Defined Terms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defined herein, capitalized terms used herein shall have the meanings provided in the Common Terms Agreement.</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addition, the following terms shall have the following meanings: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w:t>
      </w:r>
      <w:r>
        <w:rPr>
          <w:rFonts w:ascii="Times New Roman" w:cs="Times New Roman" w:eastAsia="Times New Roman" w:hAnsi="Times New Roman"/>
          <w:sz w:val="20"/>
          <w:szCs w:val="20"/>
          <w:color w:val="auto"/>
        </w:rPr>
        <w:t>” has the meaning assigned to such term in the applicable Designated Offtake Agreement.</w:t>
      </w:r>
    </w:p>
    <w:p>
      <w:pPr>
        <w:spacing w:after="0" w:line="202" w:lineRule="exact"/>
        <w:rPr>
          <w:sz w:val="20"/>
          <w:szCs w:val="20"/>
          <w:color w:val="auto"/>
        </w:rPr>
      </w:pPr>
    </w:p>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Notes</w:t>
      </w:r>
      <w:r>
        <w:rPr>
          <w:rFonts w:ascii="Times New Roman" w:cs="Times New Roman" w:eastAsia="Times New Roman" w:hAnsi="Times New Roman"/>
          <w:sz w:val="20"/>
          <w:szCs w:val="20"/>
          <w:color w:val="auto"/>
        </w:rPr>
        <w:t xml:space="preserve">” means Notes (other than the Initial Notes) issued under this Indenture in accordance with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Decision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any Registrar, co-registrar, Paying Agent or additional paying agent.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Funded Equity</w:t>
      </w:r>
      <w:r>
        <w:rPr>
          <w:rFonts w:ascii="Times New Roman" w:cs="Times New Roman" w:eastAsia="Times New Roman" w:hAnsi="Times New Roman"/>
          <w:sz w:val="20"/>
          <w:szCs w:val="20"/>
          <w:color w:val="auto"/>
        </w:rPr>
        <w:t>” has the meaning assigned to such term in the P1 Equity Contribution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Facility Budget</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and Money Laundering Laws”</w:t>
      </w:r>
      <w:r>
        <w:rPr>
          <w:rFonts w:ascii="Times New Roman" w:cs="Times New Roman" w:eastAsia="Times New Roman" w:hAnsi="Times New Roman"/>
          <w:sz w:val="20"/>
          <w:szCs w:val="20"/>
          <w:color w:val="auto"/>
        </w:rPr>
        <w:t xml:space="preserve"> means any of the following (a) Section 1 of Executive Order 13224 of September 24, 2001, Blocking Property and Prohibiting Transactions With Persons Who Commit, Threaten to Commit, or Support Terrorism (Title 12, Part 595 of the US Code of Federal Regulations),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USA Patriot Act of 2001 (Pub. L. No. 107-56), (f) the U.S. Money Laundering Control Act of 1986, as amended, (g) the Bank Secrecy Act, 31 U.S.C. sections 5301 et seq., (h) Laundering of Monetary Instruments, 18 U.S.C. section 1956, (i) Engaging in Monetary Transactions in Property Derived from Specified Unlawful Activity, 18 U.S.C. section 1957, (j) the Financial Recordkeeping and Reporting of Currency and Foreign Transactions Regulations (Title 31 Part 103 of the US Code of Federal Regulations), (k) any other similar rule by any Sanctions Authority having the force of law and relating to money laundering, terrorist acts or acts of war, and (l) any regulations promulgated under any of the foregoing.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Prepayment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Owners</w:t>
      </w:r>
      <w:r>
        <w:rPr>
          <w:rFonts w:ascii="Times New Roman" w:cs="Times New Roman" w:eastAsia="Times New Roman" w:hAnsi="Times New Roman"/>
          <w:sz w:val="20"/>
          <w:szCs w:val="20"/>
          <w:color w:val="auto"/>
        </w:rPr>
        <w:t>” means (a) Global Infrastructure Management, LLC, (b) Devonshire Investment Pte. Ltd., (c) MIC TI Holding Company 2 RSC Limited, (d) Global LNG North America Corp., (e) any Qualified Mezzanine Entity, and (f) to the extent satisfying the KYC</w:t>
      </w:r>
    </w:p>
    <w:p>
      <w:pPr>
        <w:sectPr>
          <w:pgSz w:w="11900" w:h="16838" w:orient="portrait"/>
          <w:cols w:equalWidth="0" w:num="1">
            <w:col w:w="11240"/>
          </w:cols>
          <w:pgMar w:left="320" w:top="1409" w:right="339" w:bottom="1440" w:gutter="0" w:footer="0" w:header="0"/>
        </w:sectPr>
      </w:pPr>
    </w:p>
    <w:bookmarkStart w:id="37" w:name="page38"/>
    <w:bookmarkEnd w:id="37"/>
    <w:p>
      <w:pPr>
        <w:ind w:left="100"/>
        <w:spacing w:after="0" w:line="283" w:lineRule="auto"/>
        <w:rPr>
          <w:sz w:val="20"/>
          <w:szCs w:val="20"/>
          <w:color w:val="auto"/>
        </w:rPr>
      </w:pPr>
      <w:r>
        <w:rPr>
          <w:rFonts w:ascii="Times New Roman" w:cs="Times New Roman" w:eastAsia="Times New Roman" w:hAnsi="Times New Roman"/>
          <w:sz w:val="20"/>
          <w:szCs w:val="20"/>
          <w:color w:val="auto"/>
        </w:rPr>
        <w:t>Requirements, any other Person approved by the Trustee acting at the instruction of the Noteholders of a majority in aggregate principal amount of the Notes then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Authentication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Committed Quantity</w:t>
      </w:r>
      <w:r>
        <w:rPr>
          <w:rFonts w:ascii="Times New Roman" w:cs="Times New Roman" w:eastAsia="Times New Roman" w:hAnsi="Times New Roman"/>
          <w:sz w:val="19"/>
          <w:szCs w:val="19"/>
          <w:color w:val="auto"/>
        </w:rPr>
        <w:t xml:space="preserve">” means 844.880 million MMBtu (equivalent to approximately 16.19 MTPA), being the aggregate ACQ under the Initial Offtake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following the full payment of the required amount of Senior Secured Debt (taking into account any amounts offered but not accepted by the Noteholders or other applicable Senior Secured Debt Holders) upon any LNG Sales Mandatory Prepayment Event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xml:space="preserve">, the Base Committed Quantity will be equal to the aggregate ACQ under the Designated Offtake Agreements used to calculate the amount of Senior Secured Debt that the Company is not required to repay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(b) to the extent that any other Offtake Agreement becomes a Designated Offtake Agreement or an existing Designated Offtake Agreement is amended to adjust the quantity of LNG contracted to be sold thereunder, the Base Committed Quantity will be equal to the aggregate ACQ under such Designated Offtake Agreements as at such time, and</w:t>
      </w:r>
    </w:p>
    <w:p>
      <w:pPr>
        <w:spacing w:after="0" w:line="1" w:lineRule="exact"/>
        <w:rPr>
          <w:sz w:val="20"/>
          <w:szCs w:val="20"/>
          <w:color w:val="auto"/>
        </w:rPr>
      </w:pPr>
    </w:p>
    <w:p>
      <w:pPr>
        <w:jc w:val="both"/>
        <w:ind w:left="100" w:hanging="3"/>
        <w:spacing w:after="0" w:line="251" w:lineRule="auto"/>
        <w:tabs>
          <w:tab w:leader="none" w:pos="3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prepayment of Senior Secured Debt (other than any prepayment referenced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Base Committed Quantity will be reduced to the minimum ACQ under the Designated Offtake Agreements in effect at such time that is required to achieve an Indenture Projected DSCR of at least 1.40:1.00 (or, at any time after any prepayment referenced in clause (a), 1.20:1.00) based on the Base Case Forecast updated only to reflect such prepayment.</w:t>
      </w:r>
    </w:p>
    <w:p>
      <w:pPr>
        <w:spacing w:after="0" w:line="159" w:lineRule="exact"/>
        <w:rPr>
          <w:sz w:val="20"/>
          <w:szCs w:val="20"/>
          <w:color w:val="auto"/>
        </w:rPr>
      </w:pPr>
    </w:p>
    <w:p>
      <w:pPr>
        <w:jc w:val="both"/>
        <w:ind w:left="100" w:hanging="9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“beneficially owned” and “beneficial ownership” have a corresponding meaning.</w:t>
      </w:r>
    </w:p>
    <w:p>
      <w:pPr>
        <w:spacing w:after="0" w:line="154" w:lineRule="exact"/>
        <w:rPr>
          <w:sz w:val="20"/>
          <w:szCs w:val="20"/>
          <w:color w:val="auto"/>
        </w:rPr>
      </w:pPr>
    </w:p>
    <w:p>
      <w:pPr>
        <w:ind w:right="740" w:firstLine="19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 (31 C.F.R. § 1010.230).</w:t>
      </w:r>
    </w:p>
    <w:p>
      <w:pPr>
        <w:spacing w:after="0" w:line="16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2024 Senior Notes DSRA</w:t>
      </w:r>
      <w:r>
        <w:rPr>
          <w:rFonts w:ascii="Times New Roman" w:cs="Times New Roman" w:eastAsia="Times New Roman" w:hAnsi="Times New Roman"/>
          <w:sz w:val="20"/>
          <w:szCs w:val="20"/>
          <w:color w:val="auto"/>
        </w:rPr>
        <w:t>” means the account established pursuant to Section 2.3(b) of the P1 Accounts Agreement with respect to the Company’s debt service reserve requirement thereunder.</w:t>
      </w:r>
    </w:p>
    <w:p>
      <w:pPr>
        <w:spacing w:after="0" w:line="138"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Canada Blocked Person</w:t>
      </w:r>
      <w:r>
        <w:rPr>
          <w:rFonts w:ascii="Times New Roman" w:cs="Times New Roman" w:eastAsia="Times New Roman" w:hAnsi="Times New Roman"/>
          <w:sz w:val="20"/>
          <w:szCs w:val="20"/>
          <w:color w:val="auto"/>
        </w:rPr>
        <w:t>” means (i) a “terrorist group” as defined for the purposes of Part II.1 of the Criminal Code (Canada), as amended or (ii) a Person identified in or pursuant to (w) Part II.1 of the Criminal Code (Canada), as amended or (x) the Proceeds of Crime (Money Laundering) and Terrorist Financing Act, as amended or (y) the Justice for Victims of Corrupt Foreign Officials Act (Sergei Magnitsky Law), as amended or (z) regulations or orders promulgated pursuant to the Special Economic Measures Act (Canada), as amended, the United Nations Act (Canada), as amended, or the Freezing Assets of Corrupt Foreign Officials Act (Canada), as amended, in any case pursuant to this clause (ii) as a Person in respect of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960" w:top="1413"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20"/>
          <w:szCs w:val="20"/>
          <w:color w:val="auto"/>
        </w:rPr>
        <w:t>property or benefit a holder of Notes would be prohibited from entering into or facilitating a related financial transaction.</w:t>
      </w: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Order</w:t>
      </w:r>
      <w:r>
        <w:rPr>
          <w:rFonts w:ascii="Times New Roman" w:cs="Times New Roman" w:eastAsia="Times New Roman" w:hAnsi="Times New Roman"/>
          <w:sz w:val="20"/>
          <w:szCs w:val="20"/>
          <w:color w:val="auto"/>
        </w:rPr>
        <w:t>” means, as the context may require, a “Change Order” as defined in the T1/T2 EPC Contract, a “Change Order” as defined in the T3 EPC Contract, or both.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247" w:lineRule="exact"/>
        <w:rPr>
          <w:sz w:val="20"/>
          <w:szCs w:val="20"/>
          <w:color w:val="auto"/>
        </w:rPr>
      </w:pPr>
    </w:p>
    <w:p>
      <w:pPr>
        <w:jc w:val="both"/>
        <w:ind w:left="1280" w:hanging="636"/>
        <w:spacing w:after="0" w:line="248" w:lineRule="auto"/>
        <w:tabs>
          <w:tab w:leader="none" w:pos="12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Project Completion Date, the Sponsor and the Approved Owners collectively fail to directly or indirectly hold legally and beneficially more than 50% of the total voting and economic Equity Interests of the Company and voting Equity Interests of the Pledgor;</w:t>
      </w:r>
    </w:p>
    <w:p>
      <w:pPr>
        <w:spacing w:after="0" w:line="194" w:lineRule="exact"/>
        <w:rPr>
          <w:rFonts w:ascii="Times New Roman" w:cs="Times New Roman" w:eastAsia="Times New Roman" w:hAnsi="Times New Roman"/>
          <w:sz w:val="22"/>
          <w:szCs w:val="22"/>
          <w:color w:val="auto"/>
        </w:rPr>
      </w:pPr>
    </w:p>
    <w:p>
      <w:pPr>
        <w:ind w:left="1280" w:right="20" w:hanging="636"/>
        <w:spacing w:after="0" w:line="259" w:lineRule="auto"/>
        <w:tabs>
          <w:tab w:leader="none" w:pos="127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Project Completion Date, the Sponsor fails to directly or indirectly hold legally and beneficially 15% or more of the voting and economic Equity Interests of the Company;</w:t>
      </w:r>
    </w:p>
    <w:p>
      <w:pPr>
        <w:spacing w:after="0" w:line="180" w:lineRule="exact"/>
        <w:rPr>
          <w:rFonts w:ascii="Times New Roman" w:cs="Times New Roman" w:eastAsia="Times New Roman" w:hAnsi="Times New Roman"/>
          <w:sz w:val="22"/>
          <w:szCs w:val="22"/>
          <w:color w:val="auto"/>
        </w:rPr>
      </w:pPr>
    </w:p>
    <w:p>
      <w:pPr>
        <w:jc w:val="both"/>
        <w:ind w:left="1280" w:hanging="636"/>
        <w:spacing w:after="0" w:line="250" w:lineRule="auto"/>
        <w:tabs>
          <w:tab w:leader="none" w:pos="12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on and after the Project Completion Date, the Sponsor, any Approved Owners, any Qualified Public Company, any Qualified Investment Entity, any Qualified Offtaker Investor, and any Qualified Energy Company collectively fail to directly or indirectly hold legally and beneficially more than 50% of the total voting and economic Equity Interests of the Company; or</w:t>
      </w:r>
    </w:p>
    <w:p>
      <w:pPr>
        <w:spacing w:after="0" w:line="192" w:lineRule="exact"/>
        <w:rPr>
          <w:rFonts w:ascii="Times New Roman" w:cs="Times New Roman" w:eastAsia="Times New Roman" w:hAnsi="Times New Roman"/>
          <w:sz w:val="22"/>
          <w:szCs w:val="22"/>
          <w:color w:val="auto"/>
        </w:rPr>
      </w:pPr>
    </w:p>
    <w:p>
      <w:pPr>
        <w:ind w:left="1280" w:hanging="636"/>
        <w:spacing w:after="0" w:line="259" w:lineRule="auto"/>
        <w:tabs>
          <w:tab w:leader="none" w:pos="127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at any time, the Pledgor fails to hold legally and beneficially 100% of the total voting and economic Equity Interests in the Company;</w:t>
      </w:r>
    </w:p>
    <w:p>
      <w:pPr>
        <w:spacing w:after="0" w:line="15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any Equity Interests of the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the definition of Approved Owners, (w) “Global Infrastructure Management, LLC” means Global Infrastructure Management, LLC, its Related Entities and its Affiliates, where (i) “Affiliates” means (A) any Person that is managed or advised by Global Infrastructure Management, LLC or its Related Entities or (B) any trustee, custodian, or nominee of any fund managed or advised by Global Infrastructure Management, LLC or its Related Entities and (ii) “advised” means being in receipt of an implementing advice in relation to the management of investments of that Person which (other than in relation to actually making decisions to implement such advice) is substantially the same as the services which would be provided by a fund manager of the relevant Person, (x) “Devonshire Investment Pte. Ltd.” means Devonshire Investment Pte. Ltd., its Related Entities and its Affiliates, where “Affiliates” means any Person that is, or is managed or advised by, GIC Private Limited or its Related Entities and (y) “MIC TI Holding Company 2 RSC Limited” means MIC TI Holding Company 2 RSC Limited, its Related Entities and its Affiliates, where “Affiliates” means the government of the Emirate of Abu Dhabi and any Person it Controls, whether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96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Triggering Event</w:t>
      </w:r>
      <w:r>
        <w:rPr>
          <w:rFonts w:ascii="Times New Roman" w:cs="Times New Roman" w:eastAsia="Times New Roman" w:hAnsi="Times New Roman"/>
          <w:sz w:val="20"/>
          <w:szCs w:val="20"/>
          <w:color w:val="auto"/>
        </w:rPr>
        <w:t xml:space="preserve">” means the occurrence of a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Change of Control shall not be deemed to have occurred if the Company shall have received written confirmation that a Rating Reaffirmation shall have occurred.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and the rules and regulations promulgated thereunder from time to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16" w:lineRule="exact"/>
        <w:rPr>
          <w:sz w:val="20"/>
          <w:szCs w:val="20"/>
          <w:color w:val="auto"/>
        </w:rPr>
      </w:pPr>
    </w:p>
    <w:p>
      <w:pPr>
        <w:jc w:val="both"/>
        <w:ind w:left="10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Terms Agreement</w:t>
      </w:r>
      <w:r>
        <w:rPr>
          <w:rFonts w:ascii="Times New Roman" w:cs="Times New Roman" w:eastAsia="Times New Roman" w:hAnsi="Times New Roman"/>
          <w:sz w:val="20"/>
          <w:szCs w:val="20"/>
          <w:color w:val="auto"/>
        </w:rPr>
        <w:t>” means the Common Terms Agreement, dated as of July 12, 2023, by and among the Company, each Senior Secured Debt Holder Representative that is a party thereto and the P1 Intercreditor Agent.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hereto.</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Construction Budget and Schedule</w:t>
      </w:r>
      <w:r>
        <w:rPr>
          <w:rFonts w:ascii="Times New Roman" w:cs="Times New Roman" w:eastAsia="Times New Roman" w:hAnsi="Times New Roman"/>
          <w:sz w:val="20"/>
          <w:szCs w:val="20"/>
          <w:color w:val="auto"/>
        </w:rPr>
        <w:t xml:space="preserve">” means (a) a budget attached as </w:t>
      </w:r>
      <w:r>
        <w:rPr>
          <w:rFonts w:ascii="Times New Roman" w:cs="Times New Roman" w:eastAsia="Times New Roman" w:hAnsi="Times New Roman"/>
          <w:sz w:val="20"/>
          <w:szCs w:val="20"/>
          <w:u w:val="single" w:color="auto"/>
          <w:color w:val="auto"/>
        </w:rPr>
        <w:t>Exhibit O-1</w:t>
      </w:r>
      <w:r>
        <w:rPr>
          <w:rFonts w:ascii="Times New Roman" w:cs="Times New Roman" w:eastAsia="Times New Roman" w:hAnsi="Times New Roman"/>
          <w:sz w:val="20"/>
          <w:szCs w:val="20"/>
          <w:color w:val="auto"/>
        </w:rPr>
        <w:t xml:space="preserve"> to the CD Credit Agreement setting forth, on a monthly basis, the timing and amount of all projected payments of P1 Project Costs through the date on which Substantial Completion under each P1 EPC Contract shall have occurred under each of the P1 EPC Contracts and (b) a schedule attached as </w:t>
      </w:r>
      <w:r>
        <w:rPr>
          <w:rFonts w:ascii="Times New Roman" w:cs="Times New Roman" w:eastAsia="Times New Roman" w:hAnsi="Times New Roman"/>
          <w:sz w:val="20"/>
          <w:szCs w:val="20"/>
          <w:u w:val="single" w:color="auto"/>
          <w:color w:val="auto"/>
        </w:rPr>
        <w:t>Exhibit O-2</w:t>
      </w:r>
      <w:r>
        <w:rPr>
          <w:rFonts w:ascii="Times New Roman" w:cs="Times New Roman" w:eastAsia="Times New Roman" w:hAnsi="Times New Roman"/>
          <w:sz w:val="20"/>
          <w:szCs w:val="20"/>
          <w:color w:val="auto"/>
        </w:rPr>
        <w:t xml:space="preserve"> to the CD Credit Agreement setting forth the proposed engineering, procurement, construction and testing milestone schedule for the Project’s Development through the projected date on which Final Completion shall have occurred under each of the P1 EPC Contracts, which budget and schedule shall (i) be certified by the Company as the best reasonable estimate of the information set forth therein as of the Closing Date, (ii) be consistent with the requirements of the P1 Financing Documents and the Material Project Documents, and (iii) as of the Closing Date, be in form and substance acceptable to the Noteholders in consultation with the Independent Engineer, in each case as may be amended, supplemented or otherwise modified to take into account any Change Orders permitted under the CD Credit Agreement.</w:t>
      </w:r>
    </w:p>
    <w:p>
      <w:pPr>
        <w:spacing w:after="0" w:line="160" w:lineRule="exact"/>
        <w:rPr>
          <w:sz w:val="20"/>
          <w:szCs w:val="20"/>
          <w:color w:val="auto"/>
        </w:rPr>
      </w:pPr>
    </w:p>
    <w:p>
      <w:pPr>
        <w:jc w:val="both"/>
        <w:ind w:left="10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Contracted Revenues</w:t>
      </w:r>
      <w:r>
        <w:rPr>
          <w:rFonts w:ascii="Times New Roman" w:cs="Times New Roman" w:eastAsia="Times New Roman" w:hAnsi="Times New Roman"/>
          <w:sz w:val="20"/>
          <w:szCs w:val="20"/>
          <w:color w:val="auto"/>
        </w:rPr>
        <w:t>” means, for any period, Cash Flow projected to be received by the Company during such period under Qualified Offtake Agreements calculated solely to reflect the price paid if no LNG is lifted under Qualified Offtake Agreements then in effect.</w:t>
      </w:r>
    </w:p>
    <w:p>
      <w:pPr>
        <w:spacing w:after="0" w:line="142"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Subsidiary</w:t>
      </w:r>
      <w:r>
        <w:rPr>
          <w:rFonts w:ascii="Times New Roman" w:cs="Times New Roman" w:eastAsia="Times New Roman" w:hAnsi="Times New Roman"/>
          <w:sz w:val="20"/>
          <w:szCs w:val="20"/>
          <w:color w:val="auto"/>
        </w:rPr>
        <w:t>” means, with respect to any specified Person, a corporation, partnership, joint venture, limited liability company or other Person of which a majority of the Equity Interests of such Person having ordinary voting power or authority for the election or 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spacing w:after="0" w:line="160" w:lineRule="exact"/>
        <w:rPr>
          <w:sz w:val="20"/>
          <w:szCs w:val="20"/>
          <w:color w:val="auto"/>
        </w:rPr>
      </w:pPr>
    </w:p>
    <w:p>
      <w:pPr>
        <w:jc w:val="both"/>
        <w:ind w:left="10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Trust Office of the Trustee</w:t>
      </w:r>
      <w:r>
        <w:rPr>
          <w:rFonts w:ascii="Times New Roman" w:cs="Times New Roman" w:eastAsia="Times New Roman" w:hAnsi="Times New Roman"/>
          <w:sz w:val="20"/>
          <w:szCs w:val="20"/>
          <w:color w:val="auto"/>
        </w:rPr>
        <w:t xml:space="preserve">” will be at the address of the Trustee specified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such other address as to which the Trustee may give notice to the Company and the Noteholders or the designated corporate trust office of any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960" w:top="140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Custodian</w:t>
      </w:r>
      <w:r>
        <w:rPr>
          <w:rFonts w:ascii="Times New Roman" w:cs="Times New Roman" w:eastAsia="Times New Roman" w:hAnsi="Times New Roman"/>
          <w:sz w:val="19"/>
          <w:szCs w:val="19"/>
          <w:color w:val="auto"/>
        </w:rPr>
        <w:t>” means the Trustee, as custodian with respect to the Notes in registered book-entry form, or any successor entity thereto.</w:t>
      </w:r>
    </w:p>
    <w:p>
      <w:pPr>
        <w:spacing w:after="0" w:line="227"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Certain</w:t>
      </w:r>
      <w:r>
        <w:rPr>
          <w:rFonts w:ascii="Times New Roman" w:cs="Times New Roman" w:eastAsia="Times New Roman" w:hAnsi="Times New Roman"/>
          <w:sz w:val="20"/>
          <w:szCs w:val="20"/>
          <w:color w:val="auto"/>
        </w:rPr>
        <w:t>” shall mean, the “Date Certain” as defined under the CD Credit Agreement, as of the date of this Indenture and without giving effect to how that term may be amended, waived, extended or otherwise modified from time to time, pursuant to the terms of the CD Credit Agreement notwithstanding any contrary provision in any P1 Financing Document.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DBRS</w:t>
      </w:r>
      <w:r>
        <w:rPr>
          <w:rFonts w:ascii="Times New Roman" w:cs="Times New Roman" w:eastAsia="Times New Roman" w:hAnsi="Times New Roman"/>
          <w:sz w:val="20"/>
          <w:szCs w:val="20"/>
          <w:color w:val="auto"/>
        </w:rPr>
        <w:t>” means Morningstar DBRS or any successor thereto.</w:t>
      </w:r>
    </w:p>
    <w:p>
      <w:pPr>
        <w:spacing w:after="0" w:line="202" w:lineRule="exact"/>
        <w:rPr>
          <w:sz w:val="20"/>
          <w:szCs w:val="20"/>
          <w:color w:val="auto"/>
        </w:rPr>
      </w:pPr>
    </w:p>
    <w:p>
      <w:pPr>
        <w:jc w:val="right"/>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Fund Affiliate</w:t>
      </w:r>
      <w:r>
        <w:rPr>
          <w:rFonts w:ascii="Times New Roman" w:cs="Times New Roman" w:eastAsia="Times New Roman" w:hAnsi="Times New Roman"/>
          <w:sz w:val="19"/>
          <w:szCs w:val="19"/>
          <w:color w:val="auto"/>
        </w:rPr>
        <w:t xml:space="preserve">” means any Affiliate of the Company or any if its subsidiaries that is, in each case,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debt fund or an investment vehicle that is engaged in the making, purchasing, holding or otherwise investing in commercial loans, bonds and similar extensions of credit in the ordinary course, is not organized for the purpose of making equity investments, and with respect to which</w:t>
      </w:r>
    </w:p>
    <w:p>
      <w:pPr>
        <w:jc w:val="both"/>
        <w:ind w:left="100" w:hanging="3"/>
        <w:spacing w:after="0" w:line="250" w:lineRule="auto"/>
        <w:tabs>
          <w:tab w:leader="none" w:pos="38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Debt Fund Affiliate has in place customary information barriers between it and the applicable Equity Owner and any Affiliate of the applicable Equity Owner that is not primarily engaged in the investing activities described above, (b) its managers have fiduciary duties to the investors thereof independent of and in addition to their duties to the applicable Equity Owner and any Affiliate of the applicable Equity Owner, and (c) the Equity Owners and investment vehicles managed or advised by any Equity Owner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63"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to Equity Ratio</w:t>
      </w:r>
      <w:r>
        <w:rPr>
          <w:rFonts w:ascii="Times New Roman" w:cs="Times New Roman" w:eastAsia="Times New Roman" w:hAnsi="Times New Roman"/>
          <w:sz w:val="20"/>
          <w:szCs w:val="20"/>
          <w:color w:val="auto"/>
        </w:rPr>
        <w:t>” means, as of any date of determination, the ratio of (a) the aggregate principal amount of all Senior Secured Debt (other than the principal of Working Capital Debt) at such time outstanding to (b) the sum of Aggregate Funded Equity and Voluntary Equity Contributions, in each case, made on or prior to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ind w:left="10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(i) any CTA Default and (ii) any other event or condition which, with the giving of notice, lapse of time or upon a declaration or determination being made (or any combination thereof), would become an Event of Default.</w:t>
      </w:r>
    </w:p>
    <w:p>
      <w:pPr>
        <w:spacing w:after="0" w:line="152" w:lineRule="exact"/>
        <w:rPr>
          <w:sz w:val="20"/>
          <w:szCs w:val="20"/>
          <w:color w:val="auto"/>
        </w:rPr>
      </w:pPr>
    </w:p>
    <w:p>
      <w:pPr>
        <w:jc w:val="both"/>
        <w:ind w:left="10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Definitive Note</w:t>
      </w:r>
      <w:r>
        <w:rPr>
          <w:rFonts w:ascii="Times New Roman" w:cs="Times New Roman" w:eastAsia="Times New Roman" w:hAnsi="Times New Roman"/>
          <w:sz w:val="20"/>
          <w:szCs w:val="20"/>
          <w:color w:val="auto"/>
        </w:rPr>
        <w:t xml:space="preserve">” means a certificated Note registered in the name of the Noteholder, issued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in the case of Initial Notes,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Delivered</w:t>
      </w:r>
      <w:r>
        <w:rPr>
          <w:rFonts w:ascii="Times New Roman" w:cs="Times New Roman" w:eastAsia="Times New Roman" w:hAnsi="Times New Roman"/>
          <w:sz w:val="20"/>
          <w:szCs w:val="20"/>
          <w:color w:val="auto"/>
        </w:rPr>
        <w:t>” refers to quantities of LNG sold “cost, insurance and freight,” “cost and freight,” “delivered ex ship,” “delivered at terminal,” or otherwise where the Company is responsible for the transportation of LNG to a delivery point other than at the Rio Grande Facility under the terms of the relevant Offtake Agreement.</w:t>
      </w:r>
    </w:p>
    <w:p>
      <w:pPr>
        <w:spacing w:after="0" w:line="148"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means (a) any person set forth by the Company on Annex B as of the date hereof, as updated from time to time by the Company by three Business Days’ prior written notice to the Trustee to add any competitor of any Loan Party, Global Infrastructure Management, LLC, TotalEnergies SE, and their respective subsidiaries, and such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960" w:top="1409" w:right="339" w:bottom="1440" w:gutter="0" w:footer="0" w:header="0"/>
        </w:sectPr>
      </w:pPr>
    </w:p>
    <w:bookmarkStart w:id="41" w:name="page42"/>
    <w:bookmarkEnd w:id="41"/>
    <w:p>
      <w:pPr>
        <w:jc w:val="both"/>
        <w:ind w:left="100"/>
        <w:spacing w:after="0" w:line="251" w:lineRule="auto"/>
        <w:rPr>
          <w:sz w:val="20"/>
          <w:szCs w:val="20"/>
          <w:color w:val="auto"/>
        </w:rPr>
      </w:pPr>
      <w:r>
        <w:rPr>
          <w:rFonts w:ascii="Times New Roman" w:cs="Times New Roman" w:eastAsia="Times New Roman" w:hAnsi="Times New Roman"/>
          <w:sz w:val="20"/>
          <w:szCs w:val="20"/>
          <w:color w:val="auto"/>
        </w:rPr>
        <w:t>Affiliates or (b) any clearly identifiable (solely on the basis of its name or as identified by the Company to the Trustee) Affiliate of the entities described in clause (a); provided, that “Disqualified Institution” shall not include in each case a Disqualified Institution Debt Fund Affiliate of any entity not listed under the heading “Group A” in Annex B hereto; provided, further, that the Company shall neither add more than two additional entity names in any calendar year to “Group A” under Annex B following the date hereof nor increase the total number of entity names under Annex B by more than an aggregate number of 10 entities relative to the number of entities listed thereon on the Closing Date (it being understood that nothing herein shall prevent or restrict the Company from removing entity names from Annex B at any time); provided, further, that any designation as a “Disqualified Institution” shall not apply retroactively to any then current Noteholder.</w:t>
      </w:r>
    </w:p>
    <w:p>
      <w:pPr>
        <w:spacing w:after="0" w:line="164" w:lineRule="exact"/>
        <w:rPr>
          <w:sz w:val="20"/>
          <w:szCs w:val="20"/>
          <w:color w:val="auto"/>
        </w:rPr>
      </w:pPr>
    </w:p>
    <w:p>
      <w:pPr>
        <w:jc w:val="both"/>
        <w:ind w:left="10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 Debt Fund Affiliate</w:t>
      </w:r>
      <w:r>
        <w:rPr>
          <w:rFonts w:ascii="Times New Roman" w:cs="Times New Roman" w:eastAsia="Times New Roman" w:hAnsi="Times New Roman"/>
          <w:sz w:val="20"/>
          <w:szCs w:val="20"/>
          <w:color w:val="auto"/>
        </w:rPr>
        <w:t>” means a bona fide debt fund or an investment vehicle that is engaged in the making, purchasing, holding or otherwise investing in commercial loans, bonds and similar extensions of credit in the ordinary course, is not organized for the purpose of making equity investments, and with respect to which (a) any such Disqualified Institution Debt Fund Affiliate has in place customary information barriers between it and the applicable Disqualified Institution and any Affiliate of the applicable Disqualified Institution that is not primarily engaged in the investing activities described above, (b) its managers have fiduciary duties to the investors thereof independent of and in addition to their duties to the applicable Disqualified Institution and any Affiliate of the applicable Disqualified Institution, and (c) the Disqualified Institution and investment vehicles managed or advised by such Disqualified Institution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64" w:lineRule="exact"/>
        <w:rPr>
          <w:sz w:val="20"/>
          <w:szCs w:val="20"/>
          <w:color w:val="auto"/>
        </w:rPr>
      </w:pPr>
    </w:p>
    <w:p>
      <w:pPr>
        <w:jc w:val="both"/>
        <w:ind w:left="10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 Export Authorizations</w:t>
      </w:r>
      <w:r>
        <w:rPr>
          <w:rFonts w:ascii="Times New Roman" w:cs="Times New Roman" w:eastAsia="Times New Roman" w:hAnsi="Times New Roman"/>
          <w:sz w:val="20"/>
          <w:szCs w:val="20"/>
          <w:color w:val="auto"/>
        </w:rPr>
        <w:t>” means (a) the Order Granting Long-Term Multi-Contract Authorization to Export LNG to Free Trade Agreement Nations issued by DOE/FE in FE Docket No. 15-190-LNG in its Order No. 3869 on August 17, 2016, and (b) the Opinion and Order Granting Long-Term Multi-Contract Authorization to Export LNG to Non-Free Trade Agreement Nations issued by DOE/FE in FE Docket No. 15-190-LNG in its Order No. 4492 on February 10, 2020, as amended to extend the term in DOE/FE Order No. 4492-A issued on October 21, 2020.</w:t>
      </w:r>
    </w:p>
    <w:p>
      <w:pPr>
        <w:spacing w:after="0" w:line="174" w:lineRule="exact"/>
        <w:rPr>
          <w:sz w:val="20"/>
          <w:szCs w:val="20"/>
          <w:color w:val="auto"/>
        </w:rPr>
      </w:pPr>
    </w:p>
    <w:p>
      <w:pPr>
        <w:jc w:val="both"/>
        <w:ind w:left="10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DOE/FE</w:t>
      </w:r>
      <w:r>
        <w:rPr>
          <w:rFonts w:ascii="Times New Roman" w:cs="Times New Roman" w:eastAsia="Times New Roman" w:hAnsi="Times New Roman"/>
          <w:sz w:val="20"/>
          <w:szCs w:val="20"/>
          <w:color w:val="auto"/>
        </w:rPr>
        <w:t>” means the U.S. Department of Energy, Office of Fossil Energy or, as subsequently renamed, Office of Fossil Energy and Carbon Management.</w:t>
      </w:r>
    </w:p>
    <w:p>
      <w:pPr>
        <w:spacing w:after="0" w:line="138" w:lineRule="exact"/>
        <w:rPr>
          <w:sz w:val="20"/>
          <w:szCs w:val="20"/>
          <w:color w:val="auto"/>
        </w:rPr>
      </w:pPr>
    </w:p>
    <w:p>
      <w:pPr>
        <w:jc w:val="both"/>
        <w:ind w:left="10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and Social Action Plan</w:t>
      </w:r>
      <w:r>
        <w:rPr>
          <w:rFonts w:ascii="Times New Roman" w:cs="Times New Roman" w:eastAsia="Times New Roman" w:hAnsi="Times New Roman"/>
          <w:sz w:val="20"/>
          <w:szCs w:val="20"/>
          <w:color w:val="auto"/>
        </w:rPr>
        <w:t>” means the Environmental and Social Action Plan attached to the report of the Environmental Advisor delivered pursuant to this Indenture, together with any updates thereto as may be made from time to time by the Company as required or permitted under the P1 Financing Documents.</w:t>
      </w:r>
    </w:p>
    <w:p>
      <w:pPr>
        <w:spacing w:after="0" w:line="142" w:lineRule="exact"/>
        <w:rPr>
          <w:sz w:val="20"/>
          <w:szCs w:val="20"/>
          <w:color w:val="auto"/>
        </w:rPr>
      </w:pPr>
    </w:p>
    <w:p>
      <w:pPr>
        <w:jc w:val="both"/>
        <w:ind w:left="100" w:firstLine="323"/>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Equator Principles</w:t>
      </w:r>
      <w:r>
        <w:rPr>
          <w:rFonts w:ascii="Times New Roman" w:cs="Times New Roman" w:eastAsia="Times New Roman" w:hAnsi="Times New Roman"/>
          <w:sz w:val="20"/>
          <w:szCs w:val="20"/>
          <w:color w:val="auto"/>
        </w:rPr>
        <w:t>” means the principles named “The Equator Principles EP4 – A financial industry benchmark for determining, assessing and managing environmental and social risk in projects” adopted by various financial institutions in the form dated July 2020 that became effective on October 1, 2020.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00"/>
          </w:cols>
          <w:pgMar w:left="960" w:top="1413" w:right="339" w:bottom="1440" w:gutter="0" w:footer="0" w:header="0"/>
        </w:sectPr>
      </w:pPr>
    </w:p>
    <w:bookmarkStart w:id="42" w:name="page43"/>
    <w:bookmarkEnd w:id="42"/>
    <w:p>
      <w:pPr>
        <w:spacing w:after="0" w:line="212" w:lineRule="exact"/>
        <w:rPr>
          <w:sz w:val="20"/>
          <w:szCs w:val="20"/>
          <w:color w:val="auto"/>
        </w:rPr>
      </w:pPr>
    </w:p>
    <w:p>
      <w:pPr>
        <w:jc w:val="both"/>
        <w:ind w:left="10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corporation or trade or business which is a member of any group of organizations: (a) described in Section 414(b) or Section 414(c) of the Code of which the Company is a member and (b) solely for purposes of potential liability under Section 302(b) of ERISA and Section 412(b) of the Code and the lien created under Section 303(k) of ERISA and Section 430(k) of the Code, described in Section 414(m) or Section 414(o) of the Code of which the Company is a member.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left="1280" w:hanging="636"/>
        <w:spacing w:after="0" w:line="248" w:lineRule="auto"/>
        <w:tabs>
          <w:tab w:leader="none" w:pos="12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“reportable event”, as defined in Section 4043 of ERISA or the regulations issued thereunder with respect to a Plan, other than events for which the 30-day notice period has been waived by current regulation under PBGC Regulation Subsections .27, .28, .29 or .31;</w:t>
      </w:r>
    </w:p>
    <w:p>
      <w:pPr>
        <w:spacing w:after="0" w:line="208" w:lineRule="exact"/>
        <w:rPr>
          <w:rFonts w:ascii="Times New Roman" w:cs="Times New Roman" w:eastAsia="Times New Roman" w:hAnsi="Times New Roman"/>
          <w:sz w:val="22"/>
          <w:szCs w:val="22"/>
          <w:color w:val="auto"/>
        </w:rPr>
      </w:pPr>
    </w:p>
    <w:p>
      <w:pPr>
        <w:ind w:left="1280" w:right="20" w:hanging="636"/>
        <w:spacing w:after="0" w:line="245" w:lineRule="auto"/>
        <w:tabs>
          <w:tab w:leader="none" w:pos="12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failure with respect to any Plan to meet the minimum funding requirements of Section 412 or Section 430 of the Code or Section 302 or Section 303 of ERISA, whether or not waived;</w:t>
      </w:r>
    </w:p>
    <w:p>
      <w:pPr>
        <w:spacing w:after="0" w:line="208" w:lineRule="exact"/>
        <w:rPr>
          <w:rFonts w:ascii="Times New Roman" w:cs="Times New Roman" w:eastAsia="Times New Roman" w:hAnsi="Times New Roman"/>
          <w:sz w:val="22"/>
          <w:szCs w:val="22"/>
          <w:color w:val="auto"/>
        </w:rPr>
      </w:pPr>
    </w:p>
    <w:p>
      <w:pPr>
        <w:ind w:left="1280" w:hanging="636"/>
        <w:spacing w:after="0" w:line="245" w:lineRule="auto"/>
        <w:tabs>
          <w:tab w:leader="none" w:pos="12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filing pursuant to Section 412(c) of the Code or Section 303 of ERISA of an application for a waiver of the minimum funding standard with respect to any Plan;</w:t>
      </w:r>
    </w:p>
    <w:p>
      <w:pPr>
        <w:spacing w:after="0" w:line="195" w:lineRule="exact"/>
        <w:rPr>
          <w:rFonts w:ascii="Times New Roman" w:cs="Times New Roman" w:eastAsia="Times New Roman" w:hAnsi="Times New Roman"/>
          <w:sz w:val="22"/>
          <w:szCs w:val="22"/>
          <w:color w:val="auto"/>
        </w:rPr>
      </w:pPr>
    </w:p>
    <w:p>
      <w:pPr>
        <w:ind w:left="1280" w:hanging="636"/>
        <w:spacing w:after="0" w:line="259" w:lineRule="auto"/>
        <w:tabs>
          <w:tab w:leader="none" w:pos="12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incurrence by the Company or any of its ERISA Affiliates of any liability under Title IV of ERISA with respect to the termination of any Plan;</w:t>
      </w:r>
    </w:p>
    <w:p>
      <w:pPr>
        <w:spacing w:after="0" w:line="180" w:lineRule="exact"/>
        <w:rPr>
          <w:rFonts w:ascii="Times New Roman" w:cs="Times New Roman" w:eastAsia="Times New Roman" w:hAnsi="Times New Roman"/>
          <w:sz w:val="22"/>
          <w:szCs w:val="22"/>
          <w:color w:val="auto"/>
        </w:rPr>
      </w:pPr>
    </w:p>
    <w:p>
      <w:pPr>
        <w:ind w:left="1280" w:hanging="636"/>
        <w:spacing w:after="0" w:line="259" w:lineRule="auto"/>
        <w:tabs>
          <w:tab w:leader="none" w:pos="12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filing of notice of intent to terminate a Plan or the treatment of a Plan amendment as a termination under Section 4041 of ERISA;</w:t>
      </w:r>
    </w:p>
    <w:p>
      <w:pPr>
        <w:spacing w:after="0" w:line="18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institution of proceedings to terminate a Plan by PBGC or to appoint a trustee to administer any Plan;</w:t>
      </w:r>
    </w:p>
    <w:p>
      <w:pPr>
        <w:spacing w:after="0" w:line="206" w:lineRule="exact"/>
        <w:rPr>
          <w:rFonts w:ascii="Times New Roman" w:cs="Times New Roman" w:eastAsia="Times New Roman" w:hAnsi="Times New Roman"/>
          <w:sz w:val="22"/>
          <w:szCs w:val="22"/>
          <w:color w:val="auto"/>
        </w:rPr>
      </w:pPr>
    </w:p>
    <w:p>
      <w:pPr>
        <w:jc w:val="both"/>
        <w:ind w:left="1280" w:hanging="636"/>
        <w:spacing w:after="0" w:line="250" w:lineRule="auto"/>
        <w:tabs>
          <w:tab w:leader="none" w:pos="12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withdrawal by the Company or any of its ERISA Affiliates from a multiple employer plan (within the meaning of Section 4064 of ERISA) during a plan year in which it was a “substantial employer”, as such term is defined under Section 4064 of ERISA, upon the termination of a Multiemployer Plan or the cessation of operations under a Plan pursuant to Section 4062(e) of ERISA;</w:t>
      </w:r>
    </w:p>
    <w:p>
      <w:pPr>
        <w:spacing w:after="0" w:line="192" w:lineRule="exact"/>
        <w:rPr>
          <w:rFonts w:ascii="Times New Roman" w:cs="Times New Roman" w:eastAsia="Times New Roman" w:hAnsi="Times New Roman"/>
          <w:sz w:val="22"/>
          <w:szCs w:val="22"/>
          <w:color w:val="auto"/>
        </w:rPr>
      </w:pPr>
    </w:p>
    <w:p>
      <w:pPr>
        <w:ind w:left="1280" w:hanging="636"/>
        <w:spacing w:after="0" w:line="259" w:lineRule="auto"/>
        <w:tabs>
          <w:tab w:leader="none" w:pos="12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incurrence by the Company or any of its ERISA Affiliates of any liability with respect to the withdrawal or partial withdrawal from any Multiemployer Plan;</w:t>
      </w:r>
    </w:p>
    <w:p>
      <w:pPr>
        <w:spacing w:after="0" w:line="18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attainment of any Plan of “at risk” status within the meaning of Section 430 of the Code or Section 303 of</w:t>
      </w:r>
    </w:p>
    <w:p>
      <w:pPr>
        <w:spacing w:after="0" w:line="11" w:lineRule="exact"/>
        <w:rPr>
          <w:rFonts w:ascii="Times New Roman" w:cs="Times New Roman" w:eastAsia="Times New Roman" w:hAnsi="Times New Roman"/>
          <w:sz w:val="22"/>
          <w:szCs w:val="22"/>
          <w:color w:val="auto"/>
        </w:rPr>
      </w:pPr>
    </w:p>
    <w:p>
      <w:pPr>
        <w:ind w:left="1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ERISA;</w:t>
      </w:r>
    </w:p>
    <w:p>
      <w:pPr>
        <w:spacing w:after="0" w:line="207" w:lineRule="exact"/>
        <w:rPr>
          <w:rFonts w:ascii="Times New Roman" w:cs="Times New Roman" w:eastAsia="Times New Roman" w:hAnsi="Times New Roman"/>
          <w:sz w:val="22"/>
          <w:szCs w:val="22"/>
          <w:color w:val="auto"/>
        </w:rPr>
      </w:pPr>
    </w:p>
    <w:p>
      <w:pPr>
        <w:jc w:val="both"/>
        <w:ind w:left="1280" w:hanging="636"/>
        <w:spacing w:after="0" w:line="248" w:lineRule="auto"/>
        <w:tabs>
          <w:tab w:leader="none" w:pos="127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receipt by the Company or any ERISA Affiliate of any notice, or the receipt by any Multiemployer Plan from the Company or any ERISA Affiliate of any notice, concerning the imposition of Withdrawal Liability or a determination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960" w:top="1440" w:right="339" w:bottom="1440" w:gutter="0" w:footer="0" w:header="0"/>
        </w:sectPr>
      </w:pPr>
    </w:p>
    <w:bookmarkStart w:id="43" w:name="page44"/>
    <w:bookmarkEnd w:id="43"/>
    <w:p>
      <w:pPr>
        <w:ind w:left="1280"/>
        <w:spacing w:after="0" w:line="283" w:lineRule="auto"/>
        <w:rPr>
          <w:sz w:val="20"/>
          <w:szCs w:val="20"/>
          <w:color w:val="auto"/>
        </w:rPr>
      </w:pPr>
      <w:r>
        <w:rPr>
          <w:rFonts w:ascii="Times New Roman" w:cs="Times New Roman" w:eastAsia="Times New Roman" w:hAnsi="Times New Roman"/>
          <w:sz w:val="20"/>
          <w:szCs w:val="20"/>
          <w:color w:val="auto"/>
        </w:rPr>
        <w:t>a Multiemployer Plan is, or is expected to be, insolvent or in critical, endangered or critical and declining status, within the meaning of the Code or Title IV of ERISA;</w:t>
      </w:r>
    </w:p>
    <w:p>
      <w:pPr>
        <w:spacing w:after="0" w:line="160" w:lineRule="exact"/>
        <w:rPr>
          <w:sz w:val="20"/>
          <w:szCs w:val="20"/>
          <w:color w:val="auto"/>
        </w:rPr>
      </w:pPr>
    </w:p>
    <w:p>
      <w:pPr>
        <w:ind w:left="1280" w:hanging="636"/>
        <w:spacing w:after="0" w:line="245" w:lineRule="auto"/>
        <w:tabs>
          <w:tab w:leader="none" w:pos="127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failure of the Company or any ERISA Affiliate to pay when due any amount that has become liable to the PBGC, any Plan or trust established thereunder pursuant to Title IV of ERISA or the Code;</w:t>
      </w:r>
    </w:p>
    <w:p>
      <w:pPr>
        <w:spacing w:after="0" w:line="208" w:lineRule="exact"/>
        <w:rPr>
          <w:rFonts w:ascii="Times New Roman" w:cs="Times New Roman" w:eastAsia="Times New Roman" w:hAnsi="Times New Roman"/>
          <w:sz w:val="22"/>
          <w:szCs w:val="22"/>
          <w:color w:val="auto"/>
        </w:rPr>
      </w:pPr>
    </w:p>
    <w:p>
      <w:pPr>
        <w:ind w:left="1280" w:right="20" w:hanging="636"/>
        <w:spacing w:after="0" w:line="245" w:lineRule="auto"/>
        <w:tabs>
          <w:tab w:leader="none" w:pos="127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adoption of an amendment to a Plan requiring the provision of security to such Plan pursuant to Section 436(f) of the Code;</w:t>
      </w:r>
    </w:p>
    <w:p>
      <w:pPr>
        <w:spacing w:after="0" w:line="208" w:lineRule="exact"/>
        <w:rPr>
          <w:rFonts w:ascii="Times New Roman" w:cs="Times New Roman" w:eastAsia="Times New Roman" w:hAnsi="Times New Roman"/>
          <w:sz w:val="22"/>
          <w:szCs w:val="22"/>
          <w:color w:val="auto"/>
        </w:rPr>
      </w:pPr>
    </w:p>
    <w:p>
      <w:pPr>
        <w:jc w:val="both"/>
        <w:ind w:left="1280" w:hanging="636"/>
        <w:spacing w:after="0" w:line="248" w:lineRule="auto"/>
        <w:tabs>
          <w:tab w:leader="none" w:pos="127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or any of its Controlled Subsidiaries engages in a “prohibited transaction” within the meaning of Section 4975 of the Code or Section 406 of ERISA that is not otherwise exempt by statute, regulation or administrative pronouncement; or</w:t>
      </w:r>
    </w:p>
    <w:p>
      <w:pPr>
        <w:spacing w:after="0" w:line="194"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imposition of a lien under ERISA or the Code with respect to any Plan or Multiemployer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Loss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Asset Sale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 Independent Engineer</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Completion</w:t>
      </w:r>
      <w:r>
        <w:rPr>
          <w:rFonts w:ascii="Times New Roman" w:cs="Times New Roman" w:eastAsia="Times New Roman" w:hAnsi="Times New Roman"/>
          <w:sz w:val="20"/>
          <w:szCs w:val="20"/>
          <w:color w:val="auto"/>
        </w:rPr>
        <w:t>” means, as the context may require, a “Final Completion” as defined in the T1/T2 EPC Contract, a “Final Completion” as defined in the T3 EPC Contract, or both.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Noteholder</w:t>
      </w:r>
      <w:r>
        <w:rPr>
          <w:rFonts w:ascii="Times New Roman" w:cs="Times New Roman" w:eastAsia="Times New Roman" w:hAnsi="Times New Roman"/>
          <w:sz w:val="20"/>
          <w:szCs w:val="20"/>
          <w:color w:val="auto"/>
        </w:rPr>
        <w:t>” means a Noteholder that is not a U.S. Noteholder.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Shortfall Debt</w:t>
      </w:r>
      <w:r>
        <w:rPr>
          <w:rFonts w:ascii="Times New Roman" w:cs="Times New Roman" w:eastAsia="Times New Roman" w:hAnsi="Times New Roman"/>
          <w:sz w:val="20"/>
          <w:szCs w:val="20"/>
          <w:color w:val="auto"/>
        </w:rPr>
        <w:t>” means Supplemental Debt that satisfies:</w:t>
      </w:r>
    </w:p>
    <w:p>
      <w:pPr>
        <w:spacing w:after="0" w:line="229" w:lineRule="exact"/>
        <w:rPr>
          <w:sz w:val="20"/>
          <w:szCs w:val="20"/>
          <w:color w:val="auto"/>
        </w:rPr>
      </w:pPr>
    </w:p>
    <w:p>
      <w:pPr>
        <w:ind w:left="1380" w:hanging="635"/>
        <w:spacing w:after="0"/>
        <w:tabs>
          <w:tab w:leader="none" w:pos="13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conditions set forth in Section 2.6 (</w:t>
      </w:r>
      <w:r>
        <w:rPr>
          <w:rFonts w:ascii="Times New Roman" w:cs="Times New Roman" w:eastAsia="Times New Roman" w:hAnsi="Times New Roman"/>
          <w:sz w:val="20"/>
          <w:szCs w:val="20"/>
          <w:i w:val="1"/>
          <w:iCs w:val="1"/>
          <w:color w:val="auto"/>
        </w:rPr>
        <w:t>Supplemental Debt</w:t>
      </w:r>
      <w:r>
        <w:rPr>
          <w:rFonts w:ascii="Times New Roman" w:cs="Times New Roman" w:eastAsia="Times New Roman" w:hAnsi="Times New Roman"/>
          <w:sz w:val="20"/>
          <w:szCs w:val="20"/>
          <w:color w:val="auto"/>
        </w:rPr>
        <w:t>) of the Common Terms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4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960" w:top="1413" w:right="339" w:bottom="1440" w:gutter="0" w:footer="0" w:header="0"/>
        </w:sectPr>
      </w:pPr>
    </w:p>
    <w:bookmarkStart w:id="44" w:name="page45"/>
    <w:bookmarkEnd w:id="44"/>
    <w:p>
      <w:pPr>
        <w:ind w:left="1380" w:hanging="635"/>
        <w:spacing w:after="0"/>
        <w:tabs>
          <w:tab w:leader="none" w:pos="1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206" w:lineRule="exact"/>
        <w:rPr>
          <w:rFonts w:ascii="Times New Roman" w:cs="Times New Roman" w:eastAsia="Times New Roman" w:hAnsi="Times New Roman"/>
          <w:sz w:val="22"/>
          <w:szCs w:val="22"/>
          <w:color w:val="auto"/>
        </w:rPr>
      </w:pPr>
    </w:p>
    <w:p>
      <w:pPr>
        <w:ind w:left="1380" w:hanging="635"/>
        <w:spacing w:after="0"/>
        <w:tabs>
          <w:tab w:leader="none" w:pos="1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conditions:</w:t>
      </w:r>
    </w:p>
    <w:p>
      <w:pPr>
        <w:spacing w:after="0" w:line="219" w:lineRule="exact"/>
        <w:rPr>
          <w:rFonts w:ascii="Times New Roman" w:cs="Times New Roman" w:eastAsia="Times New Roman" w:hAnsi="Times New Roman"/>
          <w:sz w:val="22"/>
          <w:szCs w:val="22"/>
          <w:color w:val="auto"/>
        </w:rPr>
      </w:pPr>
    </w:p>
    <w:p>
      <w:pPr>
        <w:jc w:val="both"/>
        <w:ind w:left="2120" w:hanging="646"/>
        <w:spacing w:after="0" w:line="259" w:lineRule="auto"/>
        <w:tabs>
          <w:tab w:leader="none" w:pos="210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principal amount of such Funding Shortfall Debt does not exceed: (A) (1) if incurred prior to the Project Completion Date or the completion date of the Permitted Capital Improvement (as applicable), an amount equal to 75% of the aggregate amount of P1 Project Costs, or the costs of such Permitted Capital Improvement (as applicable) and (2) if incurred on or after the Project Completion Date or the completion date of the applicable Capital Improvement (as applicable), (x) in the case of Funding Shortfall Debt incurred to finance P1 Project Costs, an amount that, together with all funded or unfunded commitments under the CD Construction/Term Loans, the TCF Senior Loans, the Notes, any Supplemental Debt incurred to fund such P1 Project Costs, any Replacement Debt incurred to replace such funded or unfunded commitments, and any other Funding Shortfall Debt to finance P1 Project Costs, does not exceed 75% of aggregate P1 Project Costs as at the Project Completion Date or (y) in the case of Funding Shortfall Debt incurred to finance Permitted Capital Improvements, an amount that, together with all Senior Secured Debt incurred to finance such Permitted Capital Improvement, does not exceed 75% of aggregate costs in respect of such Permitted Capital Improvement as at the completion of such Permitted Capital Improvement,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all premiums, fees, costs, expenses, and reserves (including any incremental increase in the DSRA Reserve Amounts resulting from the incurrence of such Funding Shortfall Debt) associated with arranging, issuing and incurring such Funding Shortfall Debt </w:t>
      </w:r>
      <w:r>
        <w:rPr>
          <w:rFonts w:ascii="Times New Roman" w:cs="Times New Roman" w:eastAsia="Times New Roman" w:hAnsi="Times New Roman"/>
          <w:sz w:val="19"/>
          <w:szCs w:val="19"/>
          <w:i w:val="1"/>
          <w:iCs w:val="1"/>
          <w:color w:val="auto"/>
        </w:rPr>
        <w:t>plus</w:t>
      </w:r>
    </w:p>
    <w:p>
      <w:pPr>
        <w:spacing w:after="0" w:line="11" w:lineRule="exact"/>
        <w:rPr>
          <w:rFonts w:ascii="Times New Roman" w:cs="Times New Roman" w:eastAsia="Times New Roman" w:hAnsi="Times New Roman"/>
          <w:sz w:val="21"/>
          <w:szCs w:val="21"/>
          <w:color w:val="auto"/>
        </w:rPr>
      </w:pPr>
    </w:p>
    <w:p>
      <w:pPr>
        <w:jc w:val="both"/>
        <w:ind w:left="212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 105% of the P1 IR Hedge Termination Amounts reasonably projected as of such date of incurrence to be due and payable by the Company with respect to any portion of one or more Senior Secured IR Hedge Agreement to be terminated in connection with any such incurrence;</w:t>
      </w:r>
    </w:p>
    <w:p>
      <w:pPr>
        <w:spacing w:after="0" w:line="188" w:lineRule="exact"/>
        <w:rPr>
          <w:rFonts w:ascii="Times New Roman" w:cs="Times New Roman" w:eastAsia="Times New Roman" w:hAnsi="Times New Roman"/>
          <w:sz w:val="21"/>
          <w:szCs w:val="21"/>
          <w:color w:val="auto"/>
        </w:rPr>
      </w:pPr>
    </w:p>
    <w:p>
      <w:pPr>
        <w:ind w:left="2120" w:hanging="646"/>
        <w:spacing w:after="0" w:line="259" w:lineRule="auto"/>
        <w:tabs>
          <w:tab w:leader="none" w:pos="211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Funding Shortfall Debt is incurred prior to the second anniversary of the Project Completion Date or the completion date of such Permitted Capital Improvement (as applicable); and</w:t>
      </w:r>
    </w:p>
    <w:p>
      <w:pPr>
        <w:spacing w:after="0" w:line="180" w:lineRule="exact"/>
        <w:rPr>
          <w:rFonts w:ascii="Times New Roman" w:cs="Times New Roman" w:eastAsia="Times New Roman" w:hAnsi="Times New Roman"/>
          <w:sz w:val="22"/>
          <w:szCs w:val="22"/>
          <w:color w:val="auto"/>
        </w:rPr>
      </w:pPr>
    </w:p>
    <w:p>
      <w:pPr>
        <w:jc w:val="both"/>
        <w:ind w:left="2120" w:hanging="646"/>
        <w:spacing w:after="0" w:line="248" w:lineRule="auto"/>
        <w:tabs>
          <w:tab w:leader="none" w:pos="21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simultaneously with the incurrence of any Funding Shortfall Debt, the Company shall use a portion of the proceeds of such Funding Shortfall Debt to fund any reserves (including any incremental increase in the DSRA Reserve Amounts) resulting from the incurrence of such Funding Shortfall Debt.</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any subsidiary of the Company which provides a Note Guarantee pursuant to or in accordance with this Indenture and its successors and assigns, in each case, until the Note Guarantee of such Person has been released in accordance with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0"/>
          </w:cols>
          <w:pgMar w:left="960" w:top="1440" w:right="339" w:bottom="1440" w:gutter="0" w:footer="0" w:header="0"/>
        </w:sectPr>
      </w:pPr>
    </w:p>
    <w:bookmarkStart w:id="45" w:name="page46"/>
    <w:bookmarkEnd w:id="45"/>
    <w:p>
      <w:pPr>
        <w:jc w:val="both"/>
        <w:ind w:left="10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Securities</w:t>
      </w:r>
      <w:r>
        <w:rPr>
          <w:rFonts w:ascii="Times New Roman" w:cs="Times New Roman" w:eastAsia="Times New Roman" w:hAnsi="Times New Roman"/>
          <w:sz w:val="20"/>
          <w:szCs w:val="20"/>
          <w:color w:val="auto"/>
        </w:rPr>
        <w:t>” means direct obligations of, or obligations guaranteed by, the United States of America, and the payment for which the United States of America pledges its full faith and credit.</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DSCR</w:t>
      </w:r>
      <w:r>
        <w:rPr>
          <w:rFonts w:ascii="Times New Roman" w:cs="Times New Roman" w:eastAsia="Times New Roman" w:hAnsi="Times New Roman"/>
          <w:sz w:val="20"/>
          <w:szCs w:val="20"/>
          <w:color w:val="auto"/>
        </w:rPr>
        <w:t xml:space="preserve">” has the meaning set forth in the Common Terms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all purposes under this Indenture, “Historical DSCR” shall be deemed to exclude </w:t>
      </w:r>
      <w:r>
        <w:rPr>
          <w:rFonts w:ascii="Times New Roman" w:cs="Times New Roman" w:eastAsia="Times New Roman" w:hAnsi="Times New Roman"/>
          <w:sz w:val="20"/>
          <w:szCs w:val="20"/>
          <w:u w:val="single" w:color="auto"/>
          <w:color w:val="auto"/>
        </w:rPr>
        <w:t>subclause (b)(vii)</w:t>
      </w:r>
      <w:r>
        <w:rPr>
          <w:rFonts w:ascii="Times New Roman" w:cs="Times New Roman" w:eastAsia="Times New Roman" w:hAnsi="Times New Roman"/>
          <w:sz w:val="20"/>
          <w:szCs w:val="20"/>
          <w:color w:val="auto"/>
        </w:rPr>
        <w:t xml:space="preserve"> of the definition thereof in the Common Terms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means His Majesty’s Treasury, the economic and finance ministry of the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xml:space="preserve">” means any taxes, which term includes any interest, additions to tax or penalties applicable in respect thereof, imposed on or with respect to any payment made by or on account of any obligation of the Company under any Notes Document other than any of the following taxes imposed on or with respect to a Noteholder or required to be withheld or deducted from a payment to a Noteholder: (a) taxes imposed on or measured by net income (however denominated), franchise taxes, and branch profits taxes, in each case, (i) imposed as a result of such Noteholder being organized under the laws of, or having its principal office or its applicable lending office located in, the jurisdiction imposing such tax (or any political subdivision thereof) or (ii) imposed as a result of a present or former connection between such Noteholder and the jurisdiction imposing such tax (other than connections arising from such holder of a Note having executed, delivered, become a party to, performed its obligations under, received payments under, received or perfected a security interest under, engaged in any other transaction pursuant to or enforced any Notes Document, or sold or assigned an interest in any Note or Notes Document), (b) U.S. federal withholding taxes imposed on amounts payable to or for the account of such Noteholder with respect to an applicable interest in a Note pursuant to a law in effect on the date on which (i) such Noteholder acquires such interest in the Note or (ii) such Noteholder changes its lending office, except in each case to the extent that, pursuant to Section 2.15, amounts with respect to such taxes were payable either to an assignor of such Noteholder immediately before such Noteholder acquired the Note or to such Noteholder immediately before it changed its lending office, (c) taxes attributable to the failure of such holder of the Notes to comply with Section </w:t>
      </w:r>
      <w:r>
        <w:rPr>
          <w:rFonts w:ascii="Times New Roman" w:cs="Times New Roman" w:eastAsia="Times New Roman" w:hAnsi="Times New Roman"/>
          <w:sz w:val="20"/>
          <w:szCs w:val="20"/>
          <w:u w:val="single" w:color="auto"/>
          <w:color w:val="auto"/>
        </w:rPr>
        <w:t>2.15(d)</w:t>
      </w:r>
      <w:r>
        <w:rPr>
          <w:rFonts w:ascii="Times New Roman" w:cs="Times New Roman" w:eastAsia="Times New Roman" w:hAnsi="Times New Roman"/>
          <w:sz w:val="20"/>
          <w:szCs w:val="20"/>
          <w:color w:val="auto"/>
        </w:rPr>
        <w:t xml:space="preserve"> and (d) any U.S. federal withholding taxes imposed under FATCA.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202" w:lineRule="exact"/>
        <w:rPr>
          <w:sz w:val="20"/>
          <w:szCs w:val="20"/>
          <w:color w:val="auto"/>
        </w:rPr>
      </w:pPr>
    </w:p>
    <w:p>
      <w:pPr>
        <w:jc w:val="both"/>
        <w:ind w:left="10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Debt Service Reserve Amount</w:t>
      </w:r>
      <w:r>
        <w:rPr>
          <w:rFonts w:ascii="Times New Roman" w:cs="Times New Roman" w:eastAsia="Times New Roman" w:hAnsi="Times New Roman"/>
          <w:sz w:val="20"/>
          <w:szCs w:val="20"/>
          <w:color w:val="auto"/>
        </w:rPr>
        <w:t xml:space="preserve">” means as of any date of determination, an amount reasonably projected by the Company to be the amount necessary to pay the forecasted Debt Service in respect of the Notes from such date through (and including) the next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calculation of the amount specified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Debt Service, any final balloon payment or bullet maturity of Senior Secured Debt shall not be taken into account and instead only the equivalent of the principal payment on the immediately preceding Interest Payment Date prior to such balloon payment or bullet maturity shall be taken into account.</w:t>
      </w:r>
    </w:p>
    <w:p>
      <w:pPr>
        <w:spacing w:after="0" w:line="160" w:lineRule="exact"/>
        <w:rPr>
          <w:sz w:val="20"/>
          <w:szCs w:val="20"/>
          <w:color w:val="auto"/>
        </w:rPr>
      </w:pPr>
    </w:p>
    <w:p>
      <w:pPr>
        <w:jc w:val="both"/>
        <w:ind w:left="10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CFADS</w:t>
      </w:r>
      <w:r>
        <w:rPr>
          <w:rFonts w:ascii="Times New Roman" w:cs="Times New Roman" w:eastAsia="Times New Roman" w:hAnsi="Times New Roman"/>
          <w:sz w:val="20"/>
          <w:szCs w:val="20"/>
          <w:color w:val="auto"/>
        </w:rPr>
        <w:t xml:space="preserve">” means, for any period, an amount equal to (a) the amount of Cash Flow from Contracted Revenues projected to be received by the Company during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all amounts projected to be paid during such period pursuant to Sections 3.3(c)(i) and 3.3(c)(ii)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of the P1 Accounts Agreement (other than any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960" w:top="1409" w:right="339" w:bottom="1440" w:gutter="0" w:footer="0" w:header="0"/>
        </w:sectPr>
      </w:pPr>
    </w:p>
    <w:bookmarkStart w:id="46" w:name="page47"/>
    <w:bookmarkEnd w:id="46"/>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projected to be payable to any Senior Secured Party), which amounts under this clause (b) shall exclude any such amounts that (i) are related to the lifting of LNG or (ii) are P1 Project Costs, RCI EPC CAPEX (as defined in the Definitions Agreement), or RCI Owners’ Costs (as defined in the Definitions Agreement), in each case, to the extent funded with Indebtedness or equity.</w:t>
      </w:r>
    </w:p>
    <w:p>
      <w:pPr>
        <w:spacing w:after="0" w:line="150" w:lineRule="exact"/>
        <w:rPr>
          <w:sz w:val="20"/>
          <w:szCs w:val="20"/>
          <w:color w:val="auto"/>
        </w:rPr>
      </w:pPr>
    </w:p>
    <w:p>
      <w:pPr>
        <w:jc w:val="both"/>
        <w:ind w:left="10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DSCR</w:t>
      </w:r>
      <w:r>
        <w:rPr>
          <w:rFonts w:ascii="Times New Roman" w:cs="Times New Roman" w:eastAsia="Times New Roman" w:hAnsi="Times New Roman"/>
          <w:sz w:val="20"/>
          <w:szCs w:val="20"/>
          <w:color w:val="auto"/>
        </w:rPr>
        <w:t xml:space="preserve">” means, for the applicable period, the ratio of (a) Indenture Projected CFADS to (b) Debt Service (other than (i) principal of Working Capital Debt and the principal amount of Senior Secured Debt payable on the Maturity Date thereof, (ii) commitment fees, front-end fees and up-front fees paid prior to the Project Completion Date or, if later, out of the proceeds of Senior Secured Debt, (iii) LC Costs, (iv) interest in respect of the Senior Secured Debt and Senior Secured Obligations under Senior Secured IR Hedge Agreements, in each case, paid prior to the Project Completion Date, (v) amounts payable under Senior Secured Hedge Agreements that are not in respect of interest rates, (vi) without duplication of amounts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P1 Hedge Termination Amounts under Senior Secured Hedge Agreements, and (vii) for purposes of satisfying the conditions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incremental carrying costs of such Senior Secured Debt and the costs associated with arranging, issuing, and incurring such Senior Secured Debt projected for such period).</w:t>
      </w:r>
    </w:p>
    <w:p>
      <w:pPr>
        <w:spacing w:after="0" w:line="162"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Notes</w:t>
      </w:r>
      <w:r>
        <w:rPr>
          <w:rFonts w:ascii="Times New Roman" w:cs="Times New Roman" w:eastAsia="Times New Roman" w:hAnsi="Times New Roman"/>
          <w:sz w:val="20"/>
          <w:szCs w:val="20"/>
          <w:color w:val="auto"/>
        </w:rPr>
        <w:t>” means $1,115,000,000 aggregate principal amount of 6.580% Senior Secured Notes due 2047 issued under this Indenture on the date 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Offtakers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China Gas Hongda Energy Trading Co., Ltd.;</w:t>
      </w:r>
    </w:p>
    <w:p>
      <w:pPr>
        <w:spacing w:after="0" w:line="202"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Engie S.A.;</w:t>
      </w:r>
    </w:p>
    <w:p>
      <w:pPr>
        <w:spacing w:after="0" w:line="202"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ENN LNG (Singapore) Pte. Ltd.;</w:t>
      </w:r>
    </w:p>
    <w:p>
      <w:pPr>
        <w:spacing w:after="0" w:line="202"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ExxonMobil Asia Pacific Pte. Ltd.;</w:t>
      </w:r>
    </w:p>
    <w:p>
      <w:pPr>
        <w:spacing w:after="0" w:line="215"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Galp Trading S.A.;</w:t>
      </w:r>
    </w:p>
    <w:p>
      <w:pPr>
        <w:spacing w:after="0" w:line="202" w:lineRule="exact"/>
        <w:rPr>
          <w:rFonts w:ascii="Times New Roman" w:cs="Times New Roman" w:eastAsia="Times New Roman" w:hAnsi="Times New Roman"/>
          <w:sz w:val="20"/>
          <w:szCs w:val="20"/>
          <w:color w:val="auto"/>
        </w:rPr>
      </w:pPr>
    </w:p>
    <w:p>
      <w:pPr>
        <w:ind w:left="740" w:hanging="319"/>
        <w:spacing w:after="0"/>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Natural Gas Co., Ltd.;</w:t>
      </w:r>
    </w:p>
    <w:p>
      <w:pPr>
        <w:spacing w:after="0" w:line="202"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Co., Ltd.;</w:t>
      </w:r>
    </w:p>
    <w:p>
      <w:pPr>
        <w:spacing w:after="0" w:line="202" w:lineRule="exact"/>
        <w:rPr>
          <w:rFonts w:ascii="Times New Roman" w:cs="Times New Roman" w:eastAsia="Times New Roman" w:hAnsi="Times New Roman"/>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Itochu Corporation;</w:t>
      </w:r>
    </w:p>
    <w:p>
      <w:pPr>
        <w:spacing w:after="0" w:line="215" w:lineRule="exact"/>
        <w:rPr>
          <w:rFonts w:ascii="Times New Roman" w:cs="Times New Roman" w:eastAsia="Times New Roman" w:hAnsi="Times New Roman"/>
          <w:sz w:val="20"/>
          <w:szCs w:val="20"/>
          <w:color w:val="auto"/>
        </w:rPr>
      </w:pPr>
    </w:p>
    <w:p>
      <w:pPr>
        <w:ind w:left="740" w:hanging="319"/>
        <w:spacing w:after="0"/>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NA LNG LLC; and</w:t>
      </w:r>
    </w:p>
    <w:p>
      <w:pPr>
        <w:spacing w:after="0" w:line="202" w:lineRule="exact"/>
        <w:rPr>
          <w:rFonts w:ascii="Times New Roman" w:cs="Times New Roman" w:eastAsia="Times New Roman" w:hAnsi="Times New Roman"/>
          <w:sz w:val="20"/>
          <w:szCs w:val="20"/>
          <w:color w:val="auto"/>
        </w:rPr>
      </w:pPr>
    </w:p>
    <w:p>
      <w:pPr>
        <w:ind w:left="740" w:hanging="319"/>
        <w:spacing w:after="0"/>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TotalEnergies Gas &amp; Power North America,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Institutional Accredited Investor</w:t>
      </w:r>
      <w:r>
        <w:rPr>
          <w:rFonts w:ascii="Times New Roman" w:cs="Times New Roman" w:eastAsia="Times New Roman" w:hAnsi="Times New Roman"/>
          <w:sz w:val="19"/>
          <w:szCs w:val="19"/>
          <w:color w:val="auto"/>
        </w:rPr>
        <w:t>” means an institution that is an “accredited investor” as defined in Rule 501(a)(1), (2), (3), (7) or</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(9) under the Securities Act, who is not also a QIB.</w:t>
      </w:r>
    </w:p>
    <w:p>
      <w:pPr>
        <w:spacing w:after="0" w:line="183"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means (a) any Noteholder holding (together with one or more of its affiliates) more than 15% of the aggregate principal amount of the Notes then outstanding, (b) any bank, trust company, savings and loan association or other financial institution, any pension plan, any investment company, any insurance company, any broker or dealer,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00"/>
          </w:cols>
          <w:pgMar w:left="960" w:top="1413" w:right="339" w:bottom="1440" w:gutter="0" w:footer="0" w:header="0"/>
        </w:sectPr>
      </w:pPr>
    </w:p>
    <w:bookmarkStart w:id="47" w:name="page48"/>
    <w:bookmarkEnd w:id="47"/>
    <w:p>
      <w:pPr>
        <w:ind w:left="100"/>
        <w:spacing w:after="0" w:line="283" w:lineRule="auto"/>
        <w:rPr>
          <w:sz w:val="20"/>
          <w:szCs w:val="20"/>
          <w:color w:val="auto"/>
        </w:rPr>
      </w:pPr>
      <w:r>
        <w:rPr>
          <w:rFonts w:ascii="Times New Roman" w:cs="Times New Roman" w:eastAsia="Times New Roman" w:hAnsi="Times New Roman"/>
          <w:sz w:val="20"/>
          <w:szCs w:val="20"/>
          <w:color w:val="auto"/>
        </w:rPr>
        <w:t>other similar financial institution or entity, regardless of legal form, and (c) any Related Fund of any Noteholder referred to in clause (a).</w:t>
      </w:r>
    </w:p>
    <w:p>
      <w:pPr>
        <w:spacing w:after="0" w:line="129" w:lineRule="exact"/>
        <w:rPr>
          <w:sz w:val="20"/>
          <w:szCs w:val="20"/>
          <w:color w:val="auto"/>
        </w:rPr>
      </w:pPr>
    </w:p>
    <w:p>
      <w:pPr>
        <w:jc w:val="both"/>
        <w:ind w:left="10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March 30 and September 30 of each year, commencing on September 30, 2024, or if any such day is not a Business Day, the next succeeding Business Day.</w:t>
      </w:r>
    </w:p>
    <w:p>
      <w:pPr>
        <w:spacing w:after="0" w:line="152"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w:t>
      </w:r>
      <w:r>
        <w:rPr>
          <w:rFonts w:ascii="Times New Roman" w:cs="Times New Roman" w:eastAsia="Times New Roman" w:hAnsi="Times New Roman"/>
          <w:sz w:val="20"/>
          <w:szCs w:val="20"/>
          <w:color w:val="auto"/>
        </w:rPr>
        <w:t>” means that such person is rated by at least one Recognized Credit Rating Agency and at least one such rating is equal to or better than “Baa3” by Moody’s, “BBB-” by S&amp;P, “BBB-” by Fitch, or a comparable credit rating that is a Recognized Credit Rating Agency.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means the first date of original issuance of the Notes under this Indenture.</w:t>
      </w:r>
    </w:p>
    <w:p>
      <w:pPr>
        <w:spacing w:after="0" w:line="202"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KYC Requirements</w:t>
      </w:r>
      <w:r>
        <w:rPr>
          <w:rFonts w:ascii="Times New Roman" w:cs="Times New Roman" w:eastAsia="Times New Roman" w:hAnsi="Times New Roman"/>
          <w:sz w:val="20"/>
          <w:szCs w:val="20"/>
          <w:color w:val="auto"/>
        </w:rPr>
        <w:t>” means the consistently applied “know your customer” requirements of the Noteholders under applicable “know your customer” and Anti-Terrorism and Money Laundering Laws, including the USA Patriot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Liquefaction Owners</w:t>
      </w:r>
      <w:r>
        <w:rPr>
          <w:rFonts w:ascii="Times New Roman" w:cs="Times New Roman" w:eastAsia="Times New Roman" w:hAnsi="Times New Roman"/>
          <w:sz w:val="20"/>
          <w:szCs w:val="20"/>
          <w:color w:val="auto"/>
        </w:rPr>
        <w:t>” means (a) the Company and (b) any other Person that (i) is permitted under the CFAA to construct and own the assets comprising a Train Facility, (ii) has entered into a construction advisor services agreement in respect of a Subsequent Train Facility, and (iii) has acceded to the RG Facility Agreements in accordance therewith.</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 Event</w:t>
      </w:r>
      <w:r>
        <w:rPr>
          <w:rFonts w:ascii="Times New Roman" w:cs="Times New Roman" w:eastAsia="Times New Roman" w:hAnsi="Times New Roman"/>
          <w:sz w:val="20"/>
          <w:szCs w:val="20"/>
          <w:color w:val="auto"/>
        </w:rPr>
        <w:t xml:space="preserve">” means any event triggering a mandatory prepayment or any requirement to make an offer to prepay (including any such requirement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of Senior Secured Debt in connection with the termination of a Offtake Agreement or any Impairment of any related Government Approval.</w:t>
      </w:r>
    </w:p>
    <w:p>
      <w:pPr>
        <w:spacing w:after="0" w:line="14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w:t>
      </w:r>
      <w:r>
        <w:rPr>
          <w:rFonts w:ascii="Times New Roman" w:cs="Times New Roman" w:eastAsia="Times New Roman" w:hAnsi="Times New Roman"/>
          <w:sz w:val="20"/>
          <w:szCs w:val="20"/>
          <w:color w:val="auto"/>
        </w:rPr>
        <w:t>” means any prepayment of Senior Secured Debt in connection with an LNG Sales Mandatory Prepayment Event.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Prepayment Amount</w:t>
      </w:r>
      <w:r>
        <w:rPr>
          <w:rFonts w:ascii="Times New Roman" w:cs="Times New Roman" w:eastAsia="Times New Roman" w:hAnsi="Times New Roman"/>
          <w:sz w:val="20"/>
          <w:szCs w:val="20"/>
          <w:color w:val="auto"/>
        </w:rPr>
        <w:t xml:space="preserve">” means an amount determined by the Company and allocated to a prepayment offer in respect of the notes pursuant to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Make-Whole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Party</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September 30, 2047.</w:t>
      </w:r>
    </w:p>
    <w:p>
      <w:pPr>
        <w:spacing w:after="0" w:line="202"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Mezzanine Financing Facility</w:t>
      </w:r>
      <w:r>
        <w:rPr>
          <w:rFonts w:ascii="Times New Roman" w:cs="Times New Roman" w:eastAsia="Times New Roman" w:hAnsi="Times New Roman"/>
          <w:sz w:val="20"/>
          <w:szCs w:val="20"/>
          <w:color w:val="auto"/>
        </w:rPr>
        <w:t>” means any financing facility entered into at any time by a Person that is a parent of the Pledgor in connection with the Project.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00"/>
          </w:cols>
          <w:pgMar w:left="96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MTPA</w:t>
      </w:r>
      <w:r>
        <w:rPr>
          <w:rFonts w:ascii="Times New Roman" w:cs="Times New Roman" w:eastAsia="Times New Roman" w:hAnsi="Times New Roman"/>
          <w:sz w:val="20"/>
          <w:szCs w:val="20"/>
          <w:color w:val="auto"/>
        </w:rPr>
        <w:t>” means million metric tonnes per annum.</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defined as such in Section 3(37) of ERISA to which contributions have been made by the Company or any ERISA Affiliate in the past five years and which is covered by Title IV of ERISA.</w:t>
      </w:r>
    </w:p>
    <w:p>
      <w:pPr>
        <w:spacing w:after="0" w:line="125" w:lineRule="exact"/>
        <w:rPr>
          <w:sz w:val="20"/>
          <w:szCs w:val="20"/>
          <w:color w:val="auto"/>
        </w:rPr>
      </w:pPr>
    </w:p>
    <w:p>
      <w:pPr>
        <w:jc w:val="both"/>
        <w:ind w:left="10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Necessary Senior Secured Debt Instrument</w:t>
      </w:r>
      <w:r>
        <w:rPr>
          <w:rFonts w:ascii="Times New Roman" w:cs="Times New Roman" w:eastAsia="Times New Roman" w:hAnsi="Times New Roman"/>
          <w:sz w:val="20"/>
          <w:szCs w:val="20"/>
          <w:color w:val="auto"/>
        </w:rPr>
        <w:t>” means any Senior Secured Debt Instrument providing for Indebtedness without which the Company could not reasonably expect to have sufficient funds (on the basis of all available funds, including Senior Secured Debt Commitments, cash on deposit in the P1 Construction Account or the Distribution Account, or other committed equity, and projected Contracted Revenues under the Designated Offtake Agreements) to achieve the Project Completion Date by the Date Certain.</w:t>
      </w:r>
    </w:p>
    <w:p>
      <w:pPr>
        <w:spacing w:after="0" w:line="174" w:lineRule="exact"/>
        <w:rPr>
          <w:sz w:val="20"/>
          <w:szCs w:val="20"/>
          <w:color w:val="auto"/>
        </w:rPr>
      </w:pPr>
    </w:p>
    <w:p>
      <w:pPr>
        <w:jc w:val="both"/>
        <w:ind w:left="10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 Guarantee</w:t>
      </w:r>
      <w:r>
        <w:rPr>
          <w:rFonts w:ascii="Times New Roman" w:cs="Times New Roman" w:eastAsia="Times New Roman" w:hAnsi="Times New Roman"/>
          <w:sz w:val="20"/>
          <w:szCs w:val="20"/>
          <w:color w:val="auto"/>
        </w:rPr>
        <w:t>” means the Guarantee by each Guarantor of the Company’s obligations under this Indenture and the Notes, contained in this Indenture or in any Supplemental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means a Person in whose name a Note is registered.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the Initial Notes and any Additional Notes, unless the context otherwise requires.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16" w:lineRule="exact"/>
        <w:rPr>
          <w:sz w:val="20"/>
          <w:szCs w:val="20"/>
          <w:color w:val="auto"/>
        </w:rPr>
      </w:pPr>
    </w:p>
    <w:p>
      <w:pPr>
        <w:jc w:val="both"/>
        <w:ind w:left="10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Laws</w:t>
      </w:r>
      <w:r>
        <w:rPr>
          <w:rFonts w:ascii="Times New Roman" w:cs="Times New Roman" w:eastAsia="Times New Roman" w:hAnsi="Times New Roman"/>
          <w:sz w:val="20"/>
          <w:szCs w:val="20"/>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SDN List</w:t>
      </w:r>
      <w:r>
        <w:rPr>
          <w:rFonts w:ascii="Times New Roman" w:cs="Times New Roman" w:eastAsia="Times New Roman" w:hAnsi="Times New Roman"/>
          <w:sz w:val="20"/>
          <w:szCs w:val="20"/>
          <w:color w:val="auto"/>
        </w:rPr>
        <w:t>” means the list of “Specially Designated Nationals and Blocked Persons” maintained by OFAC.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0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xml:space="preserve">” means a certificate signed by one Authorized Officer of the Company, which officer must be the principal executive officer, the principal financial officer, the treasurer, the principal accounting officer or the general counsel and secretary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Offtaker</w:t>
      </w:r>
      <w:r>
        <w:rPr>
          <w:rFonts w:ascii="Times New Roman" w:cs="Times New Roman" w:eastAsia="Times New Roman" w:hAnsi="Times New Roman"/>
          <w:sz w:val="20"/>
          <w:szCs w:val="20"/>
          <w:color w:val="auto"/>
        </w:rPr>
        <w:t>” means each counterparty to an Offtake Agreement (but excluding the Company).</w:t>
      </w:r>
    </w:p>
    <w:p>
      <w:pPr>
        <w:spacing w:after="0" w:line="202" w:lineRule="exact"/>
        <w:rPr>
          <w:sz w:val="20"/>
          <w:szCs w:val="20"/>
          <w:color w:val="auto"/>
        </w:rPr>
      </w:pPr>
    </w:p>
    <w:p>
      <w:pPr>
        <w:jc w:val="both"/>
        <w:ind w:left="10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Opinion of Counsel</w:t>
      </w:r>
      <w:r>
        <w:rPr>
          <w:rFonts w:ascii="Times New Roman" w:cs="Times New Roman" w:eastAsia="Times New Roman" w:hAnsi="Times New Roman"/>
          <w:sz w:val="20"/>
          <w:szCs w:val="20"/>
          <w:color w:val="auto"/>
        </w:rPr>
        <w:t xml:space="preserve">” means an opinion or opinions from legal counsel who is reasonably acceptable to the Trustee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The counsel may be an employee of, or counsel to, the Company or to a Holder,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P1 CASA Advisor</w:t>
      </w:r>
      <w:r>
        <w:rPr>
          <w:rFonts w:ascii="Times New Roman" w:cs="Times New Roman" w:eastAsia="Times New Roman" w:hAnsi="Times New Roman"/>
          <w:sz w:val="20"/>
          <w:szCs w:val="20"/>
          <w:color w:val="auto"/>
        </w:rPr>
        <w:t>” has the meaning assigned to such term in the P1 CASA.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00"/>
          </w:cols>
          <w:pgMar w:left="960" w:top="140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Schedule</w:t>
      </w:r>
      <w:r>
        <w:rPr>
          <w:rFonts w:ascii="Times New Roman" w:cs="Times New Roman" w:eastAsia="Times New Roman" w:hAnsi="Times New Roman"/>
          <w:sz w:val="20"/>
          <w:szCs w:val="20"/>
          <w:color w:val="auto"/>
        </w:rPr>
        <w:t xml:space="preserve">” means the payment and amortization schedule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as the same may be adjusted from time to time in accordance with the terms of this Indenture and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established pursuant to Subtitle A of Title IV of ERISA (or any successor).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Liquidated Damages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benefit plan” as defined in Section 3(3) of ERISA, including any “employee welfare benefit plan” (as defined in Section 3(1) of ERISA) and/or any “employee pension benefit plan” (as defined in Section 3(2) of ERISA), that is or was maintained or contributed to by the Company or any ERISA Affiliate.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Excess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Placement Legend</w:t>
      </w:r>
      <w:r>
        <w:rPr>
          <w:rFonts w:ascii="Times New Roman" w:cs="Times New Roman" w:eastAsia="Times New Roman" w:hAnsi="Times New Roman"/>
          <w:sz w:val="20"/>
          <w:szCs w:val="20"/>
          <w:color w:val="auto"/>
        </w:rPr>
        <w:t xml:space="preserve">” means (a) in the case of the Initial Notes, the legend set forth in </w:t>
      </w:r>
      <w:r>
        <w:rPr>
          <w:rFonts w:ascii="Times New Roman" w:cs="Times New Roman" w:eastAsia="Times New Roman" w:hAnsi="Times New Roman"/>
          <w:sz w:val="20"/>
          <w:szCs w:val="20"/>
          <w:u w:val="single" w:color="auto"/>
          <w:color w:val="auto"/>
        </w:rPr>
        <w:t>Section 2.6(b)(i)</w:t>
      </w:r>
      <w:r>
        <w:rPr>
          <w:rFonts w:ascii="Times New Roman" w:cs="Times New Roman" w:eastAsia="Times New Roman" w:hAnsi="Times New Roman"/>
          <w:sz w:val="20"/>
          <w:szCs w:val="20"/>
          <w:color w:val="auto"/>
        </w:rPr>
        <w:t xml:space="preserve"> and (b) in the case of any Additional Notes, any legend required or permitted by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Rating Letter</w:t>
      </w:r>
      <w:r>
        <w:rPr>
          <w:rFonts w:ascii="Times New Roman" w:cs="Times New Roman" w:eastAsia="Times New Roman" w:hAnsi="Times New Roman"/>
          <w:sz w:val="20"/>
          <w:szCs w:val="20"/>
          <w:color w:val="auto"/>
        </w:rPr>
        <w:t>” means a customary letter issued by any of Moody’s, S&amp;P, Fitch or DBRS in connection with any private rating for the Note. Such letter shall not be subject to confidentiality provisions or other restrictions which would prevent or limit the letter from being shared with the SVO.</w:t>
      </w:r>
    </w:p>
    <w:p>
      <w:pPr>
        <w:spacing w:after="0" w:line="1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Rating Rationale Report</w:t>
      </w:r>
      <w:r>
        <w:rPr>
          <w:rFonts w:ascii="Times New Roman" w:cs="Times New Roman" w:eastAsia="Times New Roman" w:hAnsi="Times New Roman"/>
          <w:sz w:val="20"/>
          <w:szCs w:val="20"/>
          <w:color w:val="auto"/>
        </w:rPr>
        <w:t>” means, with respect to any Private Rating Letter, a customary report issued by any of Moody’s, S&amp;P, Fitch or DBRS in connection with such Private Rating Letter.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202" w:lineRule="exact"/>
        <w:rPr>
          <w:sz w:val="20"/>
          <w:szCs w:val="20"/>
          <w:color w:val="auto"/>
        </w:rPr>
      </w:pPr>
    </w:p>
    <w:p>
      <w:pPr>
        <w:jc w:val="both"/>
        <w:ind w:left="10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Energy Company</w:t>
      </w:r>
      <w:r>
        <w:rPr>
          <w:rFonts w:ascii="Times New Roman" w:cs="Times New Roman" w:eastAsia="Times New Roman" w:hAnsi="Times New Roman"/>
          <w:sz w:val="20"/>
          <w:szCs w:val="20"/>
          <w:color w:val="auto"/>
        </w:rPr>
        <w:t>” means, to the extent satisfying the KYC Requirements, a person: (a) (i) that is, owns, or is Controlled by, or whose ultimate parent company is, (A) an international reputable oil and gas or LNG company (integrated or non-integrated) substantially involved in the exploration, development, production or marketing of hydrocarbons, or (B) a power company or utility that has not less than 5000 megawatts of power generation assets under ownership, management and operation of which at least 2500 megawatts are attributable to gas-fired power generation assets, or (C) a utility or trading company, a substantial portion of whose business involves the ownership, transportation, liquefaction, regasification or purchase, sale or trading of gas or LNG, (ii) with a tangible net worth of no less than $5,000,000,000, and (iii) that is not, or whose ultimate parent company is not, an affiliate of any Government Authority or (b) that is, or is an affiliate of, the Sponsor or any Approved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00"/>
          </w:cols>
          <w:pgMar w:left="960" w:top="1409" w:right="339" w:bottom="1440" w:gutter="0" w:footer="0" w:header="0"/>
        </w:sectPr>
      </w:pPr>
    </w:p>
    <w:bookmarkStart w:id="50" w:name="page51"/>
    <w:bookmarkEnd w:id="50"/>
    <w:p>
      <w:pPr>
        <w:jc w:val="both"/>
        <w:ind w:left="10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Entities</w:t>
      </w:r>
      <w:r>
        <w:rPr>
          <w:rFonts w:ascii="Times New Roman" w:cs="Times New Roman" w:eastAsia="Times New Roman" w:hAnsi="Times New Roman"/>
          <w:sz w:val="20"/>
          <w:szCs w:val="20"/>
          <w:color w:val="auto"/>
        </w:rPr>
        <w:t>” means, to the extent satisfying the KYC Requirements, any Person that is managed or advised by a Qualified Investment House or its Related Entities; where “advised” means being in receipt of implementing advice in relation to the management of investments of a person which (other than in relation to actually making decisions to implement such advice) is substantially the same as the services which would be provided by a fund manager of the relevant Person.</w:t>
      </w:r>
    </w:p>
    <w:p>
      <w:pPr>
        <w:spacing w:after="0" w:line="151"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House</w:t>
      </w:r>
      <w:r>
        <w:rPr>
          <w:rFonts w:ascii="Times New Roman" w:cs="Times New Roman" w:eastAsia="Times New Roman" w:hAnsi="Times New Roman"/>
          <w:sz w:val="20"/>
          <w:szCs w:val="20"/>
          <w:color w:val="auto"/>
        </w:rPr>
        <w:t>” means (a) Global Infrastructure Management, LLC or (b) any other investment manager (i) who has aggregate assets under management and committed capital in excess of $10,000,000,000 and (ii) has satisfied the KYC Requirements.</w:t>
      </w:r>
    </w:p>
    <w:p>
      <w:pPr>
        <w:spacing w:after="0" w:line="148" w:lineRule="exact"/>
        <w:rPr>
          <w:sz w:val="20"/>
          <w:szCs w:val="20"/>
          <w:color w:val="auto"/>
        </w:rPr>
      </w:pPr>
    </w:p>
    <w:p>
      <w:pPr>
        <w:jc w:val="both"/>
        <w:ind w:left="100" w:hanging="9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Manager</w:t>
      </w:r>
      <w:r>
        <w:rPr>
          <w:rFonts w:ascii="Times New Roman" w:cs="Times New Roman" w:eastAsia="Times New Roman" w:hAnsi="Times New Roman"/>
          <w:sz w:val="19"/>
          <w:szCs w:val="19"/>
          <w:color w:val="auto"/>
        </w:rPr>
        <w:t>” means an entity that (a) manages (by contract, as the manager of a limited liability company, or the general partner of a limited partnership) or advises infrastructure funds, private equity funds, pension funds, government sponsored funds or other similar funds (including publicly traded entities commonly referred to as “master limited partnerships”), which collectively hold assets that in the aggregate are valued in excess of $5,000,000,000, (b) has the expertise, experience, and technical resources to successfully manage the relevant managed entity’s ownership interest in the Project, and (c) satisfies the KYC Requirements. For purposes of this definition of “</w:t>
      </w:r>
      <w:r>
        <w:rPr>
          <w:rFonts w:ascii="Times New Roman" w:cs="Times New Roman" w:eastAsia="Times New Roman" w:hAnsi="Times New Roman"/>
          <w:sz w:val="19"/>
          <w:szCs w:val="19"/>
          <w:b w:val="1"/>
          <w:bCs w:val="1"/>
          <w:color w:val="auto"/>
        </w:rPr>
        <w:t>Qualified Manager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advised</w:t>
      </w:r>
      <w:r>
        <w:rPr>
          <w:rFonts w:ascii="Times New Roman" w:cs="Times New Roman" w:eastAsia="Times New Roman" w:hAnsi="Times New Roman"/>
          <w:sz w:val="19"/>
          <w:szCs w:val="19"/>
          <w:color w:val="auto"/>
        </w:rPr>
        <w:t>” means being in receipt of and implementing advice in relation to the management of investments of that person which (other than in relation to actually making decisions to implement such advice) is substantially the same as the services which would be provided by a fund manager of the relevant person.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Mezzanine Entity</w:t>
      </w:r>
      <w:r>
        <w:rPr>
          <w:rFonts w:ascii="Times New Roman" w:cs="Times New Roman" w:eastAsia="Times New Roman" w:hAnsi="Times New Roman"/>
          <w:sz w:val="20"/>
          <w:szCs w:val="20"/>
          <w:color w:val="auto"/>
        </w:rPr>
        <w:t>” means, in connection with a foreclosure under any Mezzanine Financing Facility, a Person that:</w:t>
      </w:r>
    </w:p>
    <w:p>
      <w:pPr>
        <w:spacing w:after="0" w:line="206" w:lineRule="exact"/>
        <w:rPr>
          <w:sz w:val="20"/>
          <w:szCs w:val="20"/>
          <w:color w:val="auto"/>
        </w:rPr>
      </w:pPr>
    </w:p>
    <w:p>
      <w:pPr>
        <w:jc w:val="both"/>
        <w:ind w:left="660" w:hanging="563"/>
        <w:spacing w:after="0" w:line="262" w:lineRule="auto"/>
        <w:tabs>
          <w:tab w:leader="none" w:pos="59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(ii) either (A)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(B) the Qualified Manager of any entity referred to in subpart (A) of this subpart (ii) and, in each of cases (A) and (B) acquires the relevant Equity Interests for its own account or for further disposition thereof, or (iii) a Person who receives the relevant Equity Interests through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foreclosure over the security interests granted in respect of such Mezzanine Financing Facility and such Person is (A) otherwise an Approved Owner, Qualified Investment Entity, Qualified Offtaker Investor, or Qualified Energy Company or</w:t>
      </w:r>
    </w:p>
    <w:p>
      <w:pPr>
        <w:spacing w:after="0" w:line="6" w:lineRule="exact"/>
        <w:rPr>
          <w:rFonts w:ascii="Times New Roman" w:cs="Times New Roman" w:eastAsia="Times New Roman" w:hAnsi="Times New Roman"/>
          <w:sz w:val="19"/>
          <w:szCs w:val="19"/>
          <w:color w:val="auto"/>
        </w:rPr>
      </w:pPr>
    </w:p>
    <w:p>
      <w:pPr>
        <w:ind w:left="66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has caused each Specified Rating Agency then-rating all or a portion of the Notes to provide a Ratings Reaffirmation of such Notes that gives effect to the acquisition, holding or control of such Equity Interests by such Person; and</w:t>
      </w:r>
    </w:p>
    <w:p>
      <w:pPr>
        <w:spacing w:after="0" w:line="147" w:lineRule="exact"/>
        <w:rPr>
          <w:rFonts w:ascii="Times New Roman" w:cs="Times New Roman" w:eastAsia="Times New Roman" w:hAnsi="Times New Roman"/>
          <w:sz w:val="19"/>
          <w:szCs w:val="19"/>
          <w:color w:val="auto"/>
        </w:rPr>
      </w:pPr>
    </w:p>
    <w:p>
      <w:pPr>
        <w:ind w:left="660" w:hanging="563"/>
        <w:spacing w:after="0" w:line="283" w:lineRule="auto"/>
        <w:tabs>
          <w:tab w:leader="none" w:pos="61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and is not 50% or more owned or otherwise Controlled by, and does not own or Control, a Restricted Person and satisfies the KYC Requirements.</w:t>
      </w:r>
    </w:p>
    <w:p>
      <w:pPr>
        <w:spacing w:after="0" w:line="129"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 Agreement</w:t>
      </w:r>
      <w:r>
        <w:rPr>
          <w:rFonts w:ascii="Times New Roman" w:cs="Times New Roman" w:eastAsia="Times New Roman" w:hAnsi="Times New Roman"/>
          <w:sz w:val="20"/>
          <w:szCs w:val="20"/>
          <w:color w:val="auto"/>
        </w:rPr>
        <w:t>” means the Initial Offtake Agreements and any other Offtake Agreement that meets each of the following conditions: (a) such Offtake Agreement is entered into for a Qualified Term with a Qualified Offtaker, (b) such Offtake Agreement provides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00"/>
          </w:cols>
          <w:pgMar w:left="960" w:top="1409" w:right="339" w:bottom="1440" w:gutter="0" w:footer="0" w:header="0"/>
        </w:sectPr>
      </w:pPr>
    </w:p>
    <w:bookmarkStart w:id="51" w:name="page52"/>
    <w:bookmarkEnd w:id="51"/>
    <w:p>
      <w:pPr>
        <w:jc w:val="both"/>
        <w:ind w:left="100"/>
        <w:spacing w:after="0" w:line="253" w:lineRule="auto"/>
        <w:rPr>
          <w:sz w:val="20"/>
          <w:szCs w:val="20"/>
          <w:color w:val="auto"/>
        </w:rPr>
      </w:pPr>
      <w:r>
        <w:rPr>
          <w:rFonts w:ascii="Times New Roman" w:cs="Times New Roman" w:eastAsia="Times New Roman" w:hAnsi="Times New Roman"/>
          <w:sz w:val="20"/>
          <w:szCs w:val="20"/>
          <w:color w:val="auto"/>
        </w:rPr>
        <w:t xml:space="preserve">delivery of LNG on an FOB or Delivered basis, (c) the Company has delivered to the P1 Intercreditor Agent notice of the proposed terms of such Offtake Agreement and such terms (other than as specified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are consistent, in all material respects with (or not materially less favorable in the aggregate to the interests of the Company than) those set forth in any of Qualified Offtake Agreements then in effect, and (d) the execution of such Qualified Offtake Agreement and performance by the Company of its obligations under such Qualified Offtake Agreement shall not result in a breach of any Qualified Offtake Agreement then in effect, or any Required Export Authorization then in-effect and any additional Required Export Authorizations that are necessary in connection with the execution of such Offtake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Offtaker</w:t>
      </w:r>
      <w:r>
        <w:rPr>
          <w:rFonts w:ascii="Times New Roman" w:cs="Times New Roman" w:eastAsia="Times New Roman" w:hAnsi="Times New Roman"/>
          <w:sz w:val="20"/>
          <w:szCs w:val="20"/>
          <w:color w:val="auto"/>
        </w:rPr>
        <w:t>” means, to the extent satisfying the KYC Requirements:</w:t>
      </w:r>
    </w:p>
    <w:p>
      <w:pPr>
        <w:spacing w:after="0" w:line="233" w:lineRule="exact"/>
        <w:rPr>
          <w:sz w:val="20"/>
          <w:szCs w:val="20"/>
          <w:color w:val="auto"/>
        </w:rPr>
      </w:pPr>
    </w:p>
    <w:p>
      <w:pPr>
        <w:jc w:val="both"/>
        <w:ind w:left="640" w:hanging="634"/>
        <w:spacing w:after="0" w:line="248" w:lineRule="auto"/>
        <w:tabs>
          <w:tab w:leader="none" w:pos="6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any Initial Offtaker so long as, either (A) such Initial Offtaker is not required to provide credit support on the Closing Date in respect of its obligations under the Initial Offtake Agreement to which is a party or (B) such Initial Offtaker has entered into the applicable Designated Offtake Agreement after the Closing Date that provides for credit support requirements that are either substantially similar to those included in the applicable Initial Offtake Agreement or more favorable to the Company and (ii) any entity that, as of the Closing Date, provides a guaranty in respect of an Initial Offtaker’s obligations under the Initial Offtake Agreement to which it is a party;</w:t>
      </w:r>
    </w:p>
    <w:p>
      <w:pPr>
        <w:spacing w:after="0" w:line="197" w:lineRule="exact"/>
        <w:rPr>
          <w:rFonts w:ascii="Times New Roman" w:cs="Times New Roman" w:eastAsia="Times New Roman" w:hAnsi="Times New Roman"/>
          <w:sz w:val="22"/>
          <w:szCs w:val="22"/>
          <w:color w:val="auto"/>
        </w:rPr>
      </w:pPr>
    </w:p>
    <w:p>
      <w:pPr>
        <w:jc w:val="both"/>
        <w:ind w:left="640" w:hanging="634"/>
        <w:spacing w:after="0" w:line="250" w:lineRule="auto"/>
        <w:tabs>
          <w:tab w:leader="none" w:pos="63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Offtaker under any Offtake Agreement which, as of the date it enters into the applicable Designated Offtake Agreement (or, if later, the date on which the applicable Offtake Agreement is designated as a Designated Offtake Agreement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as applicable), is, or whose obligations under such Designated Offtake Agreement are guaranteed by an entity that is, Investment Grade;</w:t>
      </w:r>
    </w:p>
    <w:p>
      <w:pPr>
        <w:spacing w:after="0" w:line="192" w:lineRule="exact"/>
        <w:rPr>
          <w:rFonts w:ascii="Times New Roman" w:cs="Times New Roman" w:eastAsia="Times New Roman" w:hAnsi="Times New Roman"/>
          <w:sz w:val="22"/>
          <w:szCs w:val="22"/>
          <w:color w:val="auto"/>
        </w:rPr>
      </w:pPr>
    </w:p>
    <w:p>
      <w:pPr>
        <w:jc w:val="both"/>
        <w:ind w:left="640" w:hanging="634"/>
        <w:spacing w:after="0" w:line="250" w:lineRule="auto"/>
        <w:tabs>
          <w:tab w:leader="none" w:pos="6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Offtaker under any Offtake Agreement that has provided one or more (x) guarantees from a guarantor that is Investment Grade and/or (y) letters of credit issued by a Qualifying LC Issuer (as defined in the P1 Accounts Agreement), that are each issued for the benefit of the Company in respect of its obligations under its applicable Offtake Agreement, in the case of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 an amount (in the aggregate) equal to the greater of:</w:t>
      </w:r>
    </w:p>
    <w:p>
      <w:pPr>
        <w:spacing w:after="0" w:line="192" w:lineRule="exact"/>
        <w:rPr>
          <w:rFonts w:ascii="Times New Roman" w:cs="Times New Roman" w:eastAsia="Times New Roman" w:hAnsi="Times New Roman"/>
          <w:sz w:val="22"/>
          <w:szCs w:val="22"/>
          <w:color w:val="auto"/>
        </w:rPr>
      </w:pPr>
    </w:p>
    <w:p>
      <w:pPr>
        <w:ind w:left="1280" w:hanging="636"/>
        <w:spacing w:after="0" w:line="259" w:lineRule="auto"/>
        <w:tabs>
          <w:tab w:leader="none" w:pos="127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50% of the present value of the Contracted Revenues from the applicable Designated Offtake Agreement during the remaining Qualified Term of such Designated Offtake Agreement; and</w:t>
      </w:r>
    </w:p>
    <w:p>
      <w:pPr>
        <w:spacing w:after="0" w:line="180" w:lineRule="exact"/>
        <w:rPr>
          <w:rFonts w:ascii="Times New Roman" w:cs="Times New Roman" w:eastAsia="Times New Roman" w:hAnsi="Times New Roman"/>
          <w:sz w:val="22"/>
          <w:szCs w:val="22"/>
          <w:color w:val="auto"/>
        </w:rPr>
      </w:pPr>
    </w:p>
    <w:p>
      <w:pPr>
        <w:jc w:val="both"/>
        <w:ind w:left="1280" w:hanging="636"/>
        <w:spacing w:after="0" w:line="248" w:lineRule="auto"/>
        <w:tabs>
          <w:tab w:leader="none" w:pos="127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 of the present value of the Contracted Revenues from the applicable Designated Offtake Agreement during the lesser of (A) the succeeding seven years under such Designated Offtake Agreement and (B) the remaining term of such Designated Offtake Agreement;</w:t>
      </w:r>
    </w:p>
    <w:p>
      <w:pPr>
        <w:spacing w:after="0" w:line="208" w:lineRule="exact"/>
        <w:rPr>
          <w:rFonts w:ascii="Times New Roman" w:cs="Times New Roman" w:eastAsia="Times New Roman" w:hAnsi="Times New Roman"/>
          <w:sz w:val="22"/>
          <w:szCs w:val="22"/>
          <w:color w:val="auto"/>
        </w:rPr>
      </w:pPr>
    </w:p>
    <w:p>
      <w:pPr>
        <w:ind w:left="660" w:hanging="644"/>
        <w:spacing w:after="0" w:line="245" w:lineRule="auto"/>
        <w:tabs>
          <w:tab w:leader="none" w:pos="6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of Vitol Inc., Glencore Ltd., Trafigura Pte Ltd, Gunvor Singapore Pte Ltd, NFE North Trading, LLC, Mercuria Energy Group Ltd, Petrobras Global Trading B.V., Axpo Singapore Pte Ltd., and Litasco SA;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960" w:top="1413" w:right="339" w:bottom="1440" w:gutter="0" w:footer="0" w:header="0"/>
        </w:sectPr>
      </w:pPr>
    </w:p>
    <w:bookmarkStart w:id="52" w:name="page53"/>
    <w:bookmarkEnd w:id="52"/>
    <w:p>
      <w:pPr>
        <w:jc w:val="both"/>
        <w:ind w:left="660" w:hanging="644"/>
        <w:spacing w:after="0" w:line="250" w:lineRule="auto"/>
        <w:tabs>
          <w:tab w:leader="none" w:pos="65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so long as the Company has other Designated Offtake Agreements for at least 12.25 MTPA of ACQ with an Offtaker that satisfies the criteria set forth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any Offtaker that has, or whose obligations under the applicable Designated Offtake Agreement are guaranteed by an entity that has, a tangible net worth of at least $3,000,000,000 per 1.0 MTPA of ACQ.</w:t>
      </w:r>
    </w:p>
    <w:p>
      <w:pPr>
        <w:spacing w:after="0" w:line="161" w:lineRule="exact"/>
        <w:rPr>
          <w:sz w:val="20"/>
          <w:szCs w:val="20"/>
          <w:color w:val="auto"/>
        </w:rPr>
      </w:pPr>
    </w:p>
    <w:p>
      <w:pPr>
        <w:jc w:val="right"/>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Offtaker Investors</w:t>
      </w:r>
      <w:r>
        <w:rPr>
          <w:rFonts w:ascii="Times New Roman" w:cs="Times New Roman" w:eastAsia="Times New Roman" w:hAnsi="Times New Roman"/>
          <w:sz w:val="19"/>
          <w:szCs w:val="19"/>
          <w:color w:val="auto"/>
        </w:rPr>
        <w:t>” means (a) any Initial Offtaker that is not required to provide credit support on the Closing Date in respect of its obligations under the Initial Offtake Agreement to which is a party, (b) any entity that, as of the Closing Date, provides a guaranty in respect of an Initial Offtaker’s obligations under the Initial Offtake Agreement to which such Initial Offtaker is a party,</w:t>
      </w:r>
    </w:p>
    <w:p>
      <w:pPr>
        <w:jc w:val="both"/>
        <w:ind w:left="100" w:hanging="3"/>
        <w:spacing w:after="0" w:line="253" w:lineRule="auto"/>
        <w:tabs>
          <w:tab w:leader="none" w:pos="37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entity that provides a guaranty as contemplated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“Qualified Offtaker”, (d) any entity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“Qualified Offtaker”, and (e) to the extent satisfying the KYC Requirements, any entity that Controls any of the foregoing.</w:t>
      </w:r>
    </w:p>
    <w:p>
      <w:pPr>
        <w:spacing w:after="0" w:line="158" w:lineRule="exact"/>
        <w:rPr>
          <w:sz w:val="20"/>
          <w:szCs w:val="20"/>
          <w:color w:val="auto"/>
        </w:rPr>
      </w:pPr>
    </w:p>
    <w:p>
      <w:pPr>
        <w:jc w:val="both"/>
        <w:ind w:left="10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Company</w:t>
      </w:r>
      <w:r>
        <w:rPr>
          <w:rFonts w:ascii="Times New Roman" w:cs="Times New Roman" w:eastAsia="Times New Roman" w:hAnsi="Times New Roman"/>
          <w:sz w:val="20"/>
          <w:szCs w:val="20"/>
          <w:color w:val="auto"/>
        </w:rPr>
        <w:t>” means any publicly listed indirect parent of the Company following a Qualified Public Offering, so long as following such Qualified Public Offering, no person (other than such entity, the Sponsor, the Approved Owners, Qualified Investment Entities, Qualified Offtaker Investors, Qualified Energy Companies, such publicly listed parent company following such Qualified Public Offering or any underwriter or placement agent participating in such Qualified Public Offering) or persons constituting a “group” (within the meaning of Section 13(d) of the Securities Exchange Act of 1934 or any successor provision) (excluding employee benefit plans of the Company or any of its Affiliates and any person or entity acting in its capacity as trustee, agent or other fiduciary or administrator of any such plan) becomes the Beneficial Owner, directly or indirectly, of more than 50% of the economic interests in the Company and, directly or indirectly, Controls the Company.</w:t>
      </w:r>
    </w:p>
    <w:p>
      <w:pPr>
        <w:spacing w:after="0" w:line="174" w:lineRule="exact"/>
        <w:rPr>
          <w:sz w:val="20"/>
          <w:szCs w:val="20"/>
          <w:color w:val="auto"/>
        </w:rPr>
      </w:pPr>
    </w:p>
    <w:p>
      <w:pPr>
        <w:jc w:val="both"/>
        <w:ind w:left="10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Offering</w:t>
      </w:r>
      <w:r>
        <w:rPr>
          <w:rFonts w:ascii="Times New Roman" w:cs="Times New Roman" w:eastAsia="Times New Roman" w:hAnsi="Times New Roman"/>
          <w:sz w:val="20"/>
          <w:szCs w:val="20"/>
          <w:color w:val="auto"/>
        </w:rPr>
        <w:t>” means any public offering of the Sponsor or its Affiliates with any indirect ownership interest in the Company or any direct or indirect shareholder of the Company.</w:t>
      </w:r>
    </w:p>
    <w:p>
      <w:pPr>
        <w:spacing w:after="0" w:line="152" w:lineRule="exact"/>
        <w:rPr>
          <w:sz w:val="20"/>
          <w:szCs w:val="20"/>
          <w:color w:val="auto"/>
        </w:rPr>
      </w:pPr>
    </w:p>
    <w:p>
      <w:pPr>
        <w:jc w:val="both"/>
        <w:ind w:left="10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Term</w:t>
      </w:r>
      <w:r>
        <w:rPr>
          <w:rFonts w:ascii="Times New Roman" w:cs="Times New Roman" w:eastAsia="Times New Roman" w:hAnsi="Times New Roman"/>
          <w:sz w:val="20"/>
          <w:szCs w:val="20"/>
          <w:color w:val="auto"/>
        </w:rPr>
        <w:t>” means (a) with respect to any Designated Offtake Agreement other than a replacement Designated Offtake Agreement, the term of such Offtake Agreement used in the Base Case Forecast when determining the applicable quantum of Senior Secured Debt that could be incurred based on the revenues projected to be generated under such Offtake Agreement and (b) with respect to one or more Offtake Agreements entered into to replace any terminated Designated Offtake Agreement, (i) a term at least as long, taken as a whole, as the remaining term of the terminated Designated Offtake Agreement that such Offtake Agreement(s) are replacing or (ii) the term for such replacement Offtake Agreement(s) used in the Base Case Forecast to calculate the quantum of Senior Secured Debt required to be prepaid as a result of the terminated Designated Offtake Agreement and entry into such replacement Offtake Agreement(s).</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Reaffirmation</w:t>
      </w:r>
      <w:r>
        <w:rPr>
          <w:rFonts w:ascii="Times New Roman" w:cs="Times New Roman" w:eastAsia="Times New Roman" w:hAnsi="Times New Roman"/>
          <w:sz w:val="20"/>
          <w:szCs w:val="20"/>
          <w:color w:val="auto"/>
        </w:rPr>
        <w:t>” means, with respect to any matter under this Indenture requiring a Rating Reaffirmation, that any two Specified Rating Agencies that are then rating the Notes (or, if only one Specified Rating Agency is then rating the Notes, such agency) have considered the matter and confirmed that, if implemented (or if such matter is an Event of Default, if such event continued), they would reaffirm the then current rating or provide a more favorable rating.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00"/>
          </w:cols>
          <w:pgMar w:left="96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Reinstatement Debt</w:t>
      </w:r>
      <w:r>
        <w:rPr>
          <w:rFonts w:ascii="Times New Roman" w:cs="Times New Roman" w:eastAsia="Times New Roman" w:hAnsi="Times New Roman"/>
          <w:sz w:val="20"/>
          <w:szCs w:val="20"/>
          <w:color w:val="auto"/>
        </w:rPr>
        <w:t>” means Relevering Debt that satisfies (a) the conditions set forth in Section 2.5 (</w:t>
      </w:r>
      <w:r>
        <w:rPr>
          <w:rFonts w:ascii="Times New Roman" w:cs="Times New Roman" w:eastAsia="Times New Roman" w:hAnsi="Times New Roman"/>
          <w:sz w:val="20"/>
          <w:szCs w:val="20"/>
          <w:i w:val="1"/>
          <w:iCs w:val="1"/>
          <w:color w:val="auto"/>
        </w:rPr>
        <w:t>Relevering Debt</w:t>
      </w:r>
      <w:r>
        <w:rPr>
          <w:rFonts w:ascii="Times New Roman" w:cs="Times New Roman" w:eastAsia="Times New Roman" w:hAnsi="Times New Roman"/>
          <w:sz w:val="20"/>
          <w:szCs w:val="20"/>
          <w:color w:val="auto"/>
        </w:rPr>
        <w:t>) of the</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Common Terms Agreement and (b) the following conditions:</w:t>
      </w:r>
    </w:p>
    <w:p>
      <w:pPr>
        <w:spacing w:after="0" w:line="200" w:lineRule="exact"/>
        <w:rPr>
          <w:sz w:val="20"/>
          <w:szCs w:val="20"/>
          <w:color w:val="auto"/>
        </w:rPr>
      </w:pPr>
    </w:p>
    <w:p>
      <w:pPr>
        <w:spacing w:after="0" w:line="257" w:lineRule="exact"/>
        <w:rPr>
          <w:sz w:val="20"/>
          <w:szCs w:val="20"/>
          <w:color w:val="auto"/>
        </w:rPr>
      </w:pPr>
    </w:p>
    <w:p>
      <w:pPr>
        <w:ind w:left="1300" w:hanging="636"/>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LNG Sales Mandatory Prepayment Event has occurred;</w:t>
      </w:r>
    </w:p>
    <w:p>
      <w:pPr>
        <w:spacing w:after="0" w:line="233" w:lineRule="exact"/>
        <w:rPr>
          <w:rFonts w:ascii="Times New Roman" w:cs="Times New Roman" w:eastAsia="Times New Roman" w:hAnsi="Times New Roman"/>
          <w:sz w:val="22"/>
          <w:szCs w:val="22"/>
          <w:color w:val="auto"/>
        </w:rPr>
      </w:pPr>
    </w:p>
    <w:p>
      <w:pPr>
        <w:ind w:left="1320" w:hanging="656"/>
        <w:spacing w:after="0" w:line="245" w:lineRule="auto"/>
        <w:tabs>
          <w:tab w:leader="none" w:pos="13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LNG Sales Mandatory Prepayment Event shall have been cured pursuant to each applicable Senior Secured Debt Instrument;</w:t>
      </w:r>
    </w:p>
    <w:p>
      <w:pPr>
        <w:spacing w:after="0" w:line="222" w:lineRule="exact"/>
        <w:rPr>
          <w:rFonts w:ascii="Times New Roman" w:cs="Times New Roman" w:eastAsia="Times New Roman" w:hAnsi="Times New Roman"/>
          <w:sz w:val="22"/>
          <w:szCs w:val="22"/>
          <w:color w:val="auto"/>
        </w:rPr>
      </w:pPr>
    </w:p>
    <w:p>
      <w:pPr>
        <w:jc w:val="both"/>
        <w:ind w:left="1320" w:hanging="656"/>
        <w:spacing w:after="0" w:line="248" w:lineRule="auto"/>
        <w:tabs>
          <w:tab w:leader="none" w:pos="1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Reinstatement Debt is incurred no later than two years after all applicable LNG Sales Mandatory Prepayments in respect of such LNG Sales Mandatory Prepayment Event have been made pursuant to the applicable Senior Secured Debt Instruments;</w:t>
      </w:r>
    </w:p>
    <w:p>
      <w:pPr>
        <w:spacing w:after="0" w:line="221" w:lineRule="exact"/>
        <w:rPr>
          <w:rFonts w:ascii="Times New Roman" w:cs="Times New Roman" w:eastAsia="Times New Roman" w:hAnsi="Times New Roman"/>
          <w:sz w:val="22"/>
          <w:szCs w:val="22"/>
          <w:color w:val="auto"/>
        </w:rPr>
      </w:pPr>
    </w:p>
    <w:p>
      <w:pPr>
        <w:jc w:val="both"/>
        <w:ind w:left="1320" w:hanging="656"/>
        <w:spacing w:after="0" w:line="248" w:lineRule="auto"/>
        <w:tabs>
          <w:tab w:leader="none" w:pos="130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principal amount of such Reinstatement Debt does not exceed: (A) the amount of such LNG Sales Mandatory Prepayment,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all premiums, fees, costs, expenses and reserves (including any incremental increase in the DSRA Reserve Amounts resulting from the incurrence of such Reinstatement Debt) associated with arranging, issuing and incurring such Reinstatement Debt,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 105% of the P1 IR Hedge Termination Amounts reasonably projected as of such date of incurrence to be due and payable by the Company with respect to any Senior Secured IR Hedge Agreement to be terminated in connection with any such incurrence;</w:t>
      </w:r>
    </w:p>
    <w:p>
      <w:pPr>
        <w:spacing w:after="0" w:line="210" w:lineRule="exact"/>
        <w:rPr>
          <w:rFonts w:ascii="Times New Roman" w:cs="Times New Roman" w:eastAsia="Times New Roman" w:hAnsi="Times New Roman"/>
          <w:sz w:val="22"/>
          <w:szCs w:val="22"/>
          <w:color w:val="auto"/>
        </w:rPr>
      </w:pPr>
    </w:p>
    <w:p>
      <w:pPr>
        <w:jc w:val="both"/>
        <w:ind w:left="1320" w:hanging="656"/>
        <w:spacing w:after="0" w:line="249" w:lineRule="auto"/>
        <w:tabs>
          <w:tab w:leader="none" w:pos="131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Company shall have demonstrated by delivery to the Trustee of an updated Base Case Forecast that all Senior Secured Debt (after taking into account the incurrence of such Reinstatement Debt) outstanding at such time is capable of amortization such that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the Debt Service used to calculate the Indenture Projected DSCR shall assume, if such Reinstatement Debt is incurred prior to the Term Conversion Date, that all Senior Secured Debt Commitments will be fully drawn; and</w:t>
      </w:r>
    </w:p>
    <w:p>
      <w:pPr>
        <w:spacing w:after="0" w:line="209" w:lineRule="exact"/>
        <w:rPr>
          <w:rFonts w:ascii="Times New Roman" w:cs="Times New Roman" w:eastAsia="Times New Roman" w:hAnsi="Times New Roman"/>
          <w:sz w:val="22"/>
          <w:szCs w:val="22"/>
          <w:color w:val="auto"/>
        </w:rPr>
      </w:pPr>
    </w:p>
    <w:p>
      <w:pPr>
        <w:jc w:val="both"/>
        <w:ind w:left="1320" w:hanging="656"/>
        <w:spacing w:after="0" w:line="248" w:lineRule="auto"/>
        <w:tabs>
          <w:tab w:leader="none" w:pos="130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concurrently with the incurrence of any Reinstatement Debt, the Company shall apply the proceeds of such Reinstatement Debt in the following order: (A)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pay all premiums, fees, costs, expenses and reserves (including any incremental increase in the DSRA Reserve Amount resulting from the incurrence of such Reinstatement Debt) associated with arranging, issuing, and incurring such Reinstatement Debt; (B)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fund any reserves (including any incremental increase in the DSRA Reserve Amount) resulting from the incurrence of such Reinstatement Debt; (C)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(1) pay any P1 IR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00"/>
          </w:cols>
          <w:pgMar w:left="960" w:top="1409" w:right="339" w:bottom="1440" w:gutter="0" w:footer="0" w:header="0"/>
        </w:sectPr>
      </w:pPr>
    </w:p>
    <w:bookmarkStart w:id="54" w:name="page55"/>
    <w:bookmarkEnd w:id="54"/>
    <w:p>
      <w:pPr>
        <w:jc w:val="both"/>
        <w:ind w:left="1320"/>
        <w:spacing w:after="0" w:line="265" w:lineRule="auto"/>
        <w:rPr>
          <w:sz w:val="20"/>
          <w:szCs w:val="20"/>
          <w:color w:val="auto"/>
        </w:rPr>
      </w:pPr>
      <w:r>
        <w:rPr>
          <w:rFonts w:ascii="Times New Roman" w:cs="Times New Roman" w:eastAsia="Times New Roman" w:hAnsi="Times New Roman"/>
          <w:sz w:val="19"/>
          <w:szCs w:val="19"/>
          <w:color w:val="auto"/>
        </w:rPr>
        <w:t>Termination Amount that is or will be due and payable with respect to any Senior Secured IR Hedge Agreement to be terminated in connection with any such incurrence or (2) reserve an amount equal to 105% of the P1 IR Hedge Termination Amounts reasonably projected as of such date of incurrence to be due and payable by the Company with respect to any Senior Secured IR Hedge Agreement to be terminated in connection with any such incurrence; and</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make Distributions to the Pledgor.</w:t>
      </w:r>
    </w:p>
    <w:p>
      <w:pPr>
        <w:spacing w:after="0" w:line="203" w:lineRule="exact"/>
        <w:rPr>
          <w:sz w:val="20"/>
          <w:szCs w:val="20"/>
          <w:color w:val="auto"/>
        </w:rPr>
      </w:pPr>
    </w:p>
    <w:p>
      <w:pPr>
        <w:jc w:val="both"/>
        <w:ind w:left="100" w:hanging="90"/>
        <w:spacing w:after="0" w:line="287" w:lineRule="auto"/>
        <w:rPr>
          <w:sz w:val="20"/>
          <w:szCs w:val="20"/>
          <w:color w:val="auto"/>
        </w:rPr>
      </w:pPr>
      <w:r>
        <w:rPr>
          <w:rFonts w:ascii="Times New Roman" w:cs="Times New Roman" w:eastAsia="Times New Roman" w:hAnsi="Times New Roman"/>
          <w:sz w:val="20"/>
          <w:szCs w:val="20"/>
          <w:b w:val="1"/>
          <w:bCs w:val="1"/>
          <w:color w:val="auto"/>
        </w:rPr>
        <w:t>“Related Entity</w:t>
      </w:r>
      <w:r>
        <w:rPr>
          <w:rFonts w:ascii="Times New Roman" w:cs="Times New Roman" w:eastAsia="Times New Roman" w:hAnsi="Times New Roman"/>
          <w:sz w:val="20"/>
          <w:szCs w:val="20"/>
          <w:color w:val="auto"/>
        </w:rPr>
        <w:t>” means, with respect to any Person, any other person directly or indirectly Controlling, Controlled by or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 or indirect common Control with such Person.</w:t>
      </w:r>
    </w:p>
    <w:p>
      <w:pPr>
        <w:spacing w:after="0" w:line="125"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means, with respect to any Noteholder, any fund or entity that (a) invests in securities or bank loans, and (b) is advised or managed by such Noteholder, the same investment advisor as such Noteholder or by an Affiliate of such Noteholder or such investment advisor.</w:t>
      </w:r>
    </w:p>
    <w:p>
      <w:pPr>
        <w:spacing w:after="0" w:line="148" w:lineRule="exact"/>
        <w:rPr>
          <w:sz w:val="20"/>
          <w:szCs w:val="20"/>
          <w:color w:val="auto"/>
        </w:rPr>
      </w:pPr>
    </w:p>
    <w:p>
      <w:pPr>
        <w:jc w:val="both"/>
        <w:ind w:left="10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Export Authorization</w:t>
      </w:r>
      <w:r>
        <w:rPr>
          <w:rFonts w:ascii="Times New Roman" w:cs="Times New Roman" w:eastAsia="Times New Roman" w:hAnsi="Times New Roman"/>
          <w:sz w:val="20"/>
          <w:szCs w:val="20"/>
          <w:color w:val="auto"/>
        </w:rPr>
        <w:t>” means, with respect to each Designated Offtake Agreement at any time, the DOE Export Authorization and any other export authorization that the Company designates as a “Required Export Authorization” in connection with the entry into, or designation of, a Designated Offtake Agreement, in each case, to the extent that, at such time, the volumes permitted to be exported under the DOE Export Authorization or such export authorization, as the case may be, are required in order to enable the sale of such Designated Offtake Agreement’s share of the then-applicable Base Committed Quantity of LNG in accordance with the terms of such Designated Offtake Agreement.</w:t>
      </w:r>
    </w:p>
    <w:p>
      <w:pPr>
        <w:spacing w:after="0" w:line="160" w:lineRule="exact"/>
        <w:rPr>
          <w:sz w:val="20"/>
          <w:szCs w:val="20"/>
          <w:color w:val="auto"/>
        </w:rPr>
      </w:pPr>
    </w:p>
    <w:p>
      <w:pPr>
        <w:jc w:val="both"/>
        <w:ind w:left="10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when used with respect to the Trustee, means any officer within the corporate trust department of the Trustee (or any successor division or unit of the Trustee) located at the Corporate Trust Office of the Trustee, who has direct responsibility for the administration of this Indenture and also means any other officer to whom such matter is referred because of his knowledge of and familiarity with the particular subject.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forty-day distribution compliance period as defined in Regulation S.</w:t>
      </w:r>
    </w:p>
    <w:p>
      <w:pPr>
        <w:spacing w:after="0" w:line="202" w:lineRule="exact"/>
        <w:rPr>
          <w:sz w:val="20"/>
          <w:szCs w:val="20"/>
          <w:color w:val="auto"/>
        </w:rPr>
      </w:pPr>
    </w:p>
    <w:p>
      <w:pPr>
        <w:jc w:val="right"/>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Person</w:t>
      </w:r>
      <w:r>
        <w:rPr>
          <w:rFonts w:ascii="Times New Roman" w:cs="Times New Roman" w:eastAsia="Times New Roman" w:hAnsi="Times New Roman"/>
          <w:sz w:val="20"/>
          <w:szCs w:val="20"/>
          <w:color w:val="auto"/>
        </w:rPr>
        <w:t>” means a Person that is: (a) the target of Sanctions Regulations; (b) a Canada Blocked Person, (c) a Person listed on, or acting on behalf of a Person listed on, any Sanctions List; (d) a Person located, organized, or ordinarily resident in a country, territory, or region that is, or whose government is, the target of country-wide or territory-wide comprehensive Sanctions Regulations (as of the date of this Agreement, Cuba, Iran, North Korea, Syria, the Crimea region of Ukraine, the so-called Donetsk People’s Republic, and the so-called Luhansk People’s Republic) but excluding, for the elimination of doubt, the United States; or</w:t>
      </w:r>
    </w:p>
    <w:p>
      <w:pPr>
        <w:spacing w:after="0" w:line="5" w:lineRule="exact"/>
        <w:rPr>
          <w:sz w:val="20"/>
          <w:szCs w:val="20"/>
          <w:color w:val="auto"/>
        </w:rPr>
      </w:pPr>
    </w:p>
    <w:p>
      <w:pPr>
        <w:ind w:right="60" w:firstLine="97"/>
        <w:spacing w:after="0" w:line="440"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owned more than 50% by or otherwise controlled by a Person or Persons, country, territory or region in (a) through (d).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1" w:lineRule="exact"/>
        <w:rPr>
          <w:rFonts w:ascii="Times New Roman" w:cs="Times New Roman" w:eastAsia="Times New Roman" w:hAnsi="Times New Roman"/>
          <w:sz w:val="20"/>
          <w:szCs w:val="20"/>
          <w:color w:val="auto"/>
        </w:rPr>
      </w:pPr>
    </w:p>
    <w:p>
      <w:pPr>
        <w:ind w:right="5020"/>
        <w:spacing w:after="0" w:line="5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144A</w:t>
      </w:r>
      <w:r>
        <w:rPr>
          <w:rFonts w:ascii="Times New Roman" w:cs="Times New Roman" w:eastAsia="Times New Roman" w:hAnsi="Times New Roman"/>
          <w:sz w:val="19"/>
          <w:szCs w:val="19"/>
          <w:color w:val="auto"/>
        </w:rPr>
        <w:t>” means Rule 144A promulgated under the Securities Act. “</w:t>
      </w:r>
      <w:r>
        <w:rPr>
          <w:rFonts w:ascii="Times New Roman" w:cs="Times New Roman" w:eastAsia="Times New Roman" w:hAnsi="Times New Roman"/>
          <w:sz w:val="19"/>
          <w:szCs w:val="19"/>
          <w:b w:val="1"/>
          <w:bCs w:val="1"/>
          <w:color w:val="auto"/>
        </w:rPr>
        <w:t>Rule 144A Information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00"/>
          </w:cols>
          <w:pgMar w:left="96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216" w:lineRule="exact"/>
        <w:rPr>
          <w:sz w:val="20"/>
          <w:szCs w:val="20"/>
          <w:color w:val="auto"/>
        </w:rPr>
      </w:pPr>
    </w:p>
    <w:p>
      <w:pPr>
        <w:jc w:val="both"/>
        <w:ind w:left="10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Authorities</w:t>
      </w:r>
      <w:r>
        <w:rPr>
          <w:rFonts w:ascii="Times New Roman" w:cs="Times New Roman" w:eastAsia="Times New Roman" w:hAnsi="Times New Roman"/>
          <w:sz w:val="20"/>
          <w:szCs w:val="20"/>
          <w:color w:val="auto"/>
        </w:rPr>
        <w:t>” means (a) the United States; (b) the United Nations (acting through the United Nations Security Council as a whole and not each individual member or member state); (c) the European Union (as a whole and not each member state); (d) the United Kingdom; (e) Canada; or (f) the respective governmental institutions and agencies of any of the foregoing, including OFAC, the United States Department of State, and HMT.</w:t>
      </w:r>
    </w:p>
    <w:p>
      <w:pPr>
        <w:spacing w:after="0" w:line="170" w:lineRule="exact"/>
        <w:rPr>
          <w:sz w:val="20"/>
          <w:szCs w:val="20"/>
          <w:color w:val="auto"/>
        </w:rPr>
      </w:pPr>
    </w:p>
    <w:p>
      <w:pPr>
        <w:jc w:val="both"/>
        <w:ind w:left="10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70" w:lineRule="exact"/>
        <w:rPr>
          <w:sz w:val="20"/>
          <w:szCs w:val="20"/>
          <w:color w:val="auto"/>
        </w:rPr>
      </w:pPr>
    </w:p>
    <w:p>
      <w:pPr>
        <w:jc w:val="both"/>
        <w:ind w:left="10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Regulations</w:t>
      </w:r>
      <w:r>
        <w:rPr>
          <w:rFonts w:ascii="Times New Roman" w:cs="Times New Roman" w:eastAsia="Times New Roman" w:hAnsi="Times New Roman"/>
          <w:sz w:val="20"/>
          <w:szCs w:val="20"/>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48" w:lineRule="exact"/>
        <w:rPr>
          <w:sz w:val="20"/>
          <w:szCs w:val="20"/>
          <w:color w:val="auto"/>
        </w:rPr>
      </w:pPr>
    </w:p>
    <w:p>
      <w:pPr>
        <w:jc w:val="both"/>
        <w:ind w:left="10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“Senior Financial Officer” </w:t>
      </w:r>
      <w:r>
        <w:rPr>
          <w:rFonts w:ascii="Times New Roman" w:cs="Times New Roman" w:eastAsia="Times New Roman" w:hAnsi="Times New Roman"/>
          <w:sz w:val="19"/>
          <w:szCs w:val="19"/>
          <w:color w:val="auto"/>
        </w:rPr>
        <w:t>means the chief financial officer, principal accounting officer, treasurer or comptroller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 Holder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Creditor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Rating Agency</w:t>
      </w:r>
      <w:r>
        <w:rPr>
          <w:rFonts w:ascii="Times New Roman" w:cs="Times New Roman" w:eastAsia="Times New Roman" w:hAnsi="Times New Roman"/>
          <w:sz w:val="20"/>
          <w:szCs w:val="20"/>
          <w:color w:val="auto"/>
        </w:rPr>
        <w:t>” means Moody’s, S&amp;P, Fitch or DBRS or such other nationally recognized rating agency as approved by Noteholders that individually or collectively hold at least 25% of the then outstanding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00"/>
          </w:cols>
          <w:pgMar w:left="960" w:top="140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Train Facility</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10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Indenture</w:t>
      </w:r>
      <w:r>
        <w:rPr>
          <w:rFonts w:ascii="Times New Roman" w:cs="Times New Roman" w:eastAsia="Times New Roman" w:hAnsi="Times New Roman"/>
          <w:sz w:val="20"/>
          <w:szCs w:val="20"/>
          <w:color w:val="auto"/>
        </w:rPr>
        <w:t xml:space="preserve">” means any indenture supplemental to this Indenture governing the terms and conditions of any Additional Notes issued from time to time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in each case, to the extent that the Indebtedness evidence by any Additional Notes, and the terms and conditions of any such Indebtedness, Additional Notes and Supplemental Indenture, are permitted by this Indenture, including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SVO</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Train Facility</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10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Rate</w:t>
      </w:r>
      <w:r>
        <w:rPr>
          <w:rFonts w:ascii="Times New Roman" w:cs="Times New Roman" w:eastAsia="Times New Roman" w:hAnsi="Times New Roman"/>
          <w:sz w:val="20"/>
          <w:szCs w:val="20"/>
          <w:color w:val="auto"/>
        </w:rPr>
        <w:t>” means, with respect to any redemption date, the yield determined by the Company in accordance with the following two paragraphs.</w:t>
      </w:r>
    </w:p>
    <w:p>
      <w:pPr>
        <w:spacing w:after="0" w:line="156"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00"/>
          </w:cols>
          <w:pgMar w:left="960" w:top="1409" w:right="339" w:bottom="1440" w:gutter="0" w:footer="0" w:header="0"/>
        </w:sectPr>
      </w:pPr>
    </w:p>
    <w:bookmarkStart w:id="57" w:name="page58"/>
    <w:bookmarkEnd w:id="57"/>
    <w:p>
      <w:pPr>
        <w:jc w:val="both"/>
        <w:ind w:left="740"/>
        <w:spacing w:after="0" w:line="253" w:lineRule="auto"/>
        <w:rPr>
          <w:sz w:val="20"/>
          <w:szCs w:val="20"/>
          <w:color w:val="auto"/>
        </w:rPr>
      </w:pPr>
      <w:r>
        <w:rPr>
          <w:rFonts w:ascii="Times New Roman" w:cs="Times New Roman" w:eastAsia="Times New Roman" w:hAnsi="Times New Roman"/>
          <w:sz w:val="20"/>
          <w:szCs w:val="20"/>
          <w:color w:val="auto"/>
        </w:rPr>
        <w:t>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4" w:lineRule="exact"/>
        <w:rPr>
          <w:sz w:val="20"/>
          <w:szCs w:val="20"/>
          <w:color w:val="auto"/>
        </w:rPr>
      </w:pPr>
    </w:p>
    <w:p>
      <w:pPr>
        <w:jc w:val="both"/>
        <w:ind w:left="74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Wilmington Trust, National Association, until a successor replaces it in accordance with the applicable provisions of this Indenture and thereafter means the successor serving hereunder.</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Noteholder</w:t>
      </w:r>
      <w:r>
        <w:rPr>
          <w:rFonts w:ascii="Times New Roman" w:cs="Times New Roman" w:eastAsia="Times New Roman" w:hAnsi="Times New Roman"/>
          <w:sz w:val="20"/>
          <w:szCs w:val="20"/>
          <w:color w:val="auto"/>
        </w:rPr>
        <w:t>” means a Noteholder that is a U.S. Person.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 “United States Person” as defined in Section 7701(a)(30) of the Code.</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United States Public Law 107-56, Uniting and Strengthening America by Providing Appropriate Tools Required to Intercept and Obstruct Terrorism (USA PATRIOT ACT) of 2001, and the rules and regulations promulgated thereunder from time to time in effect.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Voluntary Equity Contributions</w:t>
      </w:r>
      <w:r>
        <w:rPr>
          <w:rFonts w:ascii="Times New Roman" w:cs="Times New Roman" w:eastAsia="Times New Roman" w:hAnsi="Times New Roman"/>
          <w:sz w:val="20"/>
          <w:szCs w:val="20"/>
          <w:color w:val="auto"/>
        </w:rPr>
        <w:t>” has the meaning assigned to such term in the P1 Equity Contribution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Interpretation</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In this Indenture, except to the extent specified to the contrary or where context otherwise requires, the provisions of Section 1.2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of the Common Terms Agreement shall be applied.</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UCC Terms</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used herein that are defined in the UCC shall have the respective meanings given to those terms in the UCC.</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Accounting and Financial Determinations</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58" w:name="page59"/>
    <w:bookmarkEnd w:id="58"/>
    <w:p>
      <w:pPr>
        <w:ind w:left="640" w:right="20"/>
        <w:spacing w:after="0" w:line="283" w:lineRule="auto"/>
        <w:rPr>
          <w:sz w:val="20"/>
          <w:szCs w:val="20"/>
          <w:color w:val="auto"/>
        </w:rPr>
      </w:pPr>
      <w:r>
        <w:rPr>
          <w:rFonts w:ascii="Times New Roman" w:cs="Times New Roman" w:eastAsia="Times New Roman" w:hAnsi="Times New Roman"/>
          <w:sz w:val="20"/>
          <w:szCs w:val="20"/>
          <w:color w:val="auto"/>
        </w:rPr>
        <w:t>such ratio or requirement shall be modified in a manner determined as soon as reasonably practicable and in good faith by the Company and set forth in a written notice to the Trustee that preserves the original intent thereof in light of such change in GAAP.</w:t>
      </w:r>
    </w:p>
    <w:p>
      <w:pPr>
        <w:spacing w:after="0" w:line="129"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NOTES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Form and Dating</w:t>
      </w:r>
    </w:p>
    <w:p>
      <w:pPr>
        <w:spacing w:after="0" w:line="198" w:lineRule="exact"/>
        <w:rPr>
          <w:sz w:val="20"/>
          <w:szCs w:val="20"/>
          <w:color w:val="auto"/>
        </w:rPr>
      </w:pPr>
    </w:p>
    <w:p>
      <w:pPr>
        <w:jc w:val="both"/>
        <w:ind w:left="1280" w:hanging="634"/>
        <w:spacing w:after="0" w:line="260" w:lineRule="auto"/>
        <w:tabs>
          <w:tab w:leader="none" w:pos="1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terms and provisions contained in the Notes will constitute, and are hereby expressly made, a part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0" w:lineRule="exact"/>
        <w:rPr>
          <w:rFonts w:ascii="Times New Roman" w:cs="Times New Roman" w:eastAsia="Times New Roman" w:hAnsi="Times New Roman"/>
          <w:sz w:val="20"/>
          <w:szCs w:val="20"/>
          <w:color w:val="auto"/>
        </w:rPr>
      </w:pPr>
    </w:p>
    <w:p>
      <w:pPr>
        <w:ind w:left="1280" w:hanging="634"/>
        <w:spacing w:after="0" w:line="287" w:lineRule="auto"/>
        <w:tabs>
          <w:tab w:leader="none" w:pos="127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Subject to compliance with the provisions of this Indenture, the Company may from time to time after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Issue Date issue Additional Notes as provided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is incorporated by reference in this </w:t>
      </w:r>
      <w:r>
        <w:rPr>
          <w:rFonts w:ascii="Times New Roman" w:cs="Times New Roman" w:eastAsia="Times New Roman" w:hAnsi="Times New Roman"/>
          <w:sz w:val="20"/>
          <w:szCs w:val="20"/>
          <w:u w:val="single" w:color="auto"/>
          <w:color w:val="auto"/>
        </w:rPr>
        <w:t>Section 2.1(b).</w:t>
      </w:r>
    </w:p>
    <w:p>
      <w:pPr>
        <w:spacing w:after="0" w:line="124"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Schedule and Adjustments</w:t>
      </w:r>
      <w:r>
        <w:rPr>
          <w:rFonts w:ascii="Times New Roman" w:cs="Times New Roman" w:eastAsia="Times New Roman" w:hAnsi="Times New Roman"/>
          <w:sz w:val="20"/>
          <w:szCs w:val="20"/>
          <w:color w:val="auto"/>
        </w:rPr>
        <w:t>. The terms and provisions contained in the Payment Schedule will constitute, and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hereby expressly made, a part of this Indenture, and the Company and each Holder of Notes by acceptance thereof, expressly agrees to such terms and provisions and to be bound thereby. The Payment Schedule shall be appropriately adjusted (whereby scheduled payments of principal set out in the Payment Schedule are decreased in the manner set forth in Annex A of this Indenture) in any circumstance (each an “</w:t>
      </w:r>
      <w:r>
        <w:rPr>
          <w:rFonts w:ascii="Times New Roman" w:cs="Times New Roman" w:eastAsia="Times New Roman" w:hAnsi="Times New Roman"/>
          <w:sz w:val="20"/>
          <w:szCs w:val="20"/>
          <w:b w:val="1"/>
          <w:bCs w:val="1"/>
          <w:color w:val="auto"/>
        </w:rPr>
        <w:t>Applicable Prepayment</w:t>
      </w:r>
      <w:r>
        <w:rPr>
          <w:rFonts w:ascii="Times New Roman" w:cs="Times New Roman" w:eastAsia="Times New Roman" w:hAnsi="Times New Roman"/>
          <w:sz w:val="20"/>
          <w:szCs w:val="20"/>
          <w:color w:val="auto"/>
        </w:rPr>
        <w:t xml:space="preserve">”) in which Notes are redeemed, repurchased, repaid (prior to maturity), prepaid or purchased and submitted for cancellation by the Company in accordance with this Indenture, in each case, other than after acceleration (which shall be governed by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of this Indenture). If the Company elects or is required to make an Applicable Prepayment, it must furnish to the Trustee, at least three days (or such shorter period reasonably acceptable to the Trustee) but not more than thirty days before the effective date of the Applicable Prepayment, an Officer’s Certificate setting forth the Payment Schedule adjusted in accordance with the terms of Annex A. For clarity, any adjustments to the Payment Schedule undertaken pursuant to and in accordance with this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do not require consent of, or action by, any Holder</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Execution and Authentication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 least one Authorized Officer must sign the Notes for the Company by manual or electronically imaged signature.</w:t>
      </w:r>
    </w:p>
    <w:p>
      <w:pPr>
        <w:spacing w:after="0" w:line="216"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If an Authorized Officer whose signature is on a Note no longer holds that office at the time a Note is authenticated, the Note will nevertheless be valid.</w:t>
      </w:r>
    </w:p>
    <w:p>
      <w:pPr>
        <w:spacing w:after="0" w:line="146"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or electronically imaged signature of the Trustee. The signature will be conclusive evidence that the Note has been authenticated under this Indenture.</w:t>
      </w:r>
    </w:p>
    <w:p>
      <w:pPr>
        <w:spacing w:after="0" w:line="129"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The Trustee will, upon receipt of a written order of the Company signed by at least one Authorized Officer (an “</w:t>
      </w:r>
      <w:r>
        <w:rPr>
          <w:rFonts w:ascii="Times New Roman" w:cs="Times New Roman" w:eastAsia="Times New Roman" w:hAnsi="Times New Roman"/>
          <w:sz w:val="20"/>
          <w:szCs w:val="20"/>
          <w:b w:val="1"/>
          <w:bCs w:val="1"/>
          <w:color w:val="auto"/>
        </w:rPr>
        <w:t>Authentication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authenticate Notes for original issue that may be validly issued under this Indenture, including any Additional Notes.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59" w:name="page60"/>
    <w:bookmarkEnd w:id="59"/>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amount of Notes outstanding at any time may not exceed the aggregate principal amount of Notes authorized for issuance by the Company pursuant to one or more Authentication Orders,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Noteholders or an Affiliate of the Company.</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Initial Notes and the Additional Notes shall be treated as a single class for all purposes under this Indenture, and unless the context otherwise requires, all references to the Notes shall include the Initial Notes and any Additional Notes. Nothing in this paragraph shall be deemed to modify, replace or otherwise affect the restrictions on transfer applicable to Restricted Definitive Notes set forth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Registrar and Paying Agent</w:t>
      </w:r>
    </w:p>
    <w:p>
      <w:pPr>
        <w:spacing w:after="0" w:line="19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Trustee is hereby appointed “</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for the purpose of registering Notes and transfers of Notes as herein provided (including any temporary Notes). The Registrar shall keep a register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in which, subject to such reasonable regulations as it may prescribe, the Registrar shall, subject to the provisions hereof, provide for the registration of Notes and transfers of Notes. The Register is intended to cause each Note and other obligation hereunder to be in registered form within the meaning of Section 5f.103-1(c) of the United States Treasury Regulations and Proposed Treasury Regulations Section 1.163-5(b) (or any amended or successor version) and within the meaning of Sections 163(f), 871(h)(2) and 881(c)(2) of the Code and any related United States Treasury Regulations (or any other relevant or successor provisions of the Code or of such United States Treasury Regulations). The entries in the Register shall be conclusive and binding for all purposes, absent manifest error, and the Company, the Trustee, and the Holders shall treat each Person whose name is recorded in the Register pursuant to the terms of this Indenture as a Holder for all purposes of this Indenture. The Register shall be available for inspection by the Company and each Holder (but only as to its own holdings), at any reasonable time and from time to time upon reasonable prior notice.</w:t>
      </w:r>
    </w:p>
    <w:p>
      <w:pPr>
        <w:spacing w:after="0" w:line="166"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Subject to the provisions hereof upon surrender for registration of transfer of any Definitive Note of any series to the Trustee, the Company shall execute, and the Trustee shall authenticate and deliver, in the name of the designated transferee or transferees, one or more new Definitive Notes of the same series of any authorized denominations and of a like aggregate principal amount.</w:t>
      </w:r>
    </w:p>
    <w:p>
      <w:pPr>
        <w:spacing w:after="0" w:line="14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Subject to the provisions hereof, at the option of the Noteholder, Definitive Notes of any series may be exchanged for other Definitive Notes of the same series, of any authorized denominations and of a like aggregate principal amount, upon surrender of the Definitive Notes to be exchanged at such office or agency. Whenever any Definitive Notes are so surrendered for exchange, the Company shall execute, and the Trustee shall authenticate and deliver, the Definitive Notes which the Noteholder making the exchange is entitled to receive.</w:t>
      </w:r>
    </w:p>
    <w:p>
      <w:pPr>
        <w:spacing w:after="0" w:line="16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All Notes issued upon any registration of transfer or exchange of Notes shall be the valid obligations of the Company, evidencing the same debt, and entitled to the same benefits and subject to the same obligations under this Indenture, as the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3" w:right="339" w:bottom="1440" w:gutter="0" w:footer="0" w:header="0"/>
        </w:sectPr>
      </w:pPr>
    </w:p>
    <w:bookmarkStart w:id="60" w:name="page61"/>
    <w:bookmarkEnd w:id="60"/>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Every Note presented or surrendered for registration of transfer or for exchange shall (if so required by the Company or the Trustee) be duly endorsed, or be accompanied by a written instrument of transfer, in form satisfactory to the Company and the Registrar, duly executed by the Noteholder thereof or its attorney duly authorized in writing.</w:t>
      </w:r>
    </w:p>
    <w:p>
      <w:pPr>
        <w:spacing w:after="0" w:line="154"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All Notes shall be issued in the form of Definitive Notes, which Notes shall be issued to and delivered to each applicable Noteholder or, at the Noteholder’s option, the Custodian.</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initially appoints the Trustee to act as paying agent with respect to the Notes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require each Paying Agent other than the Trustee to agree in writing that the Paying Agent will hold in trust for the benefit of the Noteholders or the Trustee all money held by the Paying Agent for the payment of principal, premium,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will have no further liability for the money. If the Company acts as Paying Agent, it will segregate and hold in a separate trust fund for the benefit of the Noteholders all money held by it as Paying Agent. Upon any bankruptcy or reorganization proceedings relating to the Company, the Trustee will serve as Paying Agent for the Notes.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Noteholder Lists</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will preserve in as current a form as is reasonably practicable the most recent list available to it of the names and addresses of all Noteholders.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Noteholders.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Transfer and Exchange</w:t>
      </w:r>
    </w:p>
    <w:p>
      <w:pPr>
        <w:spacing w:after="0" w:line="212" w:lineRule="exact"/>
        <w:rPr>
          <w:sz w:val="20"/>
          <w:szCs w:val="20"/>
          <w:color w:val="auto"/>
        </w:rPr>
      </w:pPr>
    </w:p>
    <w:p>
      <w:pPr>
        <w:jc w:val="both"/>
        <w:ind w:left="1280" w:hanging="634"/>
        <w:spacing w:after="0" w:line="252" w:lineRule="auto"/>
        <w:tabs>
          <w:tab w:leader="none" w:pos="12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Definitive Notes</w:t>
      </w:r>
      <w:r>
        <w:rPr>
          <w:rFonts w:ascii="Times New Roman" w:cs="Times New Roman" w:eastAsia="Times New Roman" w:hAnsi="Times New Roman"/>
          <w:sz w:val="20"/>
          <w:szCs w:val="20"/>
          <w:color w:val="auto"/>
        </w:rPr>
        <w:t>. Upon request by a Noteholder of Definitive Notes and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Noteholder’s compliance with the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the Registrar will register the transfer or exchange of Definitive Notes. Prior to such registration of transfer or exchange, the requesting Noteholder must present or surrender to the Registrar the Definitive Notes duly endorsed or accompanied by a written instruction of transfer in form satisfactory to the Registrar duly executed by such Noteholder or by its attorney, duly authorized in writing. In addition, the requesting Noteholder must provide any additional certifications, documents and information, as applicable, required pursuant to the following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920" w:hanging="636"/>
        <w:spacing w:after="0" w:line="263" w:lineRule="auto"/>
        <w:tabs>
          <w:tab w:leader="none" w:pos="191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Restricted Definitive Notes</w:t>
      </w:r>
      <w:r>
        <w:rPr>
          <w:rFonts w:ascii="Times New Roman" w:cs="Times New Roman" w:eastAsia="Times New Roman" w:hAnsi="Times New Roman"/>
          <w:sz w:val="20"/>
          <w:szCs w:val="20"/>
          <w:color w:val="auto"/>
        </w:rPr>
        <w:t>. Any Restricted Definitive Note may be transferred to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in the name of Persons who take delivery thereof in the form of a 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61" w:name="page62"/>
    <w:bookmarkEnd w:id="61"/>
    <w:p>
      <w:pPr>
        <w:ind w:left="1914" w:hanging="639"/>
        <w:spacing w:after="0" w:line="283" w:lineRule="auto"/>
        <w:tabs>
          <w:tab w:leader="none" w:pos="190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2" w:lineRule="exact"/>
        <w:rPr>
          <w:rFonts w:ascii="Times New Roman" w:cs="Times New Roman" w:eastAsia="Times New Roman" w:hAnsi="Times New Roman"/>
          <w:sz w:val="20"/>
          <w:szCs w:val="20"/>
          <w:color w:val="auto"/>
        </w:rPr>
      </w:pPr>
    </w:p>
    <w:p>
      <w:pPr>
        <w:ind w:left="1914" w:hanging="639"/>
        <w:spacing w:after="0" w:line="269" w:lineRule="auto"/>
        <w:tabs>
          <w:tab w:leader="none" w:pos="190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 and</w:t>
      </w:r>
    </w:p>
    <w:p>
      <w:pPr>
        <w:spacing w:after="0" w:line="159" w:lineRule="exact"/>
        <w:rPr>
          <w:rFonts w:ascii="Times New Roman" w:cs="Times New Roman" w:eastAsia="Times New Roman" w:hAnsi="Times New Roman"/>
          <w:sz w:val="20"/>
          <w:szCs w:val="20"/>
          <w:color w:val="auto"/>
        </w:rPr>
      </w:pPr>
    </w:p>
    <w:p>
      <w:pPr>
        <w:jc w:val="both"/>
        <w:ind w:left="1914" w:hanging="639"/>
        <w:spacing w:after="0" w:line="261" w:lineRule="auto"/>
        <w:tabs>
          <w:tab w:leader="none" w:pos="190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certificates and Opinion of Counsel required by item (3) thereof, if applicable.</w:t>
      </w:r>
    </w:p>
    <w:p>
      <w:pPr>
        <w:spacing w:after="0" w:line="150" w:lineRule="exact"/>
        <w:rPr>
          <w:rFonts w:ascii="Times New Roman" w:cs="Times New Roman" w:eastAsia="Times New Roman" w:hAnsi="Times New Roman"/>
          <w:sz w:val="20"/>
          <w:szCs w:val="20"/>
          <w:color w:val="auto"/>
        </w:rPr>
      </w:pPr>
    </w:p>
    <w:p>
      <w:pPr>
        <w:jc w:val="both"/>
        <w:ind w:left="1274" w:hanging="636"/>
        <w:spacing w:after="0" w:line="263" w:lineRule="auto"/>
        <w:tabs>
          <w:tab w:leader="none" w:pos="127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Unrestricted Definitive Notes</w:t>
      </w:r>
      <w:r>
        <w:rPr>
          <w:rFonts w:ascii="Times New Roman" w:cs="Times New Roman" w:eastAsia="Times New Roman" w:hAnsi="Times New Roman"/>
          <w:sz w:val="20"/>
          <w:szCs w:val="20"/>
          <w:color w:val="auto"/>
        </w:rPr>
        <w:t>. Any Restricted Definitive Note may be exchanged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Noteholder thereof for an Unrestricted Definitive Note or transferred to a Person or Persons who take delivery thereof in the form of an Unrestricted Definitive Note if the Registrar receives the following:</w:t>
      </w:r>
    </w:p>
    <w:p>
      <w:pPr>
        <w:spacing w:after="0" w:line="165" w:lineRule="exact"/>
        <w:rPr>
          <w:rFonts w:ascii="Times New Roman" w:cs="Times New Roman" w:eastAsia="Times New Roman" w:hAnsi="Times New Roman"/>
          <w:sz w:val="20"/>
          <w:szCs w:val="20"/>
          <w:color w:val="auto"/>
        </w:rPr>
      </w:pPr>
    </w:p>
    <w:p>
      <w:pPr>
        <w:jc w:val="both"/>
        <w:ind w:left="1914" w:hanging="639"/>
        <w:spacing w:after="0" w:line="261" w:lineRule="auto"/>
        <w:tabs>
          <w:tab w:leader="none" w:pos="190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exchange such Notes for an Unrestricted Definitive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(1)(a) thereof; or</w:t>
      </w:r>
    </w:p>
    <w:p>
      <w:pPr>
        <w:spacing w:after="0" w:line="154" w:lineRule="exact"/>
        <w:rPr>
          <w:rFonts w:ascii="Times New Roman" w:cs="Times New Roman" w:eastAsia="Times New Roman" w:hAnsi="Times New Roman"/>
          <w:sz w:val="20"/>
          <w:szCs w:val="20"/>
          <w:color w:val="auto"/>
        </w:rPr>
      </w:pPr>
    </w:p>
    <w:p>
      <w:pPr>
        <w:jc w:val="both"/>
        <w:ind w:left="1914" w:hanging="639"/>
        <w:spacing w:after="0" w:line="261" w:lineRule="auto"/>
        <w:tabs>
          <w:tab w:leader="none" w:pos="190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transfer such Notes to a Person who shall take delivery thereof in the form of an Unrestricted Definitive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54" w:lineRule="exact"/>
        <w:rPr>
          <w:sz w:val="20"/>
          <w:szCs w:val="20"/>
          <w:color w:val="auto"/>
        </w:rPr>
      </w:pPr>
    </w:p>
    <w:p>
      <w:pPr>
        <w:jc w:val="both"/>
        <w:ind w:left="1274"/>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left="1274" w:hanging="636"/>
        <w:spacing w:after="0" w:line="260" w:lineRule="auto"/>
        <w:tabs>
          <w:tab w:leader="none" w:pos="127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Unrestricted Definitive Notes to Unrestricted Definitive Notes</w:t>
      </w:r>
      <w:r>
        <w:rPr>
          <w:rFonts w:ascii="Times New Roman" w:cs="Times New Roman" w:eastAsia="Times New Roman" w:hAnsi="Times New Roman"/>
          <w:sz w:val="20"/>
          <w:szCs w:val="20"/>
          <w:color w:val="auto"/>
        </w:rPr>
        <w:t>. A Noteholder of Unrestricted Definitive Notes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Noteholder thereof.</w:t>
      </w:r>
    </w:p>
    <w:p>
      <w:pPr>
        <w:spacing w:after="0" w:line="164" w:lineRule="exact"/>
        <w:rPr>
          <w:rFonts w:ascii="Times New Roman" w:cs="Times New Roman" w:eastAsia="Times New Roman" w:hAnsi="Times New Roman"/>
          <w:sz w:val="20"/>
          <w:szCs w:val="20"/>
          <w:color w:val="auto"/>
        </w:rPr>
      </w:pPr>
    </w:p>
    <w:p>
      <w:pPr>
        <w:ind w:left="634" w:right="20" w:hanging="634"/>
        <w:spacing w:after="0" w:line="300" w:lineRule="auto"/>
        <w:tabs>
          <w:tab w:leader="none" w:pos="63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Legends</w:t>
      </w:r>
      <w:r>
        <w:rPr>
          <w:rFonts w:ascii="Times New Roman" w:cs="Times New Roman" w:eastAsia="Times New Roman" w:hAnsi="Times New Roman"/>
          <w:sz w:val="19"/>
          <w:szCs w:val="19"/>
          <w:color w:val="auto"/>
        </w:rPr>
        <w:t>. The following legends will appear on the face of all Definitive Notes issued under this Indenture unless specifically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otherwise in the applicable provisions of this Indenture or any Supplemental Indenture governing Additional Notes.</w:t>
      </w:r>
    </w:p>
    <w:p>
      <w:pPr>
        <w:spacing w:after="0" w:line="115" w:lineRule="exact"/>
        <w:rPr>
          <w:rFonts w:ascii="Times New Roman" w:cs="Times New Roman" w:eastAsia="Times New Roman" w:hAnsi="Times New Roman"/>
          <w:sz w:val="19"/>
          <w:szCs w:val="19"/>
          <w:color w:val="auto"/>
        </w:rPr>
      </w:pPr>
    </w:p>
    <w:p>
      <w:pPr>
        <w:ind w:left="1274" w:hanging="636"/>
        <w:spacing w:after="0"/>
        <w:tabs>
          <w:tab w:leader="none" w:pos="127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914" w:hanging="639"/>
        <w:spacing w:after="0" w:line="269" w:lineRule="auto"/>
        <w:tabs>
          <w:tab w:leader="none" w:pos="1902"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subparagraph (B)</w:t>
      </w:r>
      <w:r>
        <w:rPr>
          <w:rFonts w:ascii="Times New Roman" w:cs="Times New Roman" w:eastAsia="Times New Roman" w:hAnsi="Times New Roman"/>
          <w:sz w:val="20"/>
          <w:szCs w:val="20"/>
          <w:color w:val="auto"/>
        </w:rPr>
        <w:t xml:space="preserve"> below, each Definitive Note (and all Notes issued in exchange therefor or substitution thereof) shall bear the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94"/>
          </w:cols>
          <w:pgMar w:left="966" w:top="1413" w:right="339" w:bottom="1440" w:gutter="0" w:footer="0" w:header="0"/>
        </w:sectPr>
      </w:pPr>
    </w:p>
    <w:bookmarkStart w:id="62" w:name="page63"/>
    <w:bookmarkEnd w:id="62"/>
    <w:p>
      <w:pPr>
        <w:jc w:val="both"/>
        <w:ind w:left="1954"/>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CONSENT OF THE COMPANY (TO THE EXTENT SET FORTH IN THE INDENTURE) AND THE RESTRICTIONS CONTAINED IN SECTIONS 2.3 AND 2.6 OF THE INDENTURE AMONG THE PARTIES THERETO.</w:t>
      </w:r>
    </w:p>
    <w:p>
      <w:pPr>
        <w:spacing w:after="0" w:line="170" w:lineRule="exact"/>
        <w:rPr>
          <w:sz w:val="20"/>
          <w:szCs w:val="20"/>
          <w:color w:val="auto"/>
        </w:rPr>
      </w:pPr>
    </w:p>
    <w:p>
      <w:pPr>
        <w:jc w:val="both"/>
        <w:ind w:left="1914" w:hanging="639"/>
        <w:spacing w:after="0" w:line="261" w:lineRule="auto"/>
        <w:tabs>
          <w:tab w:leader="none" w:pos="1904"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Definitive Note issued pursuant to </w:t>
      </w:r>
      <w:r>
        <w:rPr>
          <w:rFonts w:ascii="Times New Roman" w:cs="Times New Roman" w:eastAsia="Times New Roman" w:hAnsi="Times New Roman"/>
          <w:sz w:val="20"/>
          <w:szCs w:val="20"/>
          <w:u w:val="single" w:color="auto"/>
          <w:color w:val="auto"/>
        </w:rPr>
        <w:t>subparagraphs</w:t>
      </w:r>
      <w:r>
        <w:rPr>
          <w:rFonts w:ascii="Times New Roman" w:cs="Times New Roman" w:eastAsia="Times New Roman" w:hAnsi="Times New Roman"/>
          <w:sz w:val="20"/>
          <w:szCs w:val="20"/>
          <w:color w:val="auto"/>
        </w:rPr>
        <w:t xml:space="preserve"> (a)(ii) or (a)(iii)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all Notes issued in exchange therefor or substitution thereof) will not bear the Private Placement Legend.</w:t>
      </w:r>
    </w:p>
    <w:p>
      <w:pPr>
        <w:spacing w:after="0" w:line="150" w:lineRule="exact"/>
        <w:rPr>
          <w:rFonts w:ascii="Times New Roman" w:cs="Times New Roman" w:eastAsia="Times New Roman" w:hAnsi="Times New Roman"/>
          <w:sz w:val="20"/>
          <w:szCs w:val="20"/>
          <w:color w:val="auto"/>
        </w:rPr>
      </w:pPr>
    </w:p>
    <w:p>
      <w:pPr>
        <w:ind w:left="634" w:hanging="634"/>
        <w:spacing w:after="0"/>
        <w:tabs>
          <w:tab w:leader="none" w:pos="6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Provisions Relating to Transfers and Exchanges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274" w:hanging="636"/>
        <w:spacing w:after="0" w:line="254" w:lineRule="auto"/>
        <w:tabs>
          <w:tab w:leader="none" w:pos="126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will be made to a Noteholder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274" w:hanging="636"/>
        <w:spacing w:after="0" w:line="269" w:lineRule="auto"/>
        <w:tabs>
          <w:tab w:leader="none" w:pos="127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59" w:lineRule="exact"/>
        <w:rPr>
          <w:rFonts w:ascii="Times New Roman" w:cs="Times New Roman" w:eastAsia="Times New Roman" w:hAnsi="Times New Roman"/>
          <w:sz w:val="20"/>
          <w:szCs w:val="20"/>
          <w:color w:val="auto"/>
        </w:rPr>
      </w:pPr>
    </w:p>
    <w:p>
      <w:pPr>
        <w:jc w:val="both"/>
        <w:ind w:left="1274" w:hanging="636"/>
        <w:spacing w:after="0" w:line="261" w:lineRule="auto"/>
        <w:tabs>
          <w:tab w:leader="none" w:pos="127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Definitive Notes issued upon any registration of transfer or exchange of Definitive Notes will be the valid obligations of the Company, evidencing the same debt, and entitled to the same benefits under this Indenture, as the Definitive Notes surrendered upon such registration of transfer or exchange.</w:t>
      </w:r>
    </w:p>
    <w:p>
      <w:pPr>
        <w:spacing w:after="0" w:line="154" w:lineRule="exact"/>
        <w:rPr>
          <w:rFonts w:ascii="Times New Roman" w:cs="Times New Roman" w:eastAsia="Times New Roman" w:hAnsi="Times New Roman"/>
          <w:sz w:val="20"/>
          <w:szCs w:val="20"/>
          <w:color w:val="auto"/>
        </w:rPr>
      </w:pPr>
    </w:p>
    <w:p>
      <w:pPr>
        <w:ind w:left="1274" w:hanging="636"/>
        <w:spacing w:after="0"/>
        <w:tabs>
          <w:tab w:leader="none" w:pos="127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Company will be required:</w:t>
      </w:r>
    </w:p>
    <w:p>
      <w:pPr>
        <w:spacing w:after="0" w:line="202" w:lineRule="exact"/>
        <w:rPr>
          <w:rFonts w:ascii="Times New Roman" w:cs="Times New Roman" w:eastAsia="Times New Roman" w:hAnsi="Times New Roman"/>
          <w:sz w:val="20"/>
          <w:szCs w:val="20"/>
          <w:color w:val="auto"/>
        </w:rPr>
      </w:pPr>
    </w:p>
    <w:p>
      <w:pPr>
        <w:ind w:left="1914" w:hanging="639"/>
        <w:spacing w:after="0" w:line="283" w:lineRule="auto"/>
        <w:tabs>
          <w:tab w:leader="none" w:pos="190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to register the transfer of or to exchange any Notes during a period beginning at the opening of business fifteen days before the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94"/>
          </w:cols>
          <w:pgMar w:left="966" w:top="1413" w:right="339" w:bottom="1440" w:gutter="0" w:footer="0" w:header="0"/>
        </w:sectPr>
      </w:pPr>
    </w:p>
    <w:bookmarkStart w:id="63" w:name="page64"/>
    <w:bookmarkEnd w:id="63"/>
    <w:p>
      <w:pPr>
        <w:ind w:left="2560" w:right="20"/>
        <w:spacing w:after="0" w:line="283" w:lineRule="auto"/>
        <w:rPr>
          <w:sz w:val="20"/>
          <w:szCs w:val="20"/>
          <w:color w:val="auto"/>
        </w:rPr>
      </w:pPr>
      <w:r>
        <w:rPr>
          <w:rFonts w:ascii="Times New Roman" w:cs="Times New Roman" w:eastAsia="Times New Roman" w:hAnsi="Times New Roman"/>
          <w:sz w:val="20"/>
          <w:szCs w:val="20"/>
          <w:color w:val="auto"/>
        </w:rPr>
        <w:t xml:space="preserve">any selection of Notes for redemption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ending at the close of business on the day of selection;</w:t>
      </w:r>
    </w:p>
    <w:p>
      <w:pPr>
        <w:spacing w:after="0" w:line="133" w:lineRule="exact"/>
        <w:rPr>
          <w:sz w:val="20"/>
          <w:szCs w:val="20"/>
          <w:color w:val="auto"/>
        </w:rPr>
      </w:pPr>
    </w:p>
    <w:p>
      <w:pPr>
        <w:ind w:left="2560" w:right="20" w:hanging="639"/>
        <w:spacing w:after="0" w:line="269" w:lineRule="auto"/>
        <w:tabs>
          <w:tab w:leader="none" w:pos="255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59" w:lineRule="exact"/>
        <w:rPr>
          <w:rFonts w:ascii="Times New Roman" w:cs="Times New Roman" w:eastAsia="Times New Roman" w:hAnsi="Times New Roman"/>
          <w:sz w:val="20"/>
          <w:szCs w:val="20"/>
          <w:color w:val="auto"/>
        </w:rPr>
      </w:pPr>
    </w:p>
    <w:p>
      <w:pPr>
        <w:ind w:left="2560" w:hanging="639"/>
        <w:spacing w:after="0" w:line="269" w:lineRule="auto"/>
        <w:tabs>
          <w:tab w:leader="none" w:pos="255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 Note between a record date and the next succeeding Interest Payment Date.</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73"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Notes (and no portions of any Notes) may be exchanged with, transferred, syndicated, assigned, sold, participated, or any interest therein otherwise conveyed to, in any case, to any Disqualified Institutions (unless an Event of Default set forth in (a) Section 7.5 (Bankruptcy) of the Common Terms Agreement shall have occurred or (b) Section 6.1(a) shall have occurred and be continuing for a period of at least three Business Days), and any such transaction in violation of this clause (vi) shall be null and void, ab initio.</w:t>
      </w:r>
    </w:p>
    <w:p>
      <w:pPr>
        <w:spacing w:after="0" w:line="164"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authenticate Definitive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0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certifications, certificates and Opinions of Counsel required to be submitted to the Registrar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to effect a registration of transfer or exchange may be submitted electronically. 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to indemnify the Company and the Trustee against any liability that may result from the transfer, exchange or assignment of such Noteholder’s Note in violation of any provision of this Indenture and/or applicable United States Federal or state securities law.</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Replacement Notes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64" w:name="page65"/>
    <w:bookmarkEnd w:id="64"/>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Trustee’s requirements are met. If required by the Trustee or the Company, an indemnity bond must be supplied by the Noteholder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59"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Company and will be entitled to all of the benefits of this Indenture equally and proportionately with all other Notes duly issued hereunder.</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Outstanding Notes</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 xml:space="preserve">The Notes outstanding at any time are all the Notes authenticated by the Trustee except for those canceled by it, those delivered to it for cancellation, and those described in this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as not outstanding. Except as set forth in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a Note does not cease to be outstanding because the Company or an Affiliate of the Company holds the Note;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Notes held by the Company or an Affiliate of the Company (other than any Debt Fund Affiliate) shall not be deemed to be outstanding for purposes of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it ceases to be outstanding unless the Trustee receives proof satisfactory to it that the replacement Note is held by a “protected purchaser” under the UCC.</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If the principal amount of any Note is considered paid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it ceases to be outstanding and interest on it ceases to accrue.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or an Affiliate thereof) holds, on a redemption date or the Maturity Date, money sufficient to pay Notes payable on that date, then on and after that date such Notes will be deemed to be no longer outstanding and will cease to accrue interest.</w:t>
      </w:r>
    </w:p>
    <w:p>
      <w:pPr>
        <w:spacing w:after="0" w:line="154"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Company or the Paying Agent)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will be deemed to be no longer outstanding and will cease to accrue interest from and after the applicable Purchase Date.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Paying Agent on any Change of Control Payment Date in accordance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will be deemed to be no longer outstanding and will cease to accrue interest from and after the Change of Control Payment Date.</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purchased by the Company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delivered to the Trustee for cancelation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will be deemed to be no longer outstanding and will cease to accrue interest from and after the date on which such Note is delivered to the Trustee for cancellation.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Treasury Notes</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In determining whether the Noteholders of the required principal amount of Notes have concurred in any direction, waiver or consent, Notes owned by the Company or by any Person directly or indirectly controlling or controlled by or under direct or indirect common control with the Company (other than any Debt Fund Affiliate) will be considered as though not outstanding, except that for the purposes of determining whether the Trustee will be protected in relying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20"/>
          <w:szCs w:val="20"/>
          <w:color w:val="auto"/>
        </w:rPr>
        <w:t>any such direction, waiver or consent, only Notes that the Trustee knows are so owned will be so disregarded.</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Temporary Notes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Noteholders of temporary Notes will be entitled to all of the benefits of this Indenture.</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Cancellation</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Certification of the cancellation of Notes will be delivered to the Company upon the Company’s written request. The Company may not issue new Notes to replace Notes that it has paid or that have been delivered to the Trustee for cancellation.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Defaulted Interest</w:t>
      </w:r>
    </w:p>
    <w:p>
      <w:pPr>
        <w:spacing w:after="0" w:line="19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 xml:space="preserve">If the Company defaults in a payment of interest on the Notes, it will pay the defaulted interest in any lawful manner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to the extent lawful, interest payable on the defaulted interest, to the Persons who are Noteholders on a subsequent special record date,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special record date may be less than ten days prior to the related payment date for such defaulted interest. At least fifteen days before the special record date, the Company (or, upon the written request of the Company and provision of such notice information, the Trustee in the name and at the expense of the Company) will mail or cause to be mailed or deliver electronically to Noteholders a notice that states the special record date, the related payment date and the amount of such interest to be paid.</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CUSIP Numbers / PPN</w:t>
      </w:r>
    </w:p>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Company in issuing the Notes may use “CUSIP” numbers or private placement numbers (“</w:t>
      </w:r>
      <w:r>
        <w:rPr>
          <w:rFonts w:ascii="Times New Roman" w:cs="Times New Roman" w:eastAsia="Times New Roman" w:hAnsi="Times New Roman"/>
          <w:sz w:val="20"/>
          <w:szCs w:val="20"/>
          <w:b w:val="1"/>
          <w:bCs w:val="1"/>
          <w:color w:val="auto"/>
        </w:rPr>
        <w:t>PPNs</w:t>
      </w:r>
      <w:r>
        <w:rPr>
          <w:rFonts w:ascii="Times New Roman" w:cs="Times New Roman" w:eastAsia="Times New Roman" w:hAnsi="Times New Roman"/>
          <w:sz w:val="20"/>
          <w:szCs w:val="20"/>
          <w:color w:val="auto"/>
        </w:rPr>
        <w:t>”) (if then generally in use), and, if so, the Trustee shall use “CUSIP” numbers or PPNs in notices of redemption as a convenience to Holders; provided that the Trustee shall have no liability for any defect in the “CUSIP” numbers or PPNs as they appear on the any Note, notice or elsewhere, and, provided further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20"/>
          <w:szCs w:val="20"/>
          <w:color w:val="auto"/>
        </w:rPr>
        <w:t>numbers. The Company will promptly notify the Trustee in writing of any change in the “CUSIP” numbers or PPNs, as applicable.</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Tax Withholding</w:t>
      </w:r>
    </w:p>
    <w:p>
      <w:pPr>
        <w:spacing w:after="0" w:line="216"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Notwithstanding any other provision to the contrary, the Company shall be entitled to deduct and withhold from any amounts payable or otherwise deliverable with respect to a Note such amounts as may be required to be deducted or withheld therefrom under any provision of applicable law, and to be provided any necessary tax forms and information, including Internal Revenue Service Form W-9 or appropriate version of Internal Revenue Service Form W-8, as applicable, from each beneficial owner of the Note. The Company shall, at least five business days prior to the date the applicable payment is scheduled to be made, provide the Noteholder with (i) written notice of the intent to deduct and withhold, which notice shall include the basis for the withholding and an estimate of the amount proposed to be deducted and withheld, and (ii) a reasonable opportunity to provide forms or other evidence that would exempt such amounts from withholding. To the extent such amounts are so deducted or withheld and paid over to the appropriate taxing authority, such amounts shall be treated for all purposes as having been paid to the person to whom such amounts otherwise would have been paid.</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Net of Taxes</w:t>
      </w:r>
    </w:p>
    <w:p>
      <w:pPr>
        <w:spacing w:after="0" w:line="202" w:lineRule="exact"/>
        <w:rPr>
          <w:sz w:val="20"/>
          <w:szCs w:val="20"/>
          <w:color w:val="auto"/>
        </w:rPr>
      </w:pPr>
    </w:p>
    <w:p>
      <w:pPr>
        <w:jc w:val="both"/>
        <w:ind w:left="1280" w:hanging="634"/>
        <w:spacing w:after="0" w:line="257" w:lineRule="auto"/>
        <w:tabs>
          <w:tab w:leader="none" w:pos="12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deduction or withholding of any tax is required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then if such Tax is an Indemnified Tax, the amounts payable or otherwise deliverable with respect to a Note by the Company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applicable Noteholder receives an amount equal to the sum it would have received had no such deduction or withholding been made.</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any applicable Guarantor shall, jointly and severally, indemnify each Noteholder,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payable or paid by such Noteholder or required to be withheld or deducted from a payment to such Noteholder and any reasonable expenses arising therefrom or with respect thereto, whether or not such Indemnified Taxes were correctly or legally imposed or asserted by the relevant governmental authority. A certificate as to the amount of such payment or liability delivered to the Company or other applicable Guarantor by a Noteholder shall be conclusive absent manifest error.</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practicable after any payment of taxes by the Company or a Guarantor to a governmental authority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Company or such Guarantor shall deliver to the Noteholder the original or a certified copy of a receipt issued by such governmental authority evidencing such payment, a copy of the return reporting such payment or other evidence of such payment reasonably satisfactory to the Noteholder.</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Noteholder that is entitled to an exemption from or reduction of withholding tax with respect to payments made under the Note Purchase Agreement, Indenture, or Collateral and Intercreditor Agreement (the “</w:t>
      </w:r>
      <w:r>
        <w:rPr>
          <w:rFonts w:ascii="Times New Roman" w:cs="Times New Roman" w:eastAsia="Times New Roman" w:hAnsi="Times New Roman"/>
          <w:sz w:val="20"/>
          <w:szCs w:val="20"/>
          <w:u w:val="single" w:color="auto"/>
          <w:color w:val="auto"/>
        </w:rPr>
        <w:t>Notes Documents</w:t>
      </w:r>
      <w:r>
        <w:rPr>
          <w:rFonts w:ascii="Times New Roman" w:cs="Times New Roman" w:eastAsia="Times New Roman" w:hAnsi="Times New Roman"/>
          <w:sz w:val="20"/>
          <w:szCs w:val="20"/>
          <w:color w:val="auto"/>
        </w:rPr>
        <w:t>”) shall deliver to the Company, at the time or times reasonably requested by the Company, such properly completed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67" w:name="page68"/>
    <w:bookmarkEnd w:id="67"/>
    <w:p>
      <w:pPr>
        <w:jc w:val="both"/>
        <w:ind w:left="160"/>
        <w:spacing w:after="0" w:line="252" w:lineRule="auto"/>
        <w:rPr>
          <w:sz w:val="20"/>
          <w:szCs w:val="20"/>
          <w:color w:val="auto"/>
        </w:rPr>
      </w:pPr>
      <w:r>
        <w:rPr>
          <w:rFonts w:ascii="Times New Roman" w:cs="Times New Roman" w:eastAsia="Times New Roman" w:hAnsi="Times New Roman"/>
          <w:sz w:val="20"/>
          <w:szCs w:val="20"/>
          <w:color w:val="auto"/>
        </w:rPr>
        <w:t xml:space="preserve">executed documentation reasonably requested by the Company as will permit such payments to be made without withholding or at a reduced rate of withholding. In addition, any Noteholder, if reasonably requested by the Company, shall deliver such other documentation prescribed by applicable law or reasonably requested by the Company as will enable the Company to determine whether or not such Noteholder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2.15(d)(i)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2.15(d)(ii)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2.15(d)(iv)</w:t>
      </w:r>
      <w:r>
        <w:rPr>
          <w:rFonts w:ascii="Times New Roman" w:cs="Times New Roman" w:eastAsia="Times New Roman" w:hAnsi="Times New Roman"/>
          <w:sz w:val="20"/>
          <w:szCs w:val="20"/>
          <w:color w:val="auto"/>
        </w:rPr>
        <w:t xml:space="preserve"> below) shall not be required if in the reasonable judgment of the Noteholder such completion, execution or submission would subject such Noteholder to any material unreimbursed cost or expense or would materially prejudice the legal or commercial position of such Noteholder. Without limiting the generality of the foregoing:</w:t>
      </w:r>
    </w:p>
    <w:p>
      <w:pPr>
        <w:spacing w:after="0" w:line="162" w:lineRule="exact"/>
        <w:rPr>
          <w:sz w:val="20"/>
          <w:szCs w:val="20"/>
          <w:color w:val="auto"/>
        </w:rPr>
      </w:pPr>
    </w:p>
    <w:p>
      <w:pPr>
        <w:jc w:val="both"/>
        <w:ind w:left="800" w:hanging="636"/>
        <w:spacing w:after="0" w:line="261" w:lineRule="auto"/>
        <w:tabs>
          <w:tab w:leader="none" w:pos="79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 Noteholder shall deliver to the Company on or prior to the date on which such Person becomes a U.S. Noteholder (and from time to time thereafter upon the reasonable request of the Company), executed copies of IRS Form W-9 certifying that such U.S. Noteholder is exempt from U.S. federal backup withholding tax;</w:t>
      </w:r>
    </w:p>
    <w:p>
      <w:pPr>
        <w:spacing w:after="0" w:line="154" w:lineRule="exact"/>
        <w:rPr>
          <w:rFonts w:ascii="Times New Roman" w:cs="Times New Roman" w:eastAsia="Times New Roman" w:hAnsi="Times New Roman"/>
          <w:sz w:val="20"/>
          <w:szCs w:val="20"/>
          <w:color w:val="auto"/>
        </w:rPr>
      </w:pPr>
    </w:p>
    <w:p>
      <w:pPr>
        <w:jc w:val="both"/>
        <w:ind w:left="800" w:hanging="636"/>
        <w:spacing w:after="0" w:line="258" w:lineRule="auto"/>
        <w:tabs>
          <w:tab w:leader="none" w:pos="79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whichever of the following is applicable:</w:t>
      </w:r>
    </w:p>
    <w:p>
      <w:pPr>
        <w:spacing w:after="0" w:line="158"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2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Noteholder claiming the benefits of an income tax treaty to which the United States is a party (x) with respect to payments of interest under any Notes Document, executed copies of IRS Form W-8BEN-E or W-8BEN, as applicable, establishing an exemption from, or reduction of, U.S. federal withholding tax pursuant to the “interest” article of such tax treaty and (y) with respect to any other applicable payments under any Notes Document, IRS Form W-8BEN-E or W-8BEN, as applicable, establishing an exemption from, or reduction of, U.S. federal withholding tax pursuant to the “business profits” or “other income” article of such tax treaty;</w:t>
      </w:r>
    </w:p>
    <w:p>
      <w:pPr>
        <w:spacing w:after="0" w:line="165" w:lineRule="exact"/>
        <w:rPr>
          <w:rFonts w:ascii="Times New Roman" w:cs="Times New Roman" w:eastAsia="Times New Roman" w:hAnsi="Times New Roman"/>
          <w:sz w:val="20"/>
          <w:szCs w:val="20"/>
          <w:color w:val="auto"/>
        </w:rPr>
      </w:pPr>
    </w:p>
    <w:p>
      <w:pPr>
        <w:ind w:left="1420" w:hanging="619"/>
        <w:spacing w:after="0"/>
        <w:tabs>
          <w:tab w:leader="none" w:pos="14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3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Noteholder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2.15-A</w:t>
      </w:r>
      <w:r>
        <w:rPr>
          <w:rFonts w:ascii="Times New Roman" w:cs="Times New Roman" w:eastAsia="Times New Roman" w:hAnsi="Times New Roman"/>
          <w:sz w:val="20"/>
          <w:szCs w:val="20"/>
          <w:color w:val="auto"/>
        </w:rPr>
        <w:t xml:space="preserve"> to the effect that such Foreign Noteholder is not a “bank” within the meaning of Section 881(c)(3)(A) of the Code, a “10 percent shareholder” of the Company within the meaning of Section 871(h)(3)(B) of the Code, or a “controlled foreign corporation” described in Section 881(c)(3)(C) of the Code and (y) executed copies of IRS Form W-8BEN-E or W-8BEN, as applicable; or</w:t>
      </w:r>
    </w:p>
    <w:p>
      <w:pPr>
        <w:spacing w:after="0" w:line="165" w:lineRule="exact"/>
        <w:rPr>
          <w:rFonts w:ascii="Times New Roman" w:cs="Times New Roman" w:eastAsia="Times New Roman" w:hAnsi="Times New Roman"/>
          <w:sz w:val="20"/>
          <w:szCs w:val="20"/>
          <w:color w:val="auto"/>
        </w:rPr>
      </w:pPr>
    </w:p>
    <w:p>
      <w:pPr>
        <w:ind w:left="1440" w:hanging="639"/>
        <w:spacing w:after="0" w:line="269" w:lineRule="auto"/>
        <w:tabs>
          <w:tab w:leader="none" w:pos="142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Noteholder is not the beneficial owner, executed copies of IRS Form W-8IMY, accompanied by IRS Form W-8ECI,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120"/>
          </w:cols>
          <w:pgMar w:left="1440" w:top="1413" w:right="339" w:bottom="1440" w:gutter="0" w:footer="0" w:header="0"/>
        </w:sectPr>
      </w:pPr>
    </w:p>
    <w:bookmarkStart w:id="68" w:name="page69"/>
    <w:bookmarkEnd w:id="68"/>
    <w:p>
      <w:pPr>
        <w:jc w:val="both"/>
        <w:ind w:left="1914"/>
        <w:spacing w:after="0" w:line="253" w:lineRule="auto"/>
        <w:rPr>
          <w:sz w:val="20"/>
          <w:szCs w:val="20"/>
          <w:color w:val="auto"/>
        </w:rPr>
      </w:pPr>
      <w:r>
        <w:rPr>
          <w:rFonts w:ascii="Times New Roman" w:cs="Times New Roman" w:eastAsia="Times New Roman" w:hAnsi="Times New Roman"/>
          <w:sz w:val="20"/>
          <w:szCs w:val="20"/>
          <w:color w:val="auto"/>
        </w:rPr>
        <w:t xml:space="preserve">Form W-8BEN-E or W-8BEN, a certificate substantially in the form of </w:t>
      </w:r>
      <w:r>
        <w:rPr>
          <w:rFonts w:ascii="Times New Roman" w:cs="Times New Roman" w:eastAsia="Times New Roman" w:hAnsi="Times New Roman"/>
          <w:sz w:val="20"/>
          <w:szCs w:val="20"/>
          <w:u w:val="single" w:color="auto"/>
          <w:color w:val="auto"/>
        </w:rPr>
        <w:t>Exhibit 2.15-B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2.15-C</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Noteholder is a partnership and one or more direct or indirect partners of such Foreign Noteholder are claiming the portfolio interest exemption, such Foreign Noteholder may provide a certificate substantially in the form of </w:t>
      </w:r>
      <w:r>
        <w:rPr>
          <w:rFonts w:ascii="Times New Roman" w:cs="Times New Roman" w:eastAsia="Times New Roman" w:hAnsi="Times New Roman"/>
          <w:sz w:val="20"/>
          <w:szCs w:val="20"/>
          <w:u w:val="single" w:color="auto"/>
          <w:color w:val="auto"/>
        </w:rPr>
        <w:t>Exhibit 2.15-D</w:t>
      </w:r>
      <w:r>
        <w:rPr>
          <w:rFonts w:ascii="Times New Roman" w:cs="Times New Roman" w:eastAsia="Times New Roman" w:hAnsi="Times New Roman"/>
          <w:sz w:val="20"/>
          <w:szCs w:val="20"/>
          <w:color w:val="auto"/>
        </w:rPr>
        <w:t xml:space="preserve"> on behalf of each such direct and indirect partner;</w:t>
      </w:r>
    </w:p>
    <w:p>
      <w:pPr>
        <w:spacing w:after="0" w:line="178" w:lineRule="exact"/>
        <w:rPr>
          <w:sz w:val="20"/>
          <w:szCs w:val="20"/>
          <w:color w:val="auto"/>
        </w:rPr>
      </w:pPr>
    </w:p>
    <w:p>
      <w:pPr>
        <w:jc w:val="both"/>
        <w:ind w:left="1274" w:hanging="636"/>
        <w:spacing w:after="0" w:line="253" w:lineRule="auto"/>
        <w:tabs>
          <w:tab w:leader="none" w:pos="1271"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executed copies of any other form prescribed by applicable law as a basis for claiming exemption from or a reduction in U.S. federal withholding tax, duly completed, together with such supplementary documentation as may be prescribed by applicable law to permit the Company to determine the withholding or deduction required to be made;</w:t>
      </w:r>
    </w:p>
    <w:p>
      <w:pPr>
        <w:spacing w:after="0" w:line="165" w:lineRule="exact"/>
        <w:rPr>
          <w:rFonts w:ascii="Times New Roman" w:cs="Times New Roman" w:eastAsia="Times New Roman" w:hAnsi="Times New Roman"/>
          <w:sz w:val="20"/>
          <w:szCs w:val="20"/>
          <w:color w:val="auto"/>
        </w:rPr>
      </w:pPr>
    </w:p>
    <w:p>
      <w:pPr>
        <w:jc w:val="both"/>
        <w:ind w:left="1274" w:hanging="636"/>
        <w:spacing w:after="0" w:line="266" w:lineRule="auto"/>
        <w:tabs>
          <w:tab w:leader="none" w:pos="1274"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Noteholder under any Notes Document would be subject to U.S. federal withholding tax imposed by FATCA if such Noteholder were to fail to comply with the applicable reporting requirements of FATCA (including those contained in Section 1471(b) or 1472(b) of the Code, as applicable), such Noteholder shall deliver to the Company at the time or times prescribed by law and at such time or times reasonably requested by the Company such documentation prescribed by applicable law (including as prescribed by Section 1471(b)(3)(C)(i) of the Code) and such additional documentation reasonably requested by the Company as may be necessary for the Company to comply with its obligations under FATCA and to determine that such Noteholder has complied with its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“FATCA” shall include any amendments made to FATCA after the date of this Agreement; and</w:t>
      </w:r>
    </w:p>
    <w:p>
      <w:pPr>
        <w:spacing w:after="0" w:line="156" w:lineRule="exact"/>
        <w:rPr>
          <w:rFonts w:ascii="Times New Roman" w:cs="Times New Roman" w:eastAsia="Times New Roman" w:hAnsi="Times New Roman"/>
          <w:sz w:val="19"/>
          <w:szCs w:val="19"/>
          <w:color w:val="auto"/>
        </w:rPr>
      </w:pPr>
    </w:p>
    <w:p>
      <w:pPr>
        <w:jc w:val="both"/>
        <w:ind w:left="1274" w:hanging="636"/>
        <w:spacing w:after="0" w:line="261" w:lineRule="auto"/>
        <w:tabs>
          <w:tab w:leader="none" w:pos="127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that if any form or certification it previously delivered expires or becomes obsolete or inaccurate in any respect, it shall update such form or certification or promptly notify the Company in writing of its legal inability to do so.</w:t>
      </w:r>
    </w:p>
    <w:p>
      <w:pPr>
        <w:spacing w:after="0" w:line="154" w:lineRule="exact"/>
        <w:rPr>
          <w:rFonts w:ascii="Times New Roman" w:cs="Times New Roman" w:eastAsia="Times New Roman" w:hAnsi="Times New Roman"/>
          <w:sz w:val="20"/>
          <w:szCs w:val="20"/>
          <w:color w:val="auto"/>
        </w:rPr>
      </w:pPr>
    </w:p>
    <w:p>
      <w:pPr>
        <w:jc w:val="both"/>
        <w:ind w:left="634" w:hanging="634"/>
        <w:spacing w:after="0" w:line="251" w:lineRule="auto"/>
        <w:tabs>
          <w:tab w:leader="none" w:pos="6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Noteholder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94"/>
          </w:cols>
          <w:pgMar w:left="966" w:top="1413" w:right="339" w:bottom="1440" w:gutter="0" w:footer="0" w:header="0"/>
        </w:sectPr>
      </w:pPr>
    </w:p>
    <w:bookmarkStart w:id="69" w:name="page70"/>
    <w:bookmarkEnd w:id="69"/>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refund to such governmental authority. Notwithstanding anything to the contrary in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6" w:lineRule="exact"/>
        <w:rPr>
          <w:sz w:val="20"/>
          <w:szCs w:val="20"/>
          <w:color w:val="auto"/>
        </w:rPr>
      </w:pPr>
    </w:p>
    <w:p>
      <w:pPr>
        <w:jc w:val="both"/>
        <w:ind w:left="1280" w:hanging="634"/>
        <w:spacing w:after="0" w:line="261" w:lineRule="auto"/>
        <w:tabs>
          <w:tab w:leader="none" w:pos="127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will survive the payment or transfer of any Note, the enforcement, amendment or waiver of any provision of this Agreement, the Notes, or any other Notes Document, and the termination of this Agreement or any other Notes Document.</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of the foregoing,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is solely for the benefit of the Foreign Noteholders existing as of the date hereof and any of their Affiliates that become holders of the Notes through a permitted transfer, and not for any other successors or assigns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Affiliate of a Noteholder shall not be entitled to additional amounts on Notes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if, at the time such Affiliate became the holder of the Notes, a law was in place, that caused the Notes held by such Affiliate to be subject to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that would not have otherwise been applicable to the transferor of such Notes (but an Affiliate shall be entitled to additional amounts attributable to a change in law occurring after the date it became a holder of Notes).</w:t>
      </w:r>
    </w:p>
    <w:p>
      <w:pPr>
        <w:spacing w:after="0" w:line="1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REDEMPTION AND PREPAYMENT</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Notices to Trustee</w:t>
      </w:r>
    </w:p>
    <w:p>
      <w:pPr>
        <w:spacing w:after="0" w:line="216"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 xml:space="preserve">If the Company elects to redeem Notes pursuant to the optional redemption provisions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it must furnish to the Trustee, at least fifteen days (unless a shorter period is acceptable to the Trustee) but not more than sixty days before a redemption date, an Officer’s Certificate setting forth:</w:t>
      </w:r>
    </w:p>
    <w:p>
      <w:pPr>
        <w:spacing w:after="0" w:line="154" w:lineRule="exact"/>
        <w:rPr>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 of this Indenture pursuant to which the redemption shall occur;</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1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or more than one series, if applicable, of Notes to be redeemed;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or PPN of the Notes to be redeemed; and</w:t>
      </w:r>
    </w:p>
    <w:p>
      <w:pPr>
        <w:spacing w:after="0" w:line="21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in which the aggregate principal amount of the Notes redeemed will be applied to the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3" w:right="339" w:bottom="1440" w:gutter="0" w:footer="0" w:header="0"/>
        </w:sectPr>
      </w:pPr>
    </w:p>
    <w:bookmarkStart w:id="70" w:name="page71"/>
    <w:bookmarkEnd w:id="70"/>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Selection of Notes to Be Redeemed</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If less than all of the Notes, or less than all of the Notes of a particular series, are to be redeemed at any time, the Trustee will select Notes and any portions thereof for redemption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if applicable, with such adjustments so that only Notes in denominations of $100,000 or whole multiples of $1,000 in excess thereof will be purchased unless otherwise required by law, or applicable stock exchange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only Notes of a particular series are to be redeemed, such selection by the Trustee shall be limited to Notes of such series.</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In the event of partial redemption, the particular Notes to be redeemed will be selected, unless otherwise provided herein, not less than fifteen nor more than sixty days prior to the redemption or purchase date by the Trustee from the outstanding Notes not previously called for redemption.</w:t>
      </w:r>
    </w:p>
    <w:p>
      <w:pPr>
        <w:spacing w:after="0" w:line="15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promptly notify the Company in writing of the Notes selected for redemption and, in the case of any Note selected for partial redemption, the principal amount thereof to be redeemed. Notes and portions of Notes selected will be in amounts of $100,000 or whole multiples of $1,000 in excess thereof;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that if all of the Notes of a Noteholder are to be redeemed, the entire outstanding amount of Notes held by such Noteholder, even if not in the amount of $100,000 or a whole multiple of $1,000 thereof, shall be redeemed. Except as provided in the preceding sentence, provisions of this Indenture that apply to Notes called for redemption also apply to portions of Notes called for redemption.</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Notice of Redemption</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At least fifteen days but not more than sixty days before a redemption date, the Company will mail or cause to be mailed by first class mail or delivered electronically, a notice of redemption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and discharge of this Indenture pursuant to Articles 8 or 11.</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216" w:lineRule="exact"/>
        <w:rPr>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Note is being redeemed in part, the portion of the principal amount of such Note to be redeemed, the manner in which the aggregate principal amount of the Notes redeemed will be applied to the Payment Schedule (which will be adjusted with respect to remaining payments pursuant to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and that, after the redemption date upon surrender of such Note, a new Note or Notes in principal amount equal to the unredeemed portion will be issued in the name of the Noteholder upon cancellation of the original Note;</w:t>
      </w:r>
    </w:p>
    <w:p>
      <w:pPr>
        <w:spacing w:after="0" w:line="159"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71" w:name="page72"/>
    <w:bookmarkEnd w:id="71"/>
    <w:p>
      <w:pPr>
        <w:ind w:left="1280" w:hanging="634"/>
        <w:spacing w:after="0" w:line="283" w:lineRule="auto"/>
        <w:tabs>
          <w:tab w:leader="none" w:pos="127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unless the Company defaults in making such redemption payment, interest on Notes called for redemption ceases to accrue on and after the redemption date (as it may be delayed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paragraph of the Notes and/or Section of this Indenture pursuant to which the Notes called for redemption are being redeemed; and</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or PPN, if any, listed in such notice or printed on the Notes.</w:t>
      </w:r>
    </w:p>
    <w:p>
      <w:pPr>
        <w:spacing w:after="0" w:line="15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 xml:space="preserve">At the Company’s request, the Trustee will give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has delivered to the Trustee, at least thirty days prior to the redemption date (unless a shorter period is acceptable to the Trustee), an Officer’s Certificate requesting that the Trustee give such notice and setting forth the information to be stated in such notice as provided in the preceding paragraph.</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Once notice of redemption is mailed or delivered electronically in accordance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Notes called for redemption become irrevocably due and payable on the redemption date at the redemption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redemption may be conditional (in which case such Notes shall become irrevocably due and payable on the redemption date at the redemption price upon the satisfaction or waiver of any such conditions).</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If the redemption is delayed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the terms of the applicable notice of redemption, such redemption date as so delayed may occur at any time after the original redemption date set forth in the applicable notice of redemption and after the satisfaction of any applicable conditions precedent, including, without limitation, on a date that is less than fifteen days after the original redemption date or more than sixty days after the date of the applicable notice of redemption.</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Deposit of Redemption or Purchase Price</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At least one Business Day prior to the redemption date, the Company will deposit or will cause to be deposited with the Trustee or with the Paying Agent money sufficient to pay the redemption price of and accrued interest on all Notes to be redeemed on that date. The Trustee or the Paying Agent will promptly return to the Company any money deposited with the Trustee or the Paying Agent by the Company in excess of the amounts necessary to pay the redemption price of, and accrued interest on all Notes to be redeemed.</w:t>
      </w:r>
    </w:p>
    <w:p>
      <w:pPr>
        <w:spacing w:after="0" w:line="14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Company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3" w:right="339" w:bottom="1440" w:gutter="0" w:footer="0" w:header="0"/>
        </w:sectPr>
      </w:pPr>
    </w:p>
    <w:bookmarkStart w:id="72" w:name="page73"/>
    <w:bookmarkEnd w:id="72"/>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Notes Redeemed in Part</w:t>
      </w:r>
    </w:p>
    <w:p>
      <w:pPr>
        <w:spacing w:after="0" w:line="202"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Upon surrender of a Note that is redeemed in part, the Company will issue and, upon receipt of an Authentication Order, the Trustee will authenticate for the Noteholder at the expense of the Company a new Note equal in principal amount to the unredeemed portion of the Note surrendered.</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Optional Redemption</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Make-Whole Price</w:t>
      </w:r>
      <w:r>
        <w:rPr>
          <w:rFonts w:ascii="Times New Roman" w:cs="Times New Roman" w:eastAsia="Times New Roman" w:hAnsi="Times New Roman"/>
          <w:sz w:val="20"/>
          <w:szCs w:val="20"/>
          <w:color w:val="auto"/>
        </w:rPr>
        <w:t>” shall mean the greater of:</w:t>
      </w:r>
    </w:p>
    <w:p>
      <w:pPr>
        <w:spacing w:after="0" w:line="216" w:lineRule="exact"/>
        <w:rPr>
          <w:sz w:val="20"/>
          <w:szCs w:val="20"/>
          <w:color w:val="auto"/>
        </w:rPr>
      </w:pPr>
    </w:p>
    <w:p>
      <w:pPr>
        <w:jc w:val="both"/>
        <w:ind w:left="1280" w:hanging="634"/>
        <w:spacing w:after="0" w:line="254" w:lineRule="auto"/>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interest accrued to, but excluding, the redemption date; and</w:t>
      </w:r>
    </w:p>
    <w:p>
      <w:pPr>
        <w:spacing w:after="0" w:line="17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20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On or after June 30, 2047 (three months prior to the Maturity Date) (the “</w:t>
      </w:r>
      <w:r>
        <w:rPr>
          <w:rFonts w:ascii="Times New Roman" w:cs="Times New Roman" w:eastAsia="Times New Roman" w:hAnsi="Times New Roman"/>
          <w:sz w:val="20"/>
          <w:szCs w:val="20"/>
          <w:u w:val="single" w:color="auto"/>
          <w:color w:val="auto"/>
        </w:rPr>
        <w:t>Par Call Date</w:t>
      </w:r>
      <w:r>
        <w:rPr>
          <w:rFonts w:ascii="Times New Roman" w:cs="Times New Roman" w:eastAsia="Times New Roman" w:hAnsi="Times New Roman"/>
          <w:sz w:val="20"/>
          <w:szCs w:val="20"/>
          <w:color w:val="auto"/>
        </w:rPr>
        <w:t>”),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For the avoidance of doubt and notwithstanding any other provision of the Indenture or the Notes, (x) the Noteholders shall not be entitled to specific performance of the optional redemption provisions applicable to any Notes described under this Section 3.7 and no premium (including any Make-Whole Price) will be due or available as a remedy, in each case in connection with (1) any Default or Event of Default or (2) any acceleration (automatic or otherwise) of all, or any portion of, the Notes (other than an acceleration in respect of an Event of Default for failing to pay the redemption price when due following the Company’s voluntary election, if any, to redeem Notes pursuant to the optional redemption provisions applicable to the Notes under this Section 3.7, to the extent any premium is due in connection therewith), and (y) the requirement to pay any premium (including any Make-Whole Price) shall only arise in connection with the Company’s voluntary election, if any, to redeem Notes pursuant to the optional redemption provisions applicable to Notes described under this Section 3.7, and not in connection with any other payment, distribution, satisfaction or other recovery in respect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73" w:name="page74"/>
    <w:bookmarkEnd w:id="73"/>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Open Market Purchases; No Mandatory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Company may at any time and from time to time purchase Notes in the open market or otherwise; provided that the Company may not make purchases in excess of $25,000,000 in aggregate principal amount in any calendar year unless (i) it purchases Notes through a pro-rata offer on substantially the same terms to all Holders and (ii) the Company and its Affiliates are in compliance with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 The Company is not required to make mandatory redemption payments with respect to the Notes.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Offer to Purchase by Application of Collateral Proceeds; LNG SPA Termination Offer</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In the event that, pursuant to </w:t>
      </w:r>
      <w:r>
        <w:rPr>
          <w:rFonts w:ascii="Times New Roman" w:cs="Times New Roman" w:eastAsia="Times New Roman" w:hAnsi="Times New Roman"/>
          <w:sz w:val="20"/>
          <w:szCs w:val="20"/>
          <w:u w:val="single" w:color="auto"/>
          <w:color w:val="auto"/>
        </w:rPr>
        <w:t>Sections 4.8,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the Company is required to commence an offer to all Noteholders to purchase Notes (a “</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respectively), it will follow the procedures specified below.</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Loss Proceeds Offer, Asset Sale Offer, LNG SPA Termination Offer or PLD Proceeds Offer, as applicable, shall be made to all Noteholders and all holders of other Indebtedness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Notes containing provisions similar to those set forth in this Indenture with respect to offers or requirements to prepay, purchase or redeem with the proceeds of sales of assets, loss proceeds, project document termination payments or certain indemnity payments. The Loss Proceeds Offer, Asset Sale Offer, LNG SPA Termination Offer or PLD Proceeds Offer, as applicable, with respect to all Noteholders will remain open for a period of at least twenty Business Days following its commencement and not more than thirty Business Days, except to the extent that a longer period is required by applicable law (the “</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No later than five Business Days after the termination of the Offer Period (the “</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the Company will apply all Excess Loss Proceeds, Excess Asset Sale Proceeds, LNG SPA Termination Prepayment Amount or Excess Performance Liquidated Damages, as applicable (the “</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to the purchase of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if applicable) or, if less than the Offer Amount has been tendered, all Notes and other Indebtedness tendered in response to the Loss Proceeds Offer, Asset Sale Offer, LNG SPA Termination Offer or PLD Proceeds Offer, as applicable. Payment for any Notes so purchased will be made in the same manner as interest payments are made hereunder.</w:t>
      </w:r>
    </w:p>
    <w:p>
      <w:pPr>
        <w:spacing w:after="0" w:line="16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Noteholders who tender Notes pursuant to the Loss Proceeds Offer, Asset Sale Offer, LNG SPA Termination Offer or PLD Proceeds Offer, as applicable.</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Upon the commencement of a Loss Proceeds Offer, Asset Sale Offer, LNG SPA Termination Offer or PLD Proceeds Offer, as applicable, the Company will direct the Trustee to send, by first class mail or deliver electronically, a notice to each of the Noteholders, with a copy to the Company. The notice will contain all instructions and materials necessary to enable such Noteholders to tender Notes pursuant to the Loss Proceeds Offer, Asset Sale Offer, LNG SPA Termination Offer or PLD Proceeds Offer, as applicable. The notice, which will govern the terms of the Loss Proceeds Offer, Asset Sale Offer, LNG SPA Termination Offer or PLD Proceeds Offer, as applicable, will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3" w:right="339" w:bottom="1440" w:gutter="0" w:footer="0" w:header="0"/>
        </w:sectPr>
      </w:pPr>
    </w:p>
    <w:bookmarkStart w:id="74" w:name="page75"/>
    <w:bookmarkEnd w:id="74"/>
    <w:p>
      <w:pPr>
        <w:jc w:val="both"/>
        <w:ind w:left="640" w:hanging="634"/>
        <w:spacing w:after="0" w:line="261" w:lineRule="auto"/>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Loss Proceeds Offer, Asset Sale Offer, LNG SPA Termination Offer or PLD Proceeds Offer, as applicable, is being made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as applicable, and the length of time the Loss Proceeds Offer, Asset Sale Offer, LNG SPA Termination Offer or PLD Proceeds Offer, as applicable, will remain open;</w:t>
      </w:r>
    </w:p>
    <w:p>
      <w:pPr>
        <w:spacing w:after="0" w:line="154" w:lineRule="exact"/>
        <w:rPr>
          <w:rFonts w:ascii="Times New Roman" w:cs="Times New Roman" w:eastAsia="Times New Roman" w:hAnsi="Times New Roman"/>
          <w:sz w:val="20"/>
          <w:szCs w:val="20"/>
          <w:color w:val="auto"/>
        </w:rPr>
      </w:pPr>
    </w:p>
    <w:p>
      <w:pPr>
        <w:ind w:left="640" w:hanging="634"/>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215" w:lineRule="exact"/>
        <w:rPr>
          <w:rFonts w:ascii="Times New Roman" w:cs="Times New Roman" w:eastAsia="Times New Roman" w:hAnsi="Times New Roman"/>
          <w:sz w:val="20"/>
          <w:szCs w:val="20"/>
          <w:color w:val="auto"/>
        </w:rPr>
      </w:pPr>
    </w:p>
    <w:p>
      <w:pPr>
        <w:ind w:left="640" w:hanging="634"/>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accrete or accrue interest;</w:t>
      </w:r>
    </w:p>
    <w:p>
      <w:pPr>
        <w:spacing w:after="0" w:line="202" w:lineRule="exact"/>
        <w:rPr>
          <w:rFonts w:ascii="Times New Roman" w:cs="Times New Roman" w:eastAsia="Times New Roman" w:hAnsi="Times New Roman"/>
          <w:sz w:val="20"/>
          <w:szCs w:val="20"/>
          <w:color w:val="auto"/>
        </w:rPr>
      </w:pPr>
    </w:p>
    <w:p>
      <w:pPr>
        <w:jc w:val="both"/>
        <w:ind w:left="640" w:hanging="634"/>
        <w:spacing w:after="0" w:line="261" w:lineRule="auto"/>
        <w:tabs>
          <w:tab w:leader="none" w:pos="6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payment, any Note accepted for payment pursuant to the Loss Proceeds Offer, Asset Sale Offer, LNG SPA Termination Offer or PLD Proceeds Offer, as applicable, will cease to accrete or accrue interest after the Purchase Date;</w:t>
      </w:r>
    </w:p>
    <w:p>
      <w:pPr>
        <w:spacing w:after="0" w:line="154" w:lineRule="exact"/>
        <w:rPr>
          <w:rFonts w:ascii="Times New Roman" w:cs="Times New Roman" w:eastAsia="Times New Roman" w:hAnsi="Times New Roman"/>
          <w:sz w:val="20"/>
          <w:szCs w:val="20"/>
          <w:color w:val="auto"/>
        </w:rPr>
      </w:pPr>
    </w:p>
    <w:p>
      <w:pPr>
        <w:jc w:val="both"/>
        <w:ind w:left="640" w:hanging="634"/>
        <w:spacing w:after="0" w:line="257" w:lineRule="auto"/>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 Note purchased pursuant to a Loss Proceeds Offer, Asset Sale Offer, LNG SPA Termination Offer or PLD Proceeds Offer, as applicable, may elect to have Notes purchased in amounts of $100,000 or whole multiples of $1,000 in excess thereof; except that if all of the Notes of a Noteholder are to be purchased, the entire outstanding amount of Notes held by such Noteholder, even if not in the amount of $100,000 or a whole multiple of $1,000 thereof, shall be purchased;</w:t>
      </w:r>
    </w:p>
    <w:p>
      <w:pPr>
        <w:spacing w:after="0" w:line="159" w:lineRule="exact"/>
        <w:rPr>
          <w:rFonts w:ascii="Times New Roman" w:cs="Times New Roman" w:eastAsia="Times New Roman" w:hAnsi="Times New Roman"/>
          <w:sz w:val="20"/>
          <w:szCs w:val="20"/>
          <w:color w:val="auto"/>
        </w:rPr>
      </w:pPr>
    </w:p>
    <w:p>
      <w:pPr>
        <w:jc w:val="both"/>
        <w:ind w:left="640" w:hanging="634"/>
        <w:spacing w:after="0" w:line="258" w:lineRule="auto"/>
        <w:tabs>
          <w:tab w:leader="none" w:pos="6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Notes purchased pursuant to a Loss Proceeds Offer, Asset Sale Offer, LNG SPA Termination Offer or PLD Proceeds Offer, as applicable, will be required to surrender the Note,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Company or a Paying Agent at the address specified in the notice at least three days before the Purchase Date;</w:t>
      </w:r>
    </w:p>
    <w:p>
      <w:pPr>
        <w:spacing w:after="0" w:line="158" w:lineRule="exact"/>
        <w:rPr>
          <w:rFonts w:ascii="Times New Roman" w:cs="Times New Roman" w:eastAsia="Times New Roman" w:hAnsi="Times New Roman"/>
          <w:sz w:val="20"/>
          <w:szCs w:val="20"/>
          <w:color w:val="auto"/>
        </w:rPr>
      </w:pPr>
    </w:p>
    <w:p>
      <w:pPr>
        <w:jc w:val="both"/>
        <w:ind w:left="640" w:hanging="634"/>
        <w:spacing w:after="0" w:line="258" w:lineRule="auto"/>
        <w:tabs>
          <w:tab w:leader="none" w:pos="6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Company or the Paying Agent, as the case may be, receives, not later than the expiration of the Offer Period, electronically or by mail a notice setting forth the name of the Noteholder, the principal amount of the Note the Noteholder delivered for purchase and a statement that such Noteholder is withdrawing his election to have such Note purchased;</w:t>
      </w:r>
    </w:p>
    <w:p>
      <w:pPr>
        <w:spacing w:after="0" w:line="154" w:lineRule="exact"/>
        <w:rPr>
          <w:rFonts w:ascii="Times New Roman" w:cs="Times New Roman" w:eastAsia="Times New Roman" w:hAnsi="Times New Roman"/>
          <w:sz w:val="20"/>
          <w:szCs w:val="20"/>
          <w:color w:val="auto"/>
        </w:rPr>
      </w:pPr>
    </w:p>
    <w:p>
      <w:pPr>
        <w:jc w:val="both"/>
        <w:ind w:left="640" w:hanging="634"/>
        <w:spacing w:after="0" w:line="263" w:lineRule="auto"/>
        <w:tabs>
          <w:tab w:leader="none" w:pos="6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and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surrendered by Noteholders thereof, if applicable, exceeds the Offer Amount, the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shall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the Trustee will select the Notes or portions thereof to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w:t>
      </w:r>
    </w:p>
    <w:p>
      <w:pPr>
        <w:spacing w:after="0" w:line="165" w:lineRule="exact"/>
        <w:rPr>
          <w:rFonts w:ascii="Times New Roman" w:cs="Times New Roman" w:eastAsia="Times New Roman" w:hAnsi="Times New Roman"/>
          <w:sz w:val="20"/>
          <w:szCs w:val="20"/>
          <w:color w:val="auto"/>
        </w:rPr>
      </w:pPr>
    </w:p>
    <w:p>
      <w:pPr>
        <w:jc w:val="both"/>
        <w:ind w:left="640" w:hanging="634"/>
        <w:spacing w:after="0" w:line="261" w:lineRule="auto"/>
        <w:tabs>
          <w:tab w:leader="none" w:pos="6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were purchased only in part will be issued new Notes equal in principal amount to the unpurchased portion of the Notes surrendered (or transferred by book-entry transfer) and with a Payment Schedule reflecting the adjustments set forth in the Payment Schedule.</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On or before the Purchase Date, the Company will, to the extent lawful, accept for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extent necessary, the Offer Amount of Notes or portions thereof tendered pursuant to the Loss Proceeds Offer, Asset Sale Offer, LNG SPA Termination Offer or PLD Proceeds Offer, as applicable, or if less than the Offer Amount has been tendered, all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00"/>
          </w:cols>
          <w:pgMar w:left="960" w:top="1413" w:right="339" w:bottom="1440" w:gutter="0" w:footer="0" w:header="0"/>
        </w:sectPr>
      </w:pPr>
    </w:p>
    <w:bookmarkStart w:id="75" w:name="page76"/>
    <w:bookmarkEnd w:id="75"/>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tendered, and will deliver or cause to be delivered to the Trustee the Notes properly accepted together with an Officer’s Certificate stating that such Notes or portions thereof were accepted for payment by the Company in accordance with the terms of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The Company or the Paying Agent, as the case may be, will promptly (but in any case not later than five days after the Purchase Date) mail or deliver to each tendering Noteholder an amount equal to the purchase price of the Notes tendered by such Noteholder and accepted by the Company for purchase, and the Company will promptly issue a new Note, and the Trustee, upon written request from the Company, will authenticate and mail or deliver (or cause to be transferred by book entry) such new Note to such Noteholder, in a principal amount equal to any unpurchased portion of the Note surrendered. Any Note not so accepted shall be promptly mailed or delivered by the Company or the Trustee to the Noteholder thereof.</w:t>
      </w:r>
    </w:p>
    <w:p>
      <w:pPr>
        <w:spacing w:after="0" w:line="164"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Company undertakes to perform and comply with each of the covenants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Payment of Notes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Company will pay or cause to be paid the principal of, premium, if any, and interest on the Notes on the dates and in the manner provided in this Indenture and in the Notes, including the Payment Schedule as it may be adjusted from time to time as set forth therein. Principal, premium, if any, and interest will be considered paid on the date due if the Paying Agent, if other than the Company, holds as of 12:00 p.m. New York City time on the due date money deposited by the Company in immediately available funds and designated for and sufficient to pay all principal, premium, if any, and interest then due.</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pay interest (including post-petition interest in any proceeding under any Debtor Relief Law) on overdue principal at the rate equal to 2.0% per annum in excess of the then applicable interest rate on the Notes to the extent lawful; it will pay interest (including post-petition interest in any proceeding under any Debtor Relief Law) on overdue installments of interest (without regard to any applicable grace period) at the same rate to the extent lawful.</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 payment date is not a Business Day at a place of payment, payment may be made at that place on the next succeeding day that is a Business Day. Interest will be computed on the basis of a 360-day year of twelve 30-day months and will be payable semi-annually on the basis of six 30-day months.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maintain in the United States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Company may also from time to time designate one or more other offices or agencies where the Notes may be presented or surrendered for any or all such purposes and may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designation or rescission will in any manner relieve the Company of its obligation to maintain an office or agency in the United States for such purposes. The Company will give written notice to the Trustee of any such designation or rescission and of any change in the location of any such other office or agency.</w:t>
      </w:r>
    </w:p>
    <w:p>
      <w:pPr>
        <w:spacing w:after="0" w:line="154"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Reports</w:t>
      </w:r>
    </w:p>
    <w:p>
      <w:pPr>
        <w:spacing w:after="0" w:line="216" w:lineRule="exact"/>
        <w:rPr>
          <w:sz w:val="20"/>
          <w:szCs w:val="20"/>
          <w:color w:val="auto"/>
        </w:rPr>
      </w:pPr>
    </w:p>
    <w:p>
      <w:pPr>
        <w:jc w:val="both"/>
        <w:ind w:left="1280" w:hanging="634"/>
        <w:spacing w:after="0" w:line="253" w:lineRule="auto"/>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becomes subject to the reporting requirements of Section 13 or 15(d) of the Exchange Act, then the Company shall file with the Trustee within fifteen days after the Company files them with the SEC, copies of its annual reports and of the information, documents and other reports (or copies of such portions of any of the foregoing as the SEC may by rules and regulations prescribe) that the Company is required to file with the SEC pursuant to Section 13 or 15(d) of the Exchange Act.</w:t>
      </w:r>
    </w:p>
    <w:p>
      <w:pPr>
        <w:spacing w:after="0" w:line="160" w:lineRule="exact"/>
        <w:rPr>
          <w:rFonts w:ascii="Times New Roman" w:cs="Times New Roman" w:eastAsia="Times New Roman" w:hAnsi="Times New Roman"/>
          <w:sz w:val="20"/>
          <w:szCs w:val="20"/>
          <w:color w:val="auto"/>
        </w:rPr>
      </w:pPr>
    </w:p>
    <w:p>
      <w:pPr>
        <w:jc w:val="both"/>
        <w:ind w:left="1280" w:hanging="634"/>
        <w:spacing w:after="0" w:line="263" w:lineRule="auto"/>
        <w:tabs>
          <w:tab w:leader="none" w:pos="127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Notes are outstanding, the Company will furnish to the Noteholders and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analysts and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prospective investors in the Notes, upon their request, the information required to be delivered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Rule 144A(d)(4) under the Securities Act (or any successor provision thereto) (“</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0" w:lineRule="auto"/>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of the Notes are outstanding, in addition to the requirement to furnish Rule 144A Information as provided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Company shall furnish or cause to be furnished to Noteholders and the Trustee (1) annual audited consolidated financial statements of the Company prepared in accordance with GAAP (together with notes thereto and a report thereon by an independent accountant of established national reputation), such statements to be so furnished within 120 days after the end of the Fiscal Year covered thereby and (2) unaudited consolidated financial statements of the Company for each of the first three Fiscal Quarters of each Fiscal Year and the corresponding quarter and year-to-year period of the prior year prepared in all material respects on a basis consistent with the annual consolidated financial statements furnished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such statements to be so furnished within sixty days after the end of each such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(or the Trustee at the direction of the Company) shall give each Holder prior written notice, which may be by e-mail, of the posting or filing of any financial statements pursuant to this Section 4.3;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request of any holder to receive paper copies of such forms, financial statements, other information and Officer’s Certificates or to receive them by email, the Company will promptly deliver paper copies or email them, as the case may be, to such holder.</w:t>
      </w:r>
    </w:p>
    <w:p>
      <w:pPr>
        <w:spacing w:after="0" w:line="166"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comply with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by posting the information described herein on a website or online data system no later than the date that the Company is required to provide those reports to the Trustee and maintaining such posting for so long as any Notes remain outstanding. Access to such reports on such website or online data system may be subject to a confidentiality acknowledgment and password protection;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other conditions may be imposed on access to such reports other than a representation by the Person accessing such reports that it is the Trustee, a Noteholder, a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prospective investor or a</w:t>
      </w:r>
      <w:r>
        <w:rPr>
          <w:rFonts w:ascii="Times New Roman" w:cs="Times New Roman" w:eastAsia="Times New Roman" w:hAnsi="Times New Roman"/>
          <w:sz w:val="20"/>
          <w:szCs w:val="20"/>
          <w:i w:val="1"/>
          <w:iCs w:val="1"/>
          <w:color w:val="auto"/>
        </w:rPr>
        <w:t xml:space="preserve"> bona fide </w:t>
      </w:r>
      <w:r>
        <w:rPr>
          <w:rFonts w:ascii="Times New Roman" w:cs="Times New Roman" w:eastAsia="Times New Roman" w:hAnsi="Times New Roman"/>
          <w:sz w:val="20"/>
          <w:szCs w:val="20"/>
          <w:color w:val="auto"/>
        </w:rPr>
        <w:t>securities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77" w:name="page78"/>
    <w:bookmarkEnd w:id="77"/>
    <w:p>
      <w:pPr>
        <w:jc w:val="both"/>
        <w:ind w:left="634" w:hanging="634"/>
        <w:spacing w:after="0" w:line="258" w:lineRule="auto"/>
        <w:tabs>
          <w:tab w:leader="none" w:pos="6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58" w:lineRule="exact"/>
        <w:rPr>
          <w:rFonts w:ascii="Times New Roman" w:cs="Times New Roman" w:eastAsia="Times New Roman" w:hAnsi="Times New Roman"/>
          <w:sz w:val="20"/>
          <w:szCs w:val="20"/>
          <w:color w:val="auto"/>
        </w:rPr>
      </w:pPr>
    </w:p>
    <w:p>
      <w:pPr>
        <w:jc w:val="both"/>
        <w:ind w:left="634" w:hanging="634"/>
        <w:spacing w:after="0" w:line="261" w:lineRule="auto"/>
        <w:tabs>
          <w:tab w:leader="none" w:pos="62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reports or other information required to be filed, delivered or furnished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be deemed filed, delivered or furnished if filed electronically with the SEC through the SEC’s Electronic Data Gathering, Analysis and Retrieval System (or any successor system).</w:t>
      </w:r>
    </w:p>
    <w:p>
      <w:pPr>
        <w:spacing w:after="0" w:line="154" w:lineRule="exact"/>
        <w:rPr>
          <w:rFonts w:ascii="Times New Roman" w:cs="Times New Roman" w:eastAsia="Times New Roman" w:hAnsi="Times New Roman"/>
          <w:sz w:val="20"/>
          <w:szCs w:val="20"/>
          <w:color w:val="auto"/>
        </w:rPr>
      </w:pPr>
    </w:p>
    <w:p>
      <w:pPr>
        <w:jc w:val="both"/>
        <w:ind w:left="634" w:hanging="634"/>
        <w:spacing w:after="0" w:line="257" w:lineRule="auto"/>
        <w:tabs>
          <w:tab w:leader="none" w:pos="63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following receipt from the Company or the P1 Intercreditor Agent, shall furnish or cause to be furnished to each Noteholder such information as the Trustee receives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or from the P1 Intercreditor Agent pursuant to Article 6 (</w:t>
      </w:r>
      <w:r>
        <w:rPr>
          <w:rFonts w:ascii="Times New Roman" w:cs="Times New Roman" w:eastAsia="Times New Roman" w:hAnsi="Times New Roman"/>
          <w:sz w:val="20"/>
          <w:szCs w:val="20"/>
          <w:i w:val="1"/>
          <w:iCs w:val="1"/>
          <w:color w:val="auto"/>
        </w:rPr>
        <w:t>Reporting Requirements</w:t>
      </w:r>
      <w:r>
        <w:rPr>
          <w:rFonts w:ascii="Times New Roman" w:cs="Times New Roman" w:eastAsia="Times New Roman" w:hAnsi="Times New Roman"/>
          <w:sz w:val="20"/>
          <w:szCs w:val="20"/>
          <w:color w:val="auto"/>
        </w:rPr>
        <w:t>) of the Common Terms Agreement, in each case, promptly after receipt of such information by the Trustee, unless such information is required to be delivered by the Company directly to the Noteholders pursuant to this Indenture.</w:t>
      </w:r>
    </w:p>
    <w:p>
      <w:pPr>
        <w:spacing w:after="0" w:line="159" w:lineRule="exact"/>
        <w:rPr>
          <w:rFonts w:ascii="Times New Roman" w:cs="Times New Roman" w:eastAsia="Times New Roman" w:hAnsi="Times New Roman"/>
          <w:sz w:val="20"/>
          <w:szCs w:val="20"/>
          <w:color w:val="auto"/>
        </w:rPr>
      </w:pPr>
    </w:p>
    <w:p>
      <w:pPr>
        <w:jc w:val="both"/>
        <w:ind w:left="634" w:hanging="634"/>
        <w:spacing w:after="0" w:line="276" w:lineRule="auto"/>
        <w:tabs>
          <w:tab w:leader="none" w:pos="63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promptly, and in any event within five Business Days, after receipt from the CASA Advisor (as defined in the P1 CASA), deliver to the Trustee and the Noteholders a copy of any material written statement, budget, plan or reports and any notice pursuant to Section 5.5 (</w:t>
      </w:r>
      <w:r>
        <w:rPr>
          <w:rFonts w:ascii="Times New Roman" w:cs="Times New Roman" w:eastAsia="Times New Roman" w:hAnsi="Times New Roman"/>
          <w:sz w:val="19"/>
          <w:szCs w:val="19"/>
          <w:i w:val="1"/>
          <w:iCs w:val="1"/>
          <w:color w:val="auto"/>
        </w:rPr>
        <w:t>Variance in a P1 Services Budget</w:t>
      </w:r>
      <w:r>
        <w:rPr>
          <w:rFonts w:ascii="Times New Roman" w:cs="Times New Roman" w:eastAsia="Times New Roman" w:hAnsi="Times New Roman"/>
          <w:sz w:val="19"/>
          <w:szCs w:val="19"/>
          <w:color w:val="auto"/>
        </w:rPr>
        <w:t>) of the P1 CASA, in each case, delivered to the Company under the P1 CASA (including any such statements, budget, plan or report with respect to the Rio Grande Facility).</w:t>
      </w:r>
    </w:p>
    <w:p>
      <w:pPr>
        <w:spacing w:after="0" w:line="142" w:lineRule="exact"/>
        <w:rPr>
          <w:rFonts w:ascii="Times New Roman" w:cs="Times New Roman" w:eastAsia="Times New Roman" w:hAnsi="Times New Roman"/>
          <w:sz w:val="19"/>
          <w:szCs w:val="19"/>
          <w:color w:val="auto"/>
        </w:rPr>
      </w:pPr>
    </w:p>
    <w:p>
      <w:pPr>
        <w:jc w:val="both"/>
        <w:ind w:left="634" w:hanging="634"/>
        <w:spacing w:after="0" w:line="257" w:lineRule="auto"/>
        <w:tabs>
          <w:tab w:leader="none" w:pos="6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up to and including the month during which the Project Completion Date occurs, the Company shall deliver to the Trustee and Noteholders a monthly construction report from the Independent Engineer regarding the construction activities in relation to the Project carried out during such month based on the report delivered by the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159" w:lineRule="exact"/>
        <w:rPr>
          <w:rFonts w:ascii="Times New Roman" w:cs="Times New Roman" w:eastAsia="Times New Roman" w:hAnsi="Times New Roman"/>
          <w:sz w:val="20"/>
          <w:szCs w:val="20"/>
          <w:color w:val="auto"/>
        </w:rPr>
      </w:pPr>
    </w:p>
    <w:p>
      <w:pPr>
        <w:jc w:val="both"/>
        <w:ind w:left="634" w:hanging="634"/>
        <w:spacing w:after="0" w:line="261" w:lineRule="auto"/>
        <w:tabs>
          <w:tab w:leader="none" w:pos="6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and in any event within five Business Days, after receipt from the Operator, deliver to the Trustee and the Noteholders a copy of any annual reports delivered pursuant to Section 3.7.4 (</w:t>
      </w:r>
      <w:r>
        <w:rPr>
          <w:rFonts w:ascii="Times New Roman" w:cs="Times New Roman" w:eastAsia="Times New Roman" w:hAnsi="Times New Roman"/>
          <w:sz w:val="20"/>
          <w:szCs w:val="20"/>
          <w:i w:val="1"/>
          <w:iCs w:val="1"/>
          <w:color w:val="auto"/>
        </w:rPr>
        <w:t>Annual Reports</w:t>
      </w:r>
      <w:r>
        <w:rPr>
          <w:rFonts w:ascii="Times New Roman" w:cs="Times New Roman" w:eastAsia="Times New Roman" w:hAnsi="Times New Roman"/>
          <w:sz w:val="20"/>
          <w:szCs w:val="20"/>
          <w:color w:val="auto"/>
        </w:rPr>
        <w:t>) of the O&amp;M Agreement delivered to the Company under the O&amp;M Agreement.</w:t>
      </w:r>
    </w:p>
    <w:p>
      <w:pPr>
        <w:spacing w:after="0" w:line="154" w:lineRule="exact"/>
        <w:rPr>
          <w:rFonts w:ascii="Times New Roman" w:cs="Times New Roman" w:eastAsia="Times New Roman" w:hAnsi="Times New Roman"/>
          <w:sz w:val="20"/>
          <w:szCs w:val="20"/>
          <w:color w:val="auto"/>
        </w:rPr>
      </w:pPr>
    </w:p>
    <w:p>
      <w:pPr>
        <w:ind w:left="634" w:hanging="634"/>
        <w:spacing w:after="0"/>
        <w:tabs>
          <w:tab w:leader="none" w:pos="6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w:t>
      </w:r>
    </w:p>
    <w:p>
      <w:pPr>
        <w:spacing w:after="0" w:line="229" w:lineRule="exact"/>
        <w:rPr>
          <w:rFonts w:ascii="Times New Roman" w:cs="Times New Roman" w:eastAsia="Times New Roman" w:hAnsi="Times New Roman"/>
          <w:sz w:val="20"/>
          <w:szCs w:val="20"/>
          <w:color w:val="auto"/>
        </w:rPr>
      </w:pPr>
    </w:p>
    <w:p>
      <w:pPr>
        <w:ind w:left="1274" w:hanging="636"/>
        <w:spacing w:after="0" w:line="269" w:lineRule="auto"/>
        <w:tabs>
          <w:tab w:leader="none" w:pos="126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59" w:lineRule="exact"/>
        <w:rPr>
          <w:rFonts w:ascii="Times New Roman" w:cs="Times New Roman" w:eastAsia="Times New Roman" w:hAnsi="Times New Roman"/>
          <w:sz w:val="20"/>
          <w:szCs w:val="20"/>
          <w:color w:val="auto"/>
        </w:rPr>
      </w:pPr>
    </w:p>
    <w:p>
      <w:pPr>
        <w:jc w:val="both"/>
        <w:ind w:left="1914" w:hanging="639"/>
        <w:spacing w:after="0" w:line="261" w:lineRule="auto"/>
        <w:tabs>
          <w:tab w:leader="none" w:pos="1902"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cessation of material activities related to the development, construction, operation and/or maintenance of the Project not otherwise reflected in the Construction Budget and Schedule and that could reasonably be expected to exceed sixty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94"/>
          </w:cols>
          <w:pgMar w:left="966" w:top="1413" w:right="339" w:bottom="1440" w:gutter="0" w:footer="0" w:header="0"/>
        </w:sectPr>
      </w:pPr>
    </w:p>
    <w:bookmarkStart w:id="78" w:name="page79"/>
    <w:bookmarkEnd w:id="78"/>
    <w:p>
      <w:pPr>
        <w:ind w:left="1440" w:right="20" w:hanging="639"/>
        <w:spacing w:after="0" w:line="283" w:lineRule="auto"/>
        <w:tabs>
          <w:tab w:leader="none" w:pos="143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ultimate beneficial ownership information of the Company required to be provided in the Beneficial Ownership Certification most recently delivered to the Noteholders;</w:t>
      </w:r>
    </w:p>
    <w:p>
      <w:pPr>
        <w:spacing w:after="0" w:line="132"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3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occurrence or circumstance that could reasonably be expected to cause (i) an increase of more than $150,000,000 individually or in the aggregate in P1 Project Costs or (ii) the actual expenditure with respect to any category of expenditure or any line item contained in the Annual Facility Budget to exceed the budgeted amount set forth in the Annual Facility Budget by any amount that would give rise to a vote of one or more Liquefaction Owners pursuant to the CFAA;</w:t>
      </w:r>
    </w:p>
    <w:p>
      <w:pPr>
        <w:spacing w:after="0" w:line="164"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2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outage or disability of any Train Facility or Common Facilities for a period of longer than seven days (except for regularly scheduled outages) or (ii) any event which would entitle the Company to receive liquidated damages pursuant to Section 14.2.8 (Subsequent Train Facilities) of the CFAA or to receive and schedule “Default Quantities” pursuant to Section 14.2.9 (Subsequent Train Facilities) of the CFAA, and, in each case, any additional information available to the Company as may be reasonably requested by the P1 Intercreditor Agent in connection therewith;</w:t>
      </w:r>
    </w:p>
    <w:p>
      <w:pPr>
        <w:spacing w:after="0" w:line="178" w:lineRule="exact"/>
        <w:rPr>
          <w:rFonts w:ascii="Times New Roman" w:cs="Times New Roman" w:eastAsia="Times New Roman" w:hAnsi="Times New Roman"/>
          <w:sz w:val="20"/>
          <w:szCs w:val="20"/>
          <w:color w:val="auto"/>
        </w:rPr>
      </w:pPr>
    </w:p>
    <w:p>
      <w:pPr>
        <w:ind w:left="1440" w:right="20" w:hanging="639"/>
        <w:spacing w:after="0" w:line="269" w:lineRule="auto"/>
        <w:tabs>
          <w:tab w:leader="none" w:pos="143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proposed appointment, removal or change in the identity of the Facility Independent Engineer pursuant to the CFAA;</w:t>
      </w:r>
    </w:p>
    <w:p>
      <w:pPr>
        <w:spacing w:after="0" w:line="159" w:lineRule="exact"/>
        <w:rPr>
          <w:rFonts w:ascii="Times New Roman" w:cs="Times New Roman" w:eastAsia="Times New Roman" w:hAnsi="Times New Roman"/>
          <w:sz w:val="20"/>
          <w:szCs w:val="20"/>
          <w:color w:val="auto"/>
        </w:rPr>
      </w:pPr>
    </w:p>
    <w:p>
      <w:pPr>
        <w:ind w:left="1440" w:hanging="639"/>
        <w:spacing w:after="0"/>
        <w:tabs>
          <w:tab w:leader="none" w:pos="14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dispute between the Company and the Pledgor and the relevant tax authorities;</w:t>
      </w:r>
    </w:p>
    <w:p>
      <w:pPr>
        <w:spacing w:after="0" w:line="202" w:lineRule="exact"/>
        <w:rPr>
          <w:rFonts w:ascii="Times New Roman" w:cs="Times New Roman" w:eastAsia="Times New Roman" w:hAnsi="Times New Roman"/>
          <w:sz w:val="20"/>
          <w:szCs w:val="20"/>
          <w:color w:val="auto"/>
        </w:rPr>
      </w:pPr>
    </w:p>
    <w:p>
      <w:pPr>
        <w:jc w:val="both"/>
        <w:ind w:left="1440" w:hanging="639"/>
        <w:spacing w:after="0" w:line="281" w:lineRule="auto"/>
        <w:tabs>
          <w:tab w:leader="none" w:pos="1428"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litigation, arbitration, administrative proceeding, investigation, claim or proceeding and any material developments with respect thereto, in each case, relating to the Project (i) in which the amount involved is in excess of $150,000,000 or (ii) that could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ind w:left="1420" w:hanging="619"/>
        <w:spacing w:after="0"/>
        <w:tabs>
          <w:tab w:leader="none" w:pos="14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commercial exports of LNG from the Rio Grande Facility;</w:t>
      </w:r>
    </w:p>
    <w:p>
      <w:pPr>
        <w:spacing w:after="0" w:line="202" w:lineRule="exact"/>
        <w:rPr>
          <w:rFonts w:ascii="Times New Roman" w:cs="Times New Roman" w:eastAsia="Times New Roman" w:hAnsi="Times New Roman"/>
          <w:sz w:val="20"/>
          <w:szCs w:val="20"/>
          <w:color w:val="auto"/>
        </w:rPr>
      </w:pPr>
    </w:p>
    <w:p>
      <w:pPr>
        <w:ind w:left="1440" w:right="20" w:hanging="639"/>
        <w:spacing w:after="0" w:line="283" w:lineRule="auto"/>
        <w:tabs>
          <w:tab w:leader="none" w:pos="143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ERISA Event that could reasonably be expected to result in material liability to any Loan Party under ERISA or under the Code with respect to any Plan or Multiemployer Plan; and</w:t>
      </w:r>
    </w:p>
    <w:p>
      <w:pPr>
        <w:spacing w:after="0" w:line="132" w:lineRule="exact"/>
        <w:rPr>
          <w:rFonts w:ascii="Times New Roman" w:cs="Times New Roman" w:eastAsia="Times New Roman" w:hAnsi="Times New Roman"/>
          <w:sz w:val="20"/>
          <w:szCs w:val="20"/>
          <w:color w:val="auto"/>
        </w:rPr>
      </w:pPr>
    </w:p>
    <w:p>
      <w:pPr>
        <w:jc w:val="both"/>
        <w:ind w:left="1440" w:hanging="639"/>
        <w:spacing w:after="0" w:line="258" w:lineRule="auto"/>
        <w:tabs>
          <w:tab w:leader="none" w:pos="142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any similar notices to those set forth in this Section 4.3(k)(i) or in Section 6.2 (Notice of CTA Default, CTA Event of Default, and Other Events) of the Common Terms Agreement given in connection with additional Working Capital Debt, Replacement Debt or Supplemental Debt, including any notices of any default or event of default under any other Senior Secured Debt Instrument.</w:t>
      </w:r>
    </w:p>
    <w:p>
      <w:pPr>
        <w:spacing w:after="0" w:line="158" w:lineRule="exact"/>
        <w:rPr>
          <w:rFonts w:ascii="Times New Roman" w:cs="Times New Roman" w:eastAsia="Times New Roman" w:hAnsi="Times New Roman"/>
          <w:sz w:val="20"/>
          <w:szCs w:val="20"/>
          <w:color w:val="auto"/>
        </w:rPr>
      </w:pPr>
    </w:p>
    <w:p>
      <w:pPr>
        <w:ind w:left="800" w:right="60" w:hanging="636"/>
        <w:spacing w:after="0" w:line="283" w:lineRule="auto"/>
        <w:tabs>
          <w:tab w:leader="none" w:pos="7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delivery to any Material Project Party pursuant to a Material Project Document, deliver to the Trustee copies of all material written notices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20"/>
          </w:cols>
          <w:pgMar w:left="1440" w:top="1413" w:right="339" w:bottom="1440" w:gutter="0" w:footer="0" w:header="0"/>
        </w:sectPr>
      </w:pPr>
    </w:p>
    <w:bookmarkStart w:id="79" w:name="page80"/>
    <w:bookmarkEnd w:id="79"/>
    <w:p>
      <w:pPr>
        <w:ind w:left="800" w:right="20"/>
        <w:spacing w:after="0" w:line="261" w:lineRule="auto"/>
        <w:rPr>
          <w:sz w:val="20"/>
          <w:szCs w:val="20"/>
          <w:color w:val="auto"/>
        </w:rPr>
      </w:pPr>
      <w:r>
        <w:rPr>
          <w:rFonts w:ascii="Times New Roman" w:cs="Times New Roman" w:eastAsia="Times New Roman" w:hAnsi="Times New Roman"/>
          <w:sz w:val="20"/>
          <w:szCs w:val="20"/>
          <w:color w:val="auto"/>
        </w:rPr>
        <w:t>other material documents delivered to such Material Project Party by the Company (other than routine written notices or other documents delivered in the ordinary course of the administration of such agreements), including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w:t>
      </w:r>
    </w:p>
    <w:p>
      <w:pPr>
        <w:spacing w:after="0" w:line="181" w:lineRule="exact"/>
        <w:rPr>
          <w:sz w:val="20"/>
          <w:szCs w:val="20"/>
          <w:color w:val="auto"/>
        </w:rPr>
      </w:pPr>
    </w:p>
    <w:p>
      <w:pPr>
        <w:jc w:val="both"/>
        <w:ind w:left="800" w:hanging="636"/>
        <w:spacing w:after="0" w:line="262" w:lineRule="auto"/>
        <w:tabs>
          <w:tab w:leader="none" w:pos="797"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upon such documents becoming available (and, in the case of the documents described in </w:t>
      </w:r>
      <w:r>
        <w:rPr>
          <w:rFonts w:ascii="Times New Roman" w:cs="Times New Roman" w:eastAsia="Times New Roman" w:hAnsi="Times New Roman"/>
          <w:sz w:val="19"/>
          <w:szCs w:val="19"/>
          <w:u w:val="single" w:color="auto"/>
          <w:color w:val="auto"/>
        </w:rPr>
        <w:t>clauses (iv)</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below, no later than two Business Days following receipt thereof), deliver to the Trustee copies of all material written notices or other material documents received by the Company pursuant to any Material Project Document, other than routine written notices or other documents delivered in the ordinary course of administration of such agreements, but in any event including any notice or other document relating to (i) a failure by the Company to perform any of its material covenants or obligations under such Material Project Document; (ii) termination of a Material Project Document; (iii) a force majeure event under a Material Project Document; (iv) (x) any STF Development Plan (as defined in the Definitions Agreement) received, and, upon finalization, finalized, pursuant to Section 14.2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 (including any Facility Independent Engineer certificate relating thereto) and any additional information or notice of disagreement received or modification proposed pursuant to Section 14.2.5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 (together with any information and documents received in support thereof) and (y) any notice received pursuant to Section 14.2.11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w:t>
      </w:r>
    </w:p>
    <w:p>
      <w:pPr>
        <w:spacing w:after="0" w:line="1" w:lineRule="exact"/>
        <w:rPr>
          <w:rFonts w:ascii="Times New Roman" w:cs="Times New Roman" w:eastAsia="Times New Roman" w:hAnsi="Times New Roman"/>
          <w:sz w:val="19"/>
          <w:szCs w:val="19"/>
          <w:color w:val="auto"/>
        </w:rPr>
      </w:pPr>
    </w:p>
    <w:p>
      <w:pPr>
        <w:jc w:val="both"/>
        <w:ind w:left="800" w:firstLine="1"/>
        <w:spacing w:after="0" w:line="263" w:lineRule="auto"/>
        <w:tabs>
          <w:tab w:leader="none" w:pos="109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any Capital Improvement Plan received, and, upon finalization, finalized, pursuant to Section 14.3 (</w:t>
      </w:r>
      <w:r>
        <w:rPr>
          <w:rFonts w:ascii="Times New Roman" w:cs="Times New Roman" w:eastAsia="Times New Roman" w:hAnsi="Times New Roman"/>
          <w:sz w:val="19"/>
          <w:szCs w:val="19"/>
          <w:i w:val="1"/>
          <w:iCs w:val="1"/>
          <w:color w:val="auto"/>
        </w:rPr>
        <w:t>Capital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Improvements Generally</w:t>
      </w:r>
      <w:r>
        <w:rPr>
          <w:rFonts w:ascii="Times New Roman" w:cs="Times New Roman" w:eastAsia="Times New Roman" w:hAnsi="Times New Roman"/>
          <w:sz w:val="19"/>
          <w:szCs w:val="19"/>
          <w:color w:val="auto"/>
        </w:rPr>
        <w:t>) of the CFAA (including any Facility Independent Engineer certificate relating thereto) and</w:t>
      </w:r>
    </w:p>
    <w:p>
      <w:pPr>
        <w:jc w:val="both"/>
        <w:ind w:left="800" w:firstLine="1"/>
        <w:spacing w:after="0" w:line="249" w:lineRule="auto"/>
        <w:tabs>
          <w:tab w:leader="none" w:pos="112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Facility Independent Engineer confirmation received pursuant to Section 14.3.6 (</w:t>
      </w:r>
      <w:r>
        <w:rPr>
          <w:rFonts w:ascii="Times New Roman" w:cs="Times New Roman" w:eastAsia="Times New Roman" w:hAnsi="Times New Roman"/>
          <w:sz w:val="20"/>
          <w:szCs w:val="20"/>
          <w:i w:val="1"/>
          <w:iCs w:val="1"/>
          <w:color w:val="auto"/>
        </w:rPr>
        <w:t>Capital Improvements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Generally</w:t>
      </w:r>
      <w:r>
        <w:rPr>
          <w:rFonts w:ascii="Times New Roman" w:cs="Times New Roman" w:eastAsia="Times New Roman" w:hAnsi="Times New Roman"/>
          <w:sz w:val="20"/>
          <w:szCs w:val="20"/>
          <w:color w:val="auto"/>
        </w:rPr>
        <w:t>) of the CFAA; (vi) (x) any Restoration Plan received, and, upon finalization, finalized,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22.1 (</w:t>
      </w:r>
      <w:r>
        <w:rPr>
          <w:rFonts w:ascii="Times New Roman" w:cs="Times New Roman" w:eastAsia="Times New Roman" w:hAnsi="Times New Roman"/>
          <w:sz w:val="20"/>
          <w:szCs w:val="20"/>
          <w:i w:val="1"/>
          <w:iCs w:val="1"/>
          <w:color w:val="auto"/>
        </w:rPr>
        <w:t>Notice; Restoration Plan</w:t>
      </w:r>
      <w:r>
        <w:rPr>
          <w:rFonts w:ascii="Times New Roman" w:cs="Times New Roman" w:eastAsia="Times New Roman" w:hAnsi="Times New Roman"/>
          <w:sz w:val="20"/>
          <w:szCs w:val="20"/>
          <w:color w:val="auto"/>
        </w:rPr>
        <w:t>) of the CFAA (including any Facility Independent Engineer certificate relating thereto) and (y) any Facility Independent Engineer confirmation received pursuant to Section 22.2.3 (</w:t>
      </w:r>
      <w:r>
        <w:rPr>
          <w:rFonts w:ascii="Times New Roman" w:cs="Times New Roman" w:eastAsia="Times New Roman" w:hAnsi="Times New Roman"/>
          <w:sz w:val="20"/>
          <w:szCs w:val="20"/>
          <w:i w:val="1"/>
          <w:iCs w:val="1"/>
          <w:color w:val="auto"/>
        </w:rPr>
        <w:t>Events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Loss Affecting Common Facilities</w:t>
      </w:r>
      <w:r>
        <w:rPr>
          <w:rFonts w:ascii="Times New Roman" w:cs="Times New Roman" w:eastAsia="Times New Roman" w:hAnsi="Times New Roman"/>
          <w:sz w:val="20"/>
          <w:szCs w:val="20"/>
          <w:color w:val="auto"/>
        </w:rPr>
        <w:t>) of the CFAA; (vii)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 and (viii) each of the notices set forth in Section 2.2.3 (</w:t>
      </w:r>
      <w:r>
        <w:rPr>
          <w:rFonts w:ascii="Times New Roman" w:cs="Times New Roman" w:eastAsia="Times New Roman" w:hAnsi="Times New Roman"/>
          <w:sz w:val="20"/>
          <w:szCs w:val="20"/>
          <w:i w:val="1"/>
          <w:iCs w:val="1"/>
          <w:color w:val="auto"/>
        </w:rPr>
        <w:t>Delivery of Notices</w:t>
      </w:r>
      <w:r>
        <w:rPr>
          <w:rFonts w:ascii="Times New Roman" w:cs="Times New Roman" w:eastAsia="Times New Roman" w:hAnsi="Times New Roman"/>
          <w:sz w:val="20"/>
          <w:szCs w:val="20"/>
          <w:color w:val="auto"/>
        </w:rPr>
        <w: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PAAA;</w:t>
      </w:r>
    </w:p>
    <w:p>
      <w:pPr>
        <w:spacing w:after="0" w:line="171" w:lineRule="exact"/>
        <w:rPr>
          <w:sz w:val="20"/>
          <w:szCs w:val="20"/>
          <w:color w:val="auto"/>
        </w:rPr>
      </w:pPr>
    </w:p>
    <w:p>
      <w:pPr>
        <w:jc w:val="both"/>
        <w:ind w:left="800" w:hanging="636"/>
        <w:spacing w:after="0" w:line="258" w:lineRule="auto"/>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CASA Advisor, deliver to the Trustee and the Independent Engineer a copy of any material written statement, budget, plan or reports delivered to the Company under the P1 CASA (including any such statements, budget, plan or report with respect to the Rio Grande Facility);</w:t>
      </w:r>
    </w:p>
    <w:p>
      <w:pPr>
        <w:spacing w:after="0" w:line="172" w:lineRule="exact"/>
        <w:rPr>
          <w:rFonts w:ascii="Times New Roman" w:cs="Times New Roman" w:eastAsia="Times New Roman" w:hAnsi="Times New Roman"/>
          <w:sz w:val="20"/>
          <w:szCs w:val="20"/>
          <w:color w:val="auto"/>
        </w:rPr>
      </w:pPr>
    </w:p>
    <w:p>
      <w:pPr>
        <w:jc w:val="both"/>
        <w:ind w:left="800" w:hanging="636"/>
        <w:spacing w:after="0" w:line="257" w:lineRule="auto"/>
        <w:tabs>
          <w:tab w:leader="none" w:pos="79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up to and including the month during which the Project Completion Date occurs, deliver to the Trustee a monthly construction report from the Independent Engineer regarding the construction activities in relation to the Project carried out during such month based on the report delivered by the P1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120"/>
          </w:cols>
          <w:pgMar w:left="1440" w:top="1413" w:right="339" w:bottom="1440" w:gutter="0" w:footer="0" w:header="0"/>
        </w:sectPr>
      </w:pPr>
    </w:p>
    <w:bookmarkStart w:id="80" w:name="page81"/>
    <w:bookmarkEnd w:id="80"/>
    <w:p>
      <w:pPr>
        <w:jc w:val="both"/>
        <w:ind w:left="800" w:hanging="636"/>
        <w:spacing w:after="0" w:line="258" w:lineRule="auto"/>
        <w:tabs>
          <w:tab w:leader="none" w:pos="8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EPC Contractor, deliver to the Trustee and the Independent Engineer a copy of the Substantial Completion Certificate (as defined in each of the P1 EPC Contracts) with respect to each of “Train 1”, as defined in the T1/T2 EPC Contract, “Train 2”, as defined in the T1/T2 EPC Contract, and “Train 3”, as defined in the T3 EPC Contract;</w:t>
      </w:r>
    </w:p>
    <w:p>
      <w:pPr>
        <w:spacing w:after="0" w:line="158" w:lineRule="exact"/>
        <w:rPr>
          <w:rFonts w:ascii="Times New Roman" w:cs="Times New Roman" w:eastAsia="Times New Roman" w:hAnsi="Times New Roman"/>
          <w:sz w:val="20"/>
          <w:szCs w:val="20"/>
          <w:color w:val="auto"/>
        </w:rPr>
      </w:pPr>
    </w:p>
    <w:p>
      <w:pPr>
        <w:jc w:val="both"/>
        <w:ind w:left="800" w:hanging="636"/>
        <w:spacing w:after="0" w:line="276" w:lineRule="auto"/>
        <w:tabs>
          <w:tab w:leader="none" w:pos="78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event within five Business Days, after receipt from the Operator, deliver to the Trustee and the Independent Engineer a copy of any operating and other reports (including production and maintenance forecasts, quarterly operating statements and monthly, semi-annual and annual operating reports and any other reports delivered pursuant to Section 3.7 (</w:t>
      </w:r>
      <w:r>
        <w:rPr>
          <w:rFonts w:ascii="Times New Roman" w:cs="Times New Roman" w:eastAsia="Times New Roman" w:hAnsi="Times New Roman"/>
          <w:sz w:val="19"/>
          <w:szCs w:val="19"/>
          <w:i w:val="1"/>
          <w:iCs w:val="1"/>
          <w:color w:val="auto"/>
        </w:rPr>
        <w:t>Reports</w:t>
      </w:r>
      <w:r>
        <w:rPr>
          <w:rFonts w:ascii="Times New Roman" w:cs="Times New Roman" w:eastAsia="Times New Roman" w:hAnsi="Times New Roman"/>
          <w:sz w:val="19"/>
          <w:szCs w:val="19"/>
          <w:color w:val="auto"/>
        </w:rPr>
        <w:t>) of the O&amp;M Agreement) delivered to the Company under the O&amp;M Agreement;</w:t>
      </w:r>
    </w:p>
    <w:p>
      <w:pPr>
        <w:spacing w:after="0" w:line="156" w:lineRule="exact"/>
        <w:rPr>
          <w:rFonts w:ascii="Times New Roman" w:cs="Times New Roman" w:eastAsia="Times New Roman" w:hAnsi="Times New Roman"/>
          <w:sz w:val="19"/>
          <w:szCs w:val="19"/>
          <w:color w:val="auto"/>
        </w:rPr>
      </w:pPr>
    </w:p>
    <w:p>
      <w:pPr>
        <w:ind w:left="780" w:hanging="616"/>
        <w:spacing w:after="0"/>
        <w:tabs>
          <w:tab w:leader="none" w:pos="7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the Trustee:</w:t>
      </w:r>
    </w:p>
    <w:p>
      <w:pPr>
        <w:spacing w:after="0" w:line="229" w:lineRule="exact"/>
        <w:rPr>
          <w:rFonts w:ascii="Times New Roman" w:cs="Times New Roman" w:eastAsia="Times New Roman" w:hAnsi="Times New Roman"/>
          <w:sz w:val="20"/>
          <w:szCs w:val="20"/>
          <w:color w:val="auto"/>
        </w:rPr>
      </w:pPr>
    </w:p>
    <w:p>
      <w:pPr>
        <w:jc w:val="both"/>
        <w:ind w:left="1440" w:hanging="639"/>
        <w:spacing w:after="0" w:line="261" w:lineRule="auto"/>
        <w:tabs>
          <w:tab w:leader="none" w:pos="142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filing thereof, a copy of each filing made by (i) the Company with FERC with respect to the Project and (ii) with DOE/FE with respect to the export of LNG from, or the import of LNG to, the Project, except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such as are routine or ministerial in nature;</w:t>
      </w:r>
    </w:p>
    <w:p>
      <w:pPr>
        <w:spacing w:after="0" w:line="154"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3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obtaining Knowledge thereof, a copy of each filing with respect to (i) the Project made with FERC by any Person other than the Company in any proceeding before FERC in which the Company is the captioned party or respondent, except for such filings as are routine or ministerial in nature, or (ii) the import of LNG to, or the export of LNG from, the Project made with DOE/FE by any Person other than the Company in any proceeding before DOE/FE in which the Company is the captioned party or respondent, except for such filings as are routine or ministerial in nature;</w:t>
      </w:r>
    </w:p>
    <w:p>
      <w:pPr>
        <w:spacing w:after="0" w:line="178" w:lineRule="exact"/>
        <w:rPr>
          <w:rFonts w:ascii="Times New Roman" w:cs="Times New Roman" w:eastAsia="Times New Roman" w:hAnsi="Times New Roman"/>
          <w:sz w:val="20"/>
          <w:szCs w:val="20"/>
          <w:color w:val="auto"/>
        </w:rPr>
      </w:pPr>
    </w:p>
    <w:p>
      <w:pPr>
        <w:ind w:left="1420" w:hanging="619"/>
        <w:spacing w:after="0"/>
        <w:tabs>
          <w:tab w:leader="none" w:pos="14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to any Material Government Approval, together with a copy of such amendment;</w:t>
      </w:r>
    </w:p>
    <w:p>
      <w:pPr>
        <w:spacing w:after="0" w:line="215" w:lineRule="exact"/>
        <w:rPr>
          <w:rFonts w:ascii="Times New Roman" w:cs="Times New Roman" w:eastAsia="Times New Roman" w:hAnsi="Times New Roman"/>
          <w:sz w:val="20"/>
          <w:szCs w:val="20"/>
          <w:color w:val="auto"/>
        </w:rPr>
      </w:pPr>
    </w:p>
    <w:p>
      <w:pPr>
        <w:jc w:val="both"/>
        <w:ind w:left="1440" w:hanging="639"/>
        <w:spacing w:after="0" w:line="253" w:lineRule="auto"/>
        <w:tabs>
          <w:tab w:leader="none" w:pos="142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filing thereof, a copy of each filing, certification, waiver, exemption, claim, declaration, or registration made with respect to Material Government Approvals or DOE Export Authorizations to be obtained or filed by the Company with any Government Authority, except such filings, certifications, waivers, exemptions, claims, declarations, or registrations that are routine or ministerial in nature and in respect of which a failure to file could not reasonably be expected to have a Material Adverse Effect or to materially Impair any DOE Export Authorization;</w:t>
      </w:r>
    </w:p>
    <w:p>
      <w:pPr>
        <w:spacing w:after="0" w:line="192" w:lineRule="exact"/>
        <w:rPr>
          <w:rFonts w:ascii="Times New Roman" w:cs="Times New Roman" w:eastAsia="Times New Roman" w:hAnsi="Times New Roman"/>
          <w:sz w:val="20"/>
          <w:szCs w:val="20"/>
          <w:color w:val="auto"/>
        </w:rPr>
      </w:pPr>
    </w:p>
    <w:p>
      <w:pPr>
        <w:ind w:left="1440" w:hanging="639"/>
        <w:spacing w:after="0" w:line="269" w:lineRule="auto"/>
        <w:tabs>
          <w:tab w:leader="none" w:pos="143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occurrence thereof, notice of the occurrence of each Substantial Completion Date under the T1/T2 EPC Contract;</w:t>
      </w:r>
    </w:p>
    <w:p>
      <w:pPr>
        <w:spacing w:after="0" w:line="172" w:lineRule="exact"/>
        <w:rPr>
          <w:rFonts w:ascii="Times New Roman" w:cs="Times New Roman" w:eastAsia="Times New Roman" w:hAnsi="Times New Roman"/>
          <w:sz w:val="20"/>
          <w:szCs w:val="20"/>
          <w:color w:val="auto"/>
        </w:rPr>
      </w:pPr>
    </w:p>
    <w:p>
      <w:pPr>
        <w:ind w:left="1440" w:hanging="639"/>
        <w:spacing w:after="0" w:line="283" w:lineRule="auto"/>
        <w:tabs>
          <w:tab w:leader="none" w:pos="143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order issued by FERC or DOE/FE relating to the Project (including any Capital Improvement) or any Material Project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120"/>
          </w:cols>
          <w:pgMar w:left="1440" w:top="1413" w:right="339" w:bottom="1440" w:gutter="0" w:footer="0" w:header="0"/>
        </w:sectPr>
      </w:pPr>
    </w:p>
    <w:bookmarkStart w:id="81" w:name="page82"/>
    <w:bookmarkEnd w:id="81"/>
    <w:p>
      <w:pPr>
        <w:jc w:val="both"/>
        <w:ind w:left="1440" w:hanging="639"/>
        <w:spacing w:after="0" w:line="261" w:lineRule="auto"/>
        <w:tabs>
          <w:tab w:leader="none" w:pos="142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Replacement Debt, Supplemental Debt, or Working Capital Debt is incurred by the Company, a copy of any report from the Independent Engineer and any other consultant that the Holders of such Senior Secured Debt are entitled to receive;</w:t>
      </w:r>
    </w:p>
    <w:p>
      <w:pPr>
        <w:spacing w:after="0" w:line="181" w:lineRule="exact"/>
        <w:rPr>
          <w:rFonts w:ascii="Times New Roman" w:cs="Times New Roman" w:eastAsia="Times New Roman" w:hAnsi="Times New Roman"/>
          <w:sz w:val="20"/>
          <w:szCs w:val="20"/>
          <w:color w:val="auto"/>
        </w:rPr>
      </w:pPr>
    </w:p>
    <w:p>
      <w:pPr>
        <w:jc w:val="both"/>
        <w:ind w:left="800" w:hanging="636"/>
        <w:spacing w:after="0" w:line="258" w:lineRule="auto"/>
        <w:tabs>
          <w:tab w:leader="none" w:pos="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CFAA, furnish the Trustee, a copy of the Annual Facility Budget and Annual Facility Plan, the Annual Operating Budget, Annual Capital Budget, Annual Operating Plan or Annual Capital Plan that are components thereof;</w:t>
      </w:r>
    </w:p>
    <w:p>
      <w:pPr>
        <w:spacing w:after="0" w:line="172" w:lineRule="exact"/>
        <w:rPr>
          <w:rFonts w:ascii="Times New Roman" w:cs="Times New Roman" w:eastAsia="Times New Roman" w:hAnsi="Times New Roman"/>
          <w:sz w:val="20"/>
          <w:szCs w:val="20"/>
          <w:color w:val="auto"/>
        </w:rPr>
      </w:pPr>
    </w:p>
    <w:p>
      <w:pPr>
        <w:ind w:left="800" w:hanging="636"/>
        <w:spacing w:after="0" w:line="283" w:lineRule="auto"/>
        <w:tabs>
          <w:tab w:leader="none" w:pos="79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O&amp;M Agreement, furnish the Trustee a copy of the Annual O&amp;M Budget and Annual O&amp;M Plan;</w:t>
      </w:r>
    </w:p>
    <w:p>
      <w:pPr>
        <w:spacing w:after="0" w:line="146" w:lineRule="exact"/>
        <w:rPr>
          <w:rFonts w:ascii="Times New Roman" w:cs="Times New Roman" w:eastAsia="Times New Roman" w:hAnsi="Times New Roman"/>
          <w:sz w:val="20"/>
          <w:szCs w:val="20"/>
          <w:color w:val="auto"/>
        </w:rPr>
      </w:pPr>
    </w:p>
    <w:p>
      <w:pPr>
        <w:jc w:val="both"/>
        <w:ind w:left="800" w:hanging="636"/>
        <w:spacing w:after="0" w:line="253" w:lineRule="auto"/>
        <w:tabs>
          <w:tab w:leader="none" w:pos="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the delivery of financial statements in accordance with </w:t>
      </w:r>
      <w:r>
        <w:rPr>
          <w:rFonts w:ascii="Times New Roman" w:cs="Times New Roman" w:eastAsia="Times New Roman" w:hAnsi="Times New Roman"/>
          <w:sz w:val="20"/>
          <w:szCs w:val="20"/>
          <w:u w:val="single" w:color="auto"/>
          <w:color w:val="auto"/>
        </w:rPr>
        <w:t>Section 4.3(c)(2)</w:t>
      </w:r>
      <w:r>
        <w:rPr>
          <w:rFonts w:ascii="Times New Roman" w:cs="Times New Roman" w:eastAsia="Times New Roman" w:hAnsi="Times New Roman"/>
          <w:sz w:val="20"/>
          <w:szCs w:val="20"/>
          <w:color w:val="auto"/>
        </w:rPr>
        <w:t xml:space="preserve"> in respect of each Fiscal Quarter occurring after the Project Completion Date, deliver to the Trustee a certificate of a Responsible Officer of the Company setting forth (a) the Historical DSCR for the four Fiscal Quarter period ended on such Quarterly Payment Date and (b) the Indenture Projected DSCR for the four Fiscal Quarter period commencing on such Quarterly Payment Date, in each case together with the calculation in reasonable detail and supporting data to confirm such calculations;</w:t>
      </w:r>
    </w:p>
    <w:p>
      <w:pPr>
        <w:spacing w:after="0" w:line="192" w:lineRule="exact"/>
        <w:rPr>
          <w:rFonts w:ascii="Times New Roman" w:cs="Times New Roman" w:eastAsia="Times New Roman" w:hAnsi="Times New Roman"/>
          <w:sz w:val="20"/>
          <w:szCs w:val="20"/>
          <w:color w:val="auto"/>
        </w:rPr>
      </w:pPr>
    </w:p>
    <w:p>
      <w:pPr>
        <w:ind w:left="800" w:hanging="636"/>
        <w:spacing w:after="0" w:line="283" w:lineRule="auto"/>
        <w:tabs>
          <w:tab w:leader="none" w:pos="78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any Additional Material Project Documents to the Company;</w:t>
      </w:r>
    </w:p>
    <w:p>
      <w:pPr>
        <w:spacing w:after="0" w:line="146" w:lineRule="exact"/>
        <w:rPr>
          <w:rFonts w:ascii="Times New Roman" w:cs="Times New Roman" w:eastAsia="Times New Roman" w:hAnsi="Times New Roman"/>
          <w:sz w:val="20"/>
          <w:szCs w:val="20"/>
          <w:color w:val="auto"/>
        </w:rPr>
      </w:pPr>
    </w:p>
    <w:p>
      <w:pPr>
        <w:ind w:left="800" w:hanging="636"/>
        <w:spacing w:after="0" w:line="283" w:lineRule="auto"/>
        <w:tabs>
          <w:tab w:leader="none" w:pos="7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all material amendments, supplements or modifications (including any change order) of any Material Project Documents;</w:t>
      </w:r>
    </w:p>
    <w:p>
      <w:pPr>
        <w:spacing w:after="0" w:line="146" w:lineRule="exact"/>
        <w:rPr>
          <w:rFonts w:ascii="Times New Roman" w:cs="Times New Roman" w:eastAsia="Times New Roman" w:hAnsi="Times New Roman"/>
          <w:sz w:val="20"/>
          <w:szCs w:val="20"/>
          <w:color w:val="auto"/>
        </w:rPr>
      </w:pPr>
    </w:p>
    <w:p>
      <w:pPr>
        <w:jc w:val="both"/>
        <w:ind w:left="800" w:hanging="636"/>
        <w:spacing w:after="0" w:line="257" w:lineRule="auto"/>
        <w:tabs>
          <w:tab w:leader="none" w:pos="79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T1 Substantial Completion, deliver to the Trustee copies of environmental and social information contained in periodic reports prepared by or for the Company, which will include a summary of the P1 EPC Contractor’s performance against certain key performance indicators and other appropriate environmental and social statistics, such as (i) lost time incidents, (ii) oil spills and releases of hazardous materials, and (iii) other material environmental and social events;</w:t>
      </w:r>
    </w:p>
    <w:p>
      <w:pPr>
        <w:spacing w:after="0" w:line="172" w:lineRule="exact"/>
        <w:rPr>
          <w:rFonts w:ascii="Times New Roman" w:cs="Times New Roman" w:eastAsia="Times New Roman" w:hAnsi="Times New Roman"/>
          <w:sz w:val="20"/>
          <w:szCs w:val="20"/>
          <w:color w:val="auto"/>
        </w:rPr>
      </w:pPr>
    </w:p>
    <w:p>
      <w:pPr>
        <w:jc w:val="both"/>
        <w:ind w:left="800" w:hanging="636"/>
        <w:spacing w:after="0" w:line="258" w:lineRule="auto"/>
        <w:tabs>
          <w:tab w:leader="none" w:pos="78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days following each June 30 and December 31 to occur after the date hereof and prior to T1 Substantial Completion, deliver to the Trustee and the Independent Engineer a semi-annual environmental and social report prepared by the Environmental Advisor analyzing the Company’s compliance with the Equator Principles and the Environmental and Social Action Plan;</w:t>
      </w:r>
    </w:p>
    <w:p>
      <w:pPr>
        <w:spacing w:after="0" w:line="185" w:lineRule="exact"/>
        <w:rPr>
          <w:rFonts w:ascii="Times New Roman" w:cs="Times New Roman" w:eastAsia="Times New Roman" w:hAnsi="Times New Roman"/>
          <w:sz w:val="20"/>
          <w:szCs w:val="20"/>
          <w:color w:val="auto"/>
        </w:rPr>
      </w:pPr>
    </w:p>
    <w:p>
      <w:pPr>
        <w:jc w:val="both"/>
        <w:ind w:left="800" w:hanging="636"/>
        <w:spacing w:after="0" w:line="261" w:lineRule="auto"/>
        <w:tabs>
          <w:tab w:leader="none" w:pos="79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following December 31 of each calendar year prior to the Maturity Date beginning with the first calendar year following the year in which T1 Substantial Completion has occurred, deliver to the Trustee and the Independent Engineer an annual environmental and social report prepared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20"/>
          </w:cols>
          <w:pgMar w:left="1440" w:top="1413" w:right="339" w:bottom="1440" w:gutter="0" w:footer="0" w:header="0"/>
        </w:sectPr>
      </w:pPr>
    </w:p>
    <w:bookmarkStart w:id="82" w:name="page83"/>
    <w:bookmarkEnd w:id="82"/>
    <w:p>
      <w:pPr>
        <w:ind w:left="800" w:right="20"/>
        <w:spacing w:after="0" w:line="283" w:lineRule="auto"/>
        <w:rPr>
          <w:sz w:val="20"/>
          <w:szCs w:val="20"/>
          <w:color w:val="auto"/>
        </w:rPr>
      </w:pPr>
      <w:r>
        <w:rPr>
          <w:rFonts w:ascii="Times New Roman" w:cs="Times New Roman" w:eastAsia="Times New Roman" w:hAnsi="Times New Roman"/>
          <w:sz w:val="20"/>
          <w:szCs w:val="20"/>
          <w:color w:val="auto"/>
        </w:rPr>
        <w:t>Environmental Advisor analyzing the Company’s compliance with the Equator Principles and the Environmental and Social Action Plan;</w:t>
      </w:r>
    </w:p>
    <w:p>
      <w:pPr>
        <w:spacing w:after="0" w:line="146" w:lineRule="exact"/>
        <w:rPr>
          <w:sz w:val="20"/>
          <w:szCs w:val="20"/>
          <w:color w:val="auto"/>
        </w:rPr>
      </w:pPr>
    </w:p>
    <w:p>
      <w:pPr>
        <w:jc w:val="both"/>
        <w:ind w:left="800" w:hanging="636"/>
        <w:spacing w:after="0" w:line="252" w:lineRule="auto"/>
        <w:tabs>
          <w:tab w:leader="none" w:pos="79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within seven Business Days after the Company obtains Knowledge of any of the following, provide written notice to the Trustee of any (i) material Release of Hazardous Materials, (ii) any Environmental and Social Incident (as defined in the CD Credit Agreement) (which notice may be subject to subsequent investigation and clarification), (iii) any event or circumstance that could reasonably be expected to give rise to a material Environmental Claim, constitute a breach in any material respect of the Environmental and Social Action Plan, or result, or which has resulted, in a failure by the Company to comply in all material respects with Environmental Laws and the Equator Principles, and (iv) other material written notice from Government Authorities related to any of the foregoing or otherwise related to the need to investigate, respond, clean up, or remediate Hazardous Materials or any Environmental and Social Incident;</w:t>
      </w:r>
    </w:p>
    <w:p>
      <w:pPr>
        <w:spacing w:after="0" w:line="189" w:lineRule="exact"/>
        <w:rPr>
          <w:rFonts w:ascii="Times New Roman" w:cs="Times New Roman" w:eastAsia="Times New Roman" w:hAnsi="Times New Roman"/>
          <w:sz w:val="20"/>
          <w:szCs w:val="20"/>
          <w:color w:val="auto"/>
        </w:rPr>
      </w:pPr>
    </w:p>
    <w:p>
      <w:pPr>
        <w:ind w:left="800" w:hanging="636"/>
        <w:spacing w:after="0"/>
        <w:tabs>
          <w:tab w:leader="none" w:pos="8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within seven Business Days following either</w:t>
      </w:r>
    </w:p>
    <w:p>
      <w:pPr>
        <w:spacing w:after="0" w:line="21" w:lineRule="exact"/>
        <w:rPr>
          <w:rFonts w:ascii="Times New Roman" w:cs="Times New Roman" w:eastAsia="Times New Roman" w:hAnsi="Times New Roman"/>
          <w:sz w:val="20"/>
          <w:szCs w:val="20"/>
          <w:color w:val="auto"/>
        </w:rPr>
      </w:pPr>
    </w:p>
    <w:p>
      <w:pPr>
        <w:ind w:left="1080" w:hanging="279"/>
        <w:spacing w:after="0"/>
        <w:tabs>
          <w:tab w:leader="none" w:pos="10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to the Company of any report prepared for the Company regarding any Environmental and Social</w:t>
      </w:r>
    </w:p>
    <w:p>
      <w:pPr>
        <w:spacing w:after="0" w:line="6" w:lineRule="exact"/>
        <w:rPr>
          <w:sz w:val="20"/>
          <w:szCs w:val="20"/>
          <w:color w:val="auto"/>
        </w:rPr>
      </w:pPr>
    </w:p>
    <w:p>
      <w:pPr>
        <w:jc w:val="both"/>
        <w:ind w:left="800"/>
        <w:spacing w:after="0" w:line="270" w:lineRule="auto"/>
        <w:rPr>
          <w:sz w:val="20"/>
          <w:szCs w:val="20"/>
          <w:color w:val="auto"/>
        </w:rPr>
      </w:pPr>
      <w:r>
        <w:rPr>
          <w:rFonts w:ascii="Times New Roman" w:cs="Times New Roman" w:eastAsia="Times New Roman" w:hAnsi="Times New Roman"/>
          <w:sz w:val="19"/>
          <w:szCs w:val="19"/>
          <w:color w:val="auto"/>
        </w:rPr>
        <w:t xml:space="preserve">Incident or (ii) the occurrence of a material development in respect of any Environmental and Social Incident, deliver to the Trustee a notice, report or update, as applicable, from the Company (which may, but need not, be a copy of the report referred to in </w:t>
      </w:r>
      <w:r>
        <w:rPr>
          <w:rFonts w:ascii="Times New Roman" w:cs="Times New Roman" w:eastAsia="Times New Roman" w:hAnsi="Times New Roman"/>
          <w:sz w:val="19"/>
          <w:szCs w:val="19"/>
          <w:u w:val="single" w:color="auto"/>
          <w:color w:val="auto"/>
        </w:rPr>
        <w:t>sub-clause (xviii)(i)</w:t>
      </w:r>
      <w:r>
        <w:rPr>
          <w:rFonts w:ascii="Times New Roman" w:cs="Times New Roman" w:eastAsia="Times New Roman" w:hAnsi="Times New Roman"/>
          <w:sz w:val="19"/>
          <w:szCs w:val="19"/>
          <w:color w:val="auto"/>
        </w:rPr>
        <w:t xml:space="preserve"> above) in respect of such material development (and, for the avoidance of doubt, no such notice, report or update will require delivery of any document prepared for internal purposes);</w:t>
      </w:r>
    </w:p>
    <w:p>
      <w:pPr>
        <w:spacing w:after="0" w:line="163" w:lineRule="exact"/>
        <w:rPr>
          <w:sz w:val="20"/>
          <w:szCs w:val="20"/>
          <w:color w:val="auto"/>
        </w:rPr>
      </w:pPr>
    </w:p>
    <w:p>
      <w:pPr>
        <w:ind w:left="800" w:hanging="636"/>
        <w:spacing w:after="0" w:line="283" w:lineRule="auto"/>
        <w:tabs>
          <w:tab w:leader="none" w:pos="79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46" w:lineRule="exact"/>
        <w:rPr>
          <w:rFonts w:ascii="Times New Roman" w:cs="Times New Roman" w:eastAsia="Times New Roman" w:hAnsi="Times New Roman"/>
          <w:sz w:val="20"/>
          <w:szCs w:val="20"/>
          <w:color w:val="auto"/>
        </w:rPr>
      </w:pPr>
    </w:p>
    <w:p>
      <w:pPr>
        <w:jc w:val="both"/>
        <w:ind w:left="1440" w:hanging="639"/>
        <w:spacing w:after="0" w:line="258" w:lineRule="auto"/>
        <w:tabs>
          <w:tab w:leader="none" w:pos="142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Loss or Event of Taking in excess of $75,000,000 in value or any series of such events or circumstances during any twelve month period in excess of $250,000,000 in value in the aggregate, or the initiation of any insurance claim proceedings with respect to any such Event of Loss or Event of Taking;</w:t>
      </w:r>
    </w:p>
    <w:p>
      <w:pPr>
        <w:spacing w:after="0" w:line="185" w:lineRule="exact"/>
        <w:rPr>
          <w:rFonts w:ascii="Times New Roman" w:cs="Times New Roman" w:eastAsia="Times New Roman" w:hAnsi="Times New Roman"/>
          <w:sz w:val="20"/>
          <w:szCs w:val="20"/>
          <w:color w:val="auto"/>
        </w:rPr>
      </w:pPr>
    </w:p>
    <w:p>
      <w:pPr>
        <w:jc w:val="both"/>
        <w:ind w:left="1440" w:hanging="639"/>
        <w:spacing w:after="0" w:line="261" w:lineRule="auto"/>
        <w:tabs>
          <w:tab w:leader="none" w:pos="143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giving rise (or that could reasonably be expected to give rise) to a claim under any insurance policy maintained with respect to the Project in excess of $75,000,000 with copies of any material document relating thereto that are available to the Company;</w:t>
      </w:r>
    </w:p>
    <w:p>
      <w:pPr>
        <w:spacing w:after="0" w:line="167" w:lineRule="exact"/>
        <w:rPr>
          <w:rFonts w:ascii="Times New Roman" w:cs="Times New Roman" w:eastAsia="Times New Roman" w:hAnsi="Times New Roman"/>
          <w:sz w:val="20"/>
          <w:szCs w:val="20"/>
          <w:color w:val="auto"/>
        </w:rPr>
      </w:pPr>
    </w:p>
    <w:p>
      <w:pPr>
        <w:jc w:val="both"/>
        <w:ind w:left="1440" w:hanging="639"/>
        <w:spacing w:after="0" w:line="268" w:lineRule="auto"/>
        <w:tabs>
          <w:tab w:leader="none" w:pos="143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pay any premium, cancellation, termination, suspension, or actual or reasonably anticipated material reductions in the coverages or amounts of any insurance required pursuant to the Insurance Program;</w:t>
      </w:r>
    </w:p>
    <w:p>
      <w:pPr>
        <w:spacing w:after="0" w:line="161" w:lineRule="exact"/>
        <w:rPr>
          <w:rFonts w:ascii="Times New Roman" w:cs="Times New Roman" w:eastAsia="Times New Roman" w:hAnsi="Times New Roman"/>
          <w:sz w:val="20"/>
          <w:szCs w:val="20"/>
          <w:color w:val="auto"/>
        </w:rPr>
      </w:pPr>
    </w:p>
    <w:p>
      <w:pPr>
        <w:ind w:left="1440" w:right="20" w:hanging="639"/>
        <w:spacing w:after="0" w:line="283" w:lineRule="auto"/>
        <w:tabs>
          <w:tab w:leader="none" w:pos="142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financial rating of any insurer providing insurance such that the rating no longer meets the requirements set forth in the Insurance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120"/>
          </w:cols>
          <w:pgMar w:left="1440" w:top="1413" w:right="339" w:bottom="1440" w:gutter="0" w:footer="0" w:header="0"/>
        </w:sectPr>
      </w:pPr>
    </w:p>
    <w:bookmarkStart w:id="83" w:name="page84"/>
    <w:bookmarkEnd w:id="83"/>
    <w:p>
      <w:pPr>
        <w:ind w:left="1914" w:right="20" w:hanging="639"/>
        <w:spacing w:after="0" w:line="287" w:lineRule="auto"/>
        <w:tabs>
          <w:tab w:leader="none" w:pos="1907"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notices or other documents delivered by or to the Company pursuant to Exhibit E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Requirements</w:t>
      </w:r>
      <w:r>
        <w:rPr>
          <w:rFonts w:ascii="Times New Roman" w:cs="Times New Roman" w:eastAsia="Times New Roman" w:hAnsi="Times New Roman"/>
          <w:sz w:val="20"/>
          <w:szCs w:val="20"/>
          <w:color w:val="auto"/>
        </w:rPr>
        <w:t>) of the CFAA;</w:t>
      </w:r>
    </w:p>
    <w:p>
      <w:pPr>
        <w:spacing w:after="0" w:line="142" w:lineRule="exact"/>
        <w:rPr>
          <w:rFonts w:ascii="Times New Roman" w:cs="Times New Roman" w:eastAsia="Times New Roman" w:hAnsi="Times New Roman"/>
          <w:sz w:val="20"/>
          <w:szCs w:val="20"/>
          <w:color w:val="auto"/>
        </w:rPr>
      </w:pPr>
    </w:p>
    <w:p>
      <w:pPr>
        <w:ind w:left="1914" w:hanging="639"/>
        <w:spacing w:after="0" w:line="283" w:lineRule="auto"/>
        <w:tabs>
          <w:tab w:leader="none" w:pos="1909"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claims on insurance carried by the P1 EPC Contractor under the P1 EPC Contracts and a summary of the progress and status of such claims;</w:t>
      </w:r>
    </w:p>
    <w:p>
      <w:pPr>
        <w:spacing w:after="0" w:line="146" w:lineRule="exact"/>
        <w:rPr>
          <w:rFonts w:ascii="Times New Roman" w:cs="Times New Roman" w:eastAsia="Times New Roman" w:hAnsi="Times New Roman"/>
          <w:sz w:val="20"/>
          <w:szCs w:val="20"/>
          <w:color w:val="auto"/>
        </w:rPr>
      </w:pPr>
    </w:p>
    <w:p>
      <w:pPr>
        <w:ind w:left="1914" w:hanging="639"/>
        <w:spacing w:after="0" w:line="283" w:lineRule="auto"/>
        <w:tabs>
          <w:tab w:leader="none" w:pos="190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renewal or replacement of any insurance policy required under the Insurance Program, within thirty days thereof;</w:t>
      </w:r>
    </w:p>
    <w:p>
      <w:pPr>
        <w:spacing w:after="0" w:line="159" w:lineRule="exact"/>
        <w:rPr>
          <w:rFonts w:ascii="Times New Roman" w:cs="Times New Roman" w:eastAsia="Times New Roman" w:hAnsi="Times New Roman"/>
          <w:sz w:val="20"/>
          <w:szCs w:val="20"/>
          <w:color w:val="auto"/>
        </w:rPr>
      </w:pPr>
    </w:p>
    <w:p>
      <w:pPr>
        <w:jc w:val="both"/>
        <w:ind w:left="1914" w:hanging="639"/>
        <w:spacing w:after="0" w:line="251" w:lineRule="auto"/>
        <w:tabs>
          <w:tab w:leader="none" w:pos="190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its other obligations under this </w:t>
      </w:r>
      <w:r>
        <w:rPr>
          <w:rFonts w:ascii="Times New Roman" w:cs="Times New Roman" w:eastAsia="Times New Roman" w:hAnsi="Times New Roman"/>
          <w:sz w:val="20"/>
          <w:szCs w:val="20"/>
          <w:u w:val="single" w:color="auto"/>
          <w:color w:val="auto"/>
        </w:rPr>
        <w:t>Section 4.3(k)(xix)</w:t>
      </w:r>
      <w:r>
        <w:rPr>
          <w:rFonts w:ascii="Times New Roman" w:cs="Times New Roman" w:eastAsia="Times New Roman" w:hAnsi="Times New Roman"/>
          <w:sz w:val="20"/>
          <w:szCs w:val="20"/>
          <w:color w:val="auto"/>
        </w:rPr>
        <w:t xml:space="preserve"> or the CFAA, any fact, event or circumstance that has caused, or that with the giving of notice, lapse of time or making of a determination would cause, it to be in breach of any provision of this </w:t>
      </w:r>
      <w:r>
        <w:rPr>
          <w:rFonts w:ascii="Times New Roman" w:cs="Times New Roman" w:eastAsia="Times New Roman" w:hAnsi="Times New Roman"/>
          <w:sz w:val="20"/>
          <w:szCs w:val="20"/>
          <w:u w:val="single" w:color="auto"/>
          <w:color w:val="auto"/>
        </w:rPr>
        <w:t>Section 4.3(k)(xix)</w:t>
      </w:r>
      <w:r>
        <w:rPr>
          <w:rFonts w:ascii="Times New Roman" w:cs="Times New Roman" w:eastAsia="Times New Roman" w:hAnsi="Times New Roman"/>
          <w:sz w:val="20"/>
          <w:szCs w:val="20"/>
          <w:color w:val="auto"/>
        </w:rPr>
        <w:t xml:space="preserve"> or the CFAA or the requirements of any of the insurance policies in the Insurance Program and (i) the steps it proposes to take in order to remedy such breach or, if such breach cannot be remedied, to mitigate the risk or liability to which the Project has been or shall reasonably be expected to be exposed by virtue of the occurrence of such breach and (ii) its good faith estimate of the period required to implement, and the cost of, such steps; and</w:t>
      </w:r>
    </w:p>
    <w:p>
      <w:pPr>
        <w:spacing w:after="0" w:line="192" w:lineRule="exact"/>
        <w:rPr>
          <w:rFonts w:ascii="Times New Roman" w:cs="Times New Roman" w:eastAsia="Times New Roman" w:hAnsi="Times New Roman"/>
          <w:sz w:val="20"/>
          <w:szCs w:val="20"/>
          <w:color w:val="auto"/>
        </w:rPr>
      </w:pPr>
    </w:p>
    <w:p>
      <w:pPr>
        <w:ind w:left="1914" w:hanging="639"/>
        <w:spacing w:after="0" w:line="269" w:lineRule="auto"/>
        <w:tabs>
          <w:tab w:leader="none" w:pos="1906"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equivalent to the foregoing that the Company has received from CFCo or InsuranceCo with respect to the Insurance Program.</w:t>
      </w:r>
    </w:p>
    <w:p>
      <w:pPr>
        <w:spacing w:after="0" w:line="172" w:lineRule="exact"/>
        <w:rPr>
          <w:rFonts w:ascii="Times New Roman" w:cs="Times New Roman" w:eastAsia="Times New Roman" w:hAnsi="Times New Roman"/>
          <w:sz w:val="20"/>
          <w:szCs w:val="20"/>
          <w:color w:val="auto"/>
        </w:rPr>
      </w:pPr>
    </w:p>
    <w:p>
      <w:pPr>
        <w:jc w:val="both"/>
        <w:ind w:left="1274" w:hanging="636"/>
        <w:spacing w:after="0" w:line="250" w:lineRule="auto"/>
        <w:tabs>
          <w:tab w:leader="none" w:pos="1263"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Trustee in respect of the Company’s gas supply requirements in connection with its then-Designated Offtake Agreements, within 45 days following the end of each calendar quarter for the first two years after commissioning of the Train Facility under and as defined in the P1 EPC Contracts and, thereafter, within 45 days following the end of each June 30 and December 31 of each calendar year, reports on the status of its gas supply arrangements (excluding any commercially sensitive trade information) for the Project during the three- or six-month period prior to the end of such quarter or semi-annual period, as applicable, including (a) a summary list of gas suppliers with which the Company entered into material gas supply contracts during the covered period and (b) a summary of material gas purchases made and Hedge Agreements entered into by the Company during the covered period, detailing aggregate outstanding contract volumes, remaining tenor (after commencement of services), price ranges of such gas purchases and hedges and aggregate gas purchase, price indexation used and hedge payables with respect to material gas supply contracts and hedges during such covered period.</w:t>
      </w:r>
    </w:p>
    <w:p>
      <w:pPr>
        <w:spacing w:after="0" w:line="186" w:lineRule="exact"/>
        <w:rPr>
          <w:rFonts w:ascii="Times New Roman" w:cs="Times New Roman" w:eastAsia="Times New Roman" w:hAnsi="Times New Roman"/>
          <w:sz w:val="20"/>
          <w:szCs w:val="20"/>
          <w:color w:val="auto"/>
        </w:rPr>
      </w:pPr>
    </w:p>
    <w:p>
      <w:pPr>
        <w:ind w:left="634" w:hanging="634"/>
        <w:spacing w:after="0" w:line="283" w:lineRule="auto"/>
        <w:tabs>
          <w:tab w:leader="none" w:pos="62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of the financial statements delivered to the Trustee pursuant to this Section 4.3, shall provide the Trustee with an Officer’s Certificate executed by a Senior Financial Officer of the Company certifying that:</w:t>
      </w:r>
    </w:p>
    <w:p>
      <w:pPr>
        <w:spacing w:after="0" w:line="132" w:lineRule="exact"/>
        <w:rPr>
          <w:rFonts w:ascii="Times New Roman" w:cs="Times New Roman" w:eastAsia="Times New Roman" w:hAnsi="Times New Roman"/>
          <w:sz w:val="20"/>
          <w:szCs w:val="20"/>
          <w:color w:val="auto"/>
        </w:rPr>
      </w:pPr>
    </w:p>
    <w:p>
      <w:pPr>
        <w:ind w:left="1274" w:hanging="636"/>
        <w:spacing w:after="0" w:line="310" w:lineRule="auto"/>
        <w:tabs>
          <w:tab w:leader="none" w:pos="1269"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financial statements fairly present in all material respects the financial condition and results of operations of the Company on the dates and for the periods indicated on a consolidated basis in accordance with GAAP, subject,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94"/>
          </w:cols>
          <w:pgMar w:left="966" w:top="1409" w:right="339" w:bottom="1440" w:gutter="0" w:footer="0" w:header="0"/>
        </w:sectPr>
      </w:pPr>
    </w:p>
    <w:bookmarkStart w:id="84" w:name="page85"/>
    <w:bookmarkEnd w:id="84"/>
    <w:p>
      <w:pPr>
        <w:ind w:left="1920"/>
        <w:spacing w:after="0"/>
        <w:rPr>
          <w:sz w:val="20"/>
          <w:szCs w:val="20"/>
          <w:color w:val="auto"/>
        </w:rPr>
      </w:pPr>
      <w:r>
        <w:rPr>
          <w:rFonts w:ascii="Times New Roman" w:cs="Times New Roman" w:eastAsia="Times New Roman" w:hAnsi="Times New Roman"/>
          <w:sz w:val="20"/>
          <w:szCs w:val="20"/>
          <w:color w:val="auto"/>
        </w:rPr>
        <w:t>the case of quarterly financial statements to the absence of notes and normal year-end audit adjustments; and</w:t>
      </w:r>
    </w:p>
    <w:p>
      <w:pPr>
        <w:spacing w:after="0" w:line="202" w:lineRule="exact"/>
        <w:rPr>
          <w:sz w:val="20"/>
          <w:szCs w:val="20"/>
          <w:color w:val="auto"/>
        </w:rPr>
      </w:pPr>
    </w:p>
    <w:p>
      <w:pPr>
        <w:jc w:val="both"/>
        <w:ind w:left="1920" w:hanging="636"/>
        <w:spacing w:after="0" w:line="258" w:lineRule="auto"/>
        <w:tabs>
          <w:tab w:leader="none" w:pos="191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or default or event of default under any Senior Secured Debt Instrument exists as of the date of such certificate or, if any Default or Event of Default, or default or event of default under any Senior Secured Debt Instrument, exists, describing the same in reasonable detail and describing what action the Company has taken and proposes to take with respect thereto.</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Compliance Certificate</w:t>
      </w:r>
    </w:p>
    <w:p>
      <w:pPr>
        <w:spacing w:after="0" w:line="216" w:lineRule="exact"/>
        <w:rPr>
          <w:sz w:val="20"/>
          <w:szCs w:val="20"/>
          <w:color w:val="auto"/>
        </w:rPr>
      </w:pPr>
    </w:p>
    <w:p>
      <w:pPr>
        <w:jc w:val="both"/>
        <w:ind w:left="1280" w:hanging="634"/>
        <w:spacing w:after="0" w:line="253" w:lineRule="auto"/>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the Trustee, within ninety days after the end of each Fiscal Year (with the first Officer’s Certificate to be delivered on or before March 31, 2025),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Company is taking or proposes to take with respect thereto).</w:t>
      </w:r>
    </w:p>
    <w:p>
      <w:pPr>
        <w:spacing w:after="0" w:line="16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the Company will deliver to the Trustee, forthwith upon any Authorized Officer becoming aware of any Default or Event of Default, an Officer’s Certificate specifying such Default or Event of Default and what action the Company is taking or proposes to take with respect thereto.</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Distributions</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The Company will not make or agree to make, directly or indirectly, any Distributions unless (a) such Distribution is in compliance with the Common Terms Agreement and the P1 Accounts Agreement, (b) no breach of the covenant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has occurred and is continuing, (c) in the case of any Extraordinary Distribution from the P1 Pre-Completion Revenue Account in accordance with Section 3.2(c) (</w:t>
      </w:r>
      <w:r>
        <w:rPr>
          <w:rFonts w:ascii="Times New Roman" w:cs="Times New Roman" w:eastAsia="Times New Roman" w:hAnsi="Times New Roman"/>
          <w:sz w:val="20"/>
          <w:szCs w:val="20"/>
          <w:i w:val="1"/>
          <w:iCs w:val="1"/>
          <w:color w:val="auto"/>
        </w:rPr>
        <w:t>P1 Pre-Completion Revenue Account</w:t>
      </w:r>
      <w:r>
        <w:rPr>
          <w:rFonts w:ascii="Times New Roman" w:cs="Times New Roman" w:eastAsia="Times New Roman" w:hAnsi="Times New Roman"/>
          <w:sz w:val="20"/>
          <w:szCs w:val="20"/>
          <w:color w:val="auto"/>
        </w:rPr>
        <w:t>) of the P1 Accounts Agreement, (i) no CTA Default or CTA Event of Default has occurred and is continuing, (ii) Substantial Completion (as defined in the T1/T2 EPC Contract) of the Train 1 Facility shall have occurred, as confirmed by the Independent Engineer, (iii) the Indenture Projected DSCR for the four Fiscal Quarter period commencing on the Initial Principal Payment Date shall not be less than 1.40:1.00, (iv) the Company shall have delivered to the Trustee a certificate confirming (A) that Substantial Completion (as defined in the T1/T2 EPC Contract) of the Train 2 Facility and Substantial Completion (as defined in the T3 EPC Contract) of the Train 3 Facility, and the occurrence of the Project Completion Date is reasonably expected to occur on or before the Date Certain and (B) as to the sufficiency of funds available to the Company to complete the Train 2 Facility, the Train 3 Facility and the P1 Common Facilities, (v) Designated Offtake Agreements with an aggregate amount of ACQ required to achieve an Indenture Projected DSCR of at least 1.40:1.00 based on the Base Case Forecast shall be in full force and effect, (vi) the “Date of First Commercial Delivery” with respect to the Train 1 Facility under, and as defined in, each of the Initial Offtake Agreements referred to in clauses (b), (c), (d), (f), and (h) of the definition thereof shall have occurred, and (vii) no Default or Event of Default under Section 6.1(e) shall have occurred and be continuing, and (d) in the case of any Distributions other than Extraordinary Distributions, (i) the Historical DSCR as of the Fiscal Quarter most recently ended or then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85" w:name="page86"/>
    <w:bookmarkEnd w:id="85"/>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is at least 1.25 to 1.00 and (ii) the Contracted Projected DSCR for the next four Fiscal Quarter period is at least 1.25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may, at its option, exclude any amounts comprising of scheduled bullet or balloon principal payments of Senior Secured Debt that was pre-funded with proceeds of Replacement Debt or other Indebtedness.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212"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The Company shall use the proceeds of the Notes solely for purposes permitted by Section 2.4(b) (</w:t>
      </w:r>
      <w:r>
        <w:rPr>
          <w:rFonts w:ascii="Times New Roman" w:cs="Times New Roman" w:eastAsia="Times New Roman" w:hAnsi="Times New Roman"/>
          <w:sz w:val="20"/>
          <w:szCs w:val="20"/>
          <w:i w:val="1"/>
          <w:iCs w:val="1"/>
          <w:color w:val="auto"/>
        </w:rPr>
        <w:t>Replacement Debt</w:t>
      </w:r>
      <w:r>
        <w:rPr>
          <w:rFonts w:ascii="Times New Roman" w:cs="Times New Roman" w:eastAsia="Times New Roman" w:hAnsi="Times New Roman"/>
          <w:sz w:val="20"/>
          <w:szCs w:val="20"/>
          <w:color w:val="auto"/>
        </w:rPr>
        <w:t>) of the Common Terms Agreement</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Incurrence of Indebtedness</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directly or indirectly, create, incur, assume, permit, suffer to exist or otherwise be or become liable with respect to, contingently or otherwise (collectively, “</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any Replacement Debt unless (i) the Company shall have demonstrated, by delivery of an updated Base Case Forecast that (after taking into account the incurrence of such Replacement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Indenture Projected CFADS used to calculate the Indenture Projected DSCR shall assume, if such Replacement Debt is incurred prior to the Project Completion Date, that all Senior Secured Debt Commitments will be fully drawn, (ii) the weighted average life to maturity of the Replacement Debt shall be longer than the weighted average life to maturity of the Senior Secured Debt being replaced, and (iii) the final maturity date of the Replacement Debt shall occur after the maturity date of the Senior Secured Debt being replaced.</w:t>
      </w:r>
    </w:p>
    <w:p>
      <w:pPr>
        <w:spacing w:after="0" w:line="169" w:lineRule="exact"/>
        <w:rPr>
          <w:rFonts w:ascii="Times New Roman" w:cs="Times New Roman" w:eastAsia="Times New Roman" w:hAnsi="Times New Roman"/>
          <w:sz w:val="20"/>
          <w:szCs w:val="20"/>
          <w:color w:val="auto"/>
        </w:rPr>
      </w:pPr>
    </w:p>
    <w:p>
      <w:pPr>
        <w:jc w:val="both"/>
        <w:ind w:left="1280" w:hanging="634"/>
        <w:spacing w:after="0" w:line="250" w:lineRule="auto"/>
        <w:tabs>
          <w:tab w:leader="none" w:pos="127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not incur any Supplemental Debt (other than Funding Shortfall Debt which shall be governed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4.7(d)</w:t>
      </w:r>
      <w:r>
        <w:rPr>
          <w:rFonts w:ascii="Times New Roman" w:cs="Times New Roman" w:eastAsia="Times New Roman" w:hAnsi="Times New Roman"/>
          <w:sz w:val="20"/>
          <w:szCs w:val="20"/>
          <w:color w:val="auto"/>
        </w:rPr>
        <w:t xml:space="preserve"> below) in an amount greater than $250,000,000 unless (i) the Company shall have demonstrated by delivery of an updated Base Case Forecast that (after taking into account the incurrence of such Supplemental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the Indenture Projected CFADS used to calculate the Indenture Projected DSCR shall assume that all commitments for Supplemental Debt will be fully drawn as of the date on which such Supplemental Debt is incurred and (ii) two Specified Rating Agencies that are then rating the Notes (or, if only one Specified Rating Agency is then rating the Notes, such agency) reaffirm that the rating of the Notes will not, as a result of the incurrence of such Supplemental Debt, be lower than the lower of (A) the rating as of the date of this indenture and (B) the rating of the Notes immediately prior to the incurrence of such Supplemental Debt.</w:t>
      </w:r>
    </w:p>
    <w:p>
      <w:pPr>
        <w:spacing w:after="0" w:line="186"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Relevering Debt unless (i) prior to the Project Completion Date, (A) such Relevering Debt is Reinstatement Debt or (B) (1) the incurrence of such Relevering Debt would not cause the Debt to Equity Ratio to exceed 75:25 and (2) upon the incurrence of such Relevering Debt (other than Reinstatement Debt), the Notes shall be rated by at least one Specified Rating Agency and at least one such rating is equal to or better than “Baa3” by Moody’s, “BBB-” by S&amp;P, “BBB-” by Fitch, and (ii) following the Project Completion Date, (A) the Company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13" w:right="339" w:bottom="1440" w:gutter="0" w:footer="0" w:header="0"/>
        </w:sectPr>
      </w:pPr>
    </w:p>
    <w:bookmarkStart w:id="86" w:name="page87"/>
    <w:bookmarkEnd w:id="86"/>
    <w:p>
      <w:pPr>
        <w:jc w:val="both"/>
        <w:ind w:left="1280"/>
        <w:spacing w:after="0" w:line="270" w:lineRule="auto"/>
        <w:rPr>
          <w:sz w:val="20"/>
          <w:szCs w:val="20"/>
          <w:color w:val="auto"/>
        </w:rPr>
      </w:pPr>
      <w:r>
        <w:rPr>
          <w:rFonts w:ascii="Times New Roman" w:cs="Times New Roman" w:eastAsia="Times New Roman" w:hAnsi="Times New Roman"/>
          <w:sz w:val="19"/>
          <w:szCs w:val="19"/>
          <w:color w:val="auto"/>
        </w:rPr>
        <w:t>demonstrated by delivery of an updated Base Case Forecast that (after taking into account the incurrence of such Relevering Debt) the Indenture Projected DSCR commencing on the Initial Principal Payment Date and for each rolling four Fiscal Quarter period (as of the end of each Fiscal Quarter) through the Maturity Date shall not be less than 1.40:1.00 and (B) upon the incurrence of such Relevering Debt (other than Reinstatement Debt), the Notes shall be rated by at least one Specified Rating Agency and at least one such rating is equal to or better than “Baa3” by Moody’s, “BBB-” by S&amp;P, “BBB-” by Fitch.</w:t>
      </w:r>
    </w:p>
    <w:p>
      <w:pPr>
        <w:spacing w:after="0" w:line="162" w:lineRule="exact"/>
        <w:rPr>
          <w:sz w:val="20"/>
          <w:szCs w:val="20"/>
          <w:color w:val="auto"/>
        </w:rPr>
      </w:pPr>
    </w:p>
    <w:p>
      <w:pPr>
        <w:jc w:val="both"/>
        <w:ind w:left="1280" w:hanging="634"/>
        <w:spacing w:after="0" w:line="263" w:lineRule="auto"/>
        <w:tabs>
          <w:tab w:leader="none" w:pos="127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not incur any Funding Shortfall Debt unless (i) the Company shall have demonstrated by delivery of an updated Base Case Forecast that (after taking into account the incurrence of such Funding Shortfall Debt) the Indenture Projected DSCR commencing on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this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jc w:val="both"/>
        <w:ind w:left="12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the Indenture Projected CFADS used to calculate the Indenture Projected DSCR shall assume, if such Funding Shortfall Debt is incurred prior to the Project Completion Date, that all commitments for Funding Shortfall Debt will be fully drawn as of the date on which such Funding Shortfall Debt is incurred and (ii) a Rating Reaffirmation shall have occurred.</w:t>
      </w:r>
    </w:p>
    <w:p>
      <w:pPr>
        <w:spacing w:after="0" w:line="161" w:lineRule="exact"/>
        <w:rPr>
          <w:rFonts w:ascii="Times New Roman" w:cs="Times New Roman" w:eastAsia="Times New Roman" w:hAnsi="Times New Roman"/>
          <w:sz w:val="19"/>
          <w:szCs w:val="19"/>
          <w:color w:val="auto"/>
        </w:rPr>
      </w:pPr>
    </w:p>
    <w:p>
      <w:pPr>
        <w:ind w:left="1280" w:hanging="634"/>
        <w:spacing w:after="0"/>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Working Capital Debt unless each of the following conditions is satisfied:</w:t>
      </w:r>
    </w:p>
    <w:p>
      <w:pPr>
        <w:spacing w:after="0" w:line="215" w:lineRule="exact"/>
        <w:rPr>
          <w:rFonts w:ascii="Times New Roman" w:cs="Times New Roman" w:eastAsia="Times New Roman" w:hAnsi="Times New Roman"/>
          <w:sz w:val="20"/>
          <w:szCs w:val="20"/>
          <w:color w:val="auto"/>
        </w:rPr>
      </w:pPr>
    </w:p>
    <w:p>
      <w:pPr>
        <w:ind w:left="1920" w:hanging="636"/>
        <w:spacing w:after="0" w:line="269" w:lineRule="auto"/>
        <w:tabs>
          <w:tab w:leader="none" w:pos="1915"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Working Capital Debt (including the then-outstanding funded and unfunded commitments in respect of the CD Revolving Loans) may not at any time exceed $3,000,000,000; and</w:t>
      </w:r>
    </w:p>
    <w:p>
      <w:pPr>
        <w:spacing w:after="0" w:line="15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 set forth in Section 2.3(c)(ii) of the Common Terms Agreement has been satisfied.</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Maintenance of Designated Offtake Agreements</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at all times maintain Designated Offtake Agreements providing for commitments to purchase LNG in quantities at least equal to the Base Committed Quantity for each such Qualified Offtake Agreement’s applicable Qualified Term. If any Qualified Offtake Agreement has terminated, the Company shall either (i) designate another Qualified Offtake Agreement or enter into one or more additional Qualified Offtake Agreements within 180 days following such termination to the extent necessary to meet the Base Committed Quantity (provided that if at the end of such 180-day period, the Company is diligently pursuing one or more replacement Qualified Offtake Agreements, such period will be extended for an additional period (not to exceed ninety days) during which the Company reasonably expects to enter into such replacement Qualified Offtake Agreement(s) as long as the implementation of such extension could not reasonably be expected to result in a Material Adverse Effect) or (ii) make a prepayment, offer to make a prepayment (including any offer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or cancel commitments in respect of Senior Secured Debt. The principal amount of the Senior Secured Debt (which shall not extend to any Working Capital Debt unless only Working Capital Debt is then outstanding) that the Company shall repay or offer to prepay and/or the amount of undrawn Senior Secured Debt commitments that the Company shall cancel in accordance with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(x) the aggregate principal amount of Senior Secured Debt (excluding principal amounts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3" w:right="339" w:bottom="1440" w:gutter="0" w:footer="0" w:header="0"/>
        </w:sectPr>
      </w:pPr>
    </w:p>
    <w:bookmarkStart w:id="87" w:name="page88"/>
    <w:bookmarkEnd w:id="87"/>
    <w:p>
      <w:pPr>
        <w:jc w:val="both"/>
        <w:ind w:left="634"/>
        <w:spacing w:after="0" w:line="252" w:lineRule="auto"/>
        <w:rPr>
          <w:sz w:val="20"/>
          <w:szCs w:val="20"/>
          <w:color w:val="auto"/>
        </w:rPr>
      </w:pPr>
      <w:r>
        <w:rPr>
          <w:rFonts w:ascii="Times New Roman" w:cs="Times New Roman" w:eastAsia="Times New Roman" w:hAnsi="Times New Roman"/>
          <w:sz w:val="20"/>
          <w:szCs w:val="20"/>
          <w:color w:val="auto"/>
        </w:rPr>
        <w:t xml:space="preserve">respect to Working Capital Debt unless only Working Capital Debt is then outstanding) then outstanding plus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Indenture Projected DSCR of less than 1.20:1.00 for the period starting from the first Quarterly Payment Date for the repayment of principal after the end of the applicable cure period to the end of the calendar year in which such Quarterly Payment Date occurs, and for each calendar year thereafter through the Maturity Date (based on a Base Case Forecast updated only to take into account each Qualified Offtake Agreement in effect at such time (including any new Qualified Offtake Agreements entered into to replace an Offtake Agreement whose termination triggered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34" w:hanging="634"/>
        <w:spacing w:after="0" w:line="283" w:lineRule="auto"/>
        <w:tabs>
          <w:tab w:leader="none" w:pos="63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occurrence of any Impairment of any Required Export Authorization in respect of any Designated Offtake Agreement unless the Company:</w:t>
      </w:r>
    </w:p>
    <w:p>
      <w:pPr>
        <w:spacing w:after="0" w:line="132" w:lineRule="exact"/>
        <w:rPr>
          <w:rFonts w:ascii="Times New Roman" w:cs="Times New Roman" w:eastAsia="Times New Roman" w:hAnsi="Times New Roman"/>
          <w:sz w:val="20"/>
          <w:szCs w:val="20"/>
          <w:color w:val="auto"/>
        </w:rPr>
      </w:pPr>
    </w:p>
    <w:p>
      <w:pPr>
        <w:jc w:val="both"/>
        <w:ind w:left="1274" w:hanging="636"/>
        <w:spacing w:after="0" w:line="253" w:lineRule="auto"/>
        <w:tabs>
          <w:tab w:leader="none" w:pos="12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a reasonable remediation plan (setting forth in reasonable detail proposed steps to reinstate the Required Export Authorization, to designate any existing Qualified Offtake Agreement as a Designated Offtake Agreement, or to modify any Designated Offtake Agreement arrangements, such as through diversions or alternative delivery or sale arrangements, such that such DOE Export Authorization is no longer a Required Export Authorization within 360 days following such occurrence) with respect to any or all such Designated Offtake Agreements (each such item an “</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within thirty days following such occurrence;</w:t>
      </w:r>
    </w:p>
    <w:p>
      <w:pPr>
        <w:spacing w:after="0" w:line="165" w:lineRule="exact"/>
        <w:rPr>
          <w:rFonts w:ascii="Times New Roman" w:cs="Times New Roman" w:eastAsia="Times New Roman" w:hAnsi="Times New Roman"/>
          <w:sz w:val="20"/>
          <w:szCs w:val="20"/>
          <w:color w:val="auto"/>
        </w:rPr>
      </w:pPr>
    </w:p>
    <w:p>
      <w:pPr>
        <w:ind w:left="1274" w:hanging="636"/>
        <w:spacing w:after="0"/>
        <w:tabs>
          <w:tab w:leader="none" w:pos="127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diligently pursues such Export Authorization Remediation; and</w:t>
      </w:r>
    </w:p>
    <w:p>
      <w:pPr>
        <w:spacing w:after="0" w:line="202" w:lineRule="exact"/>
        <w:rPr>
          <w:rFonts w:ascii="Times New Roman" w:cs="Times New Roman" w:eastAsia="Times New Roman" w:hAnsi="Times New Roman"/>
          <w:sz w:val="20"/>
          <w:szCs w:val="20"/>
          <w:color w:val="auto"/>
        </w:rPr>
      </w:pPr>
    </w:p>
    <w:p>
      <w:pPr>
        <w:jc w:val="both"/>
        <w:ind w:left="1274" w:hanging="636"/>
        <w:spacing w:after="0" w:line="249" w:lineRule="auto"/>
        <w:tabs>
          <w:tab w:leader="none" w:pos="127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causes such Export Authorization Remediation to take effect within 180 days following the occurrence of the Impairment;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shall have a further 180 days to effect an Export Authorization Remediation if the following conditions are met: (A) the Company is diligently pursuing its plan for the Export Authorization Remediation; (B) the Impairment of the Required Export Authorization of such Designated Offtake Agreement could not reasonably be expected to result in a Material Adverse Effect during such subsequent cure period; and (C) the Trustee has received a certification from the Company, prior to the expiration of the initial 180 day period, confirming that the conditions in subparts (A) and (B) of this proviso have been met, together with documentation reasonably supporting its certification, which may include, to the extent relevant and applicable, a description of the plans being undertaken for the Export Authorization Remediation (although commercially sensitive information may be omitted), any measures being taken by the Company to address the underlying cause of the Impairment to the extent relevant to the Impairment and Export Authorization Remediation, any legal measures being undertaken to reverse the Impairment, any interim cash flow mitigation measures being taken by the Company (including sales of spot cargoes), any modification to Offtake Agreement arrangements such that the Impaired DOE Export Authorization is no longer a Required Export Authorization with respect to any or all such Designated Offtake Agreements, and the impact on the Company projected Cash Flow during the subsequent cure period, and the Trustee (acting at the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94"/>
          </w:cols>
          <w:pgMar w:left="966" w:top="1413" w:right="339" w:bottom="1440" w:gutter="0" w:footer="0" w:header="0"/>
        </w:sectPr>
      </w:pPr>
    </w:p>
    <w:bookmarkStart w:id="88" w:name="page89"/>
    <w:bookmarkEnd w:id="88"/>
    <w:p>
      <w:pPr>
        <w:jc w:val="both"/>
        <w:ind w:left="1920"/>
        <w:spacing w:after="0" w:line="261" w:lineRule="auto"/>
        <w:rPr>
          <w:sz w:val="20"/>
          <w:szCs w:val="20"/>
          <w:color w:val="auto"/>
        </w:rPr>
      </w:pPr>
      <w:r>
        <w:rPr>
          <w:rFonts w:ascii="Times New Roman" w:cs="Times New Roman" w:eastAsia="Times New Roman" w:hAnsi="Times New Roman"/>
          <w:sz w:val="20"/>
          <w:szCs w:val="20"/>
          <w:color w:val="auto"/>
        </w:rPr>
        <w:t>of the Noteholders of a majority in aggregate principal amount of the Notes then outstanding, which instructions shall be given by the Noteholders acting reasonably) has not objected to such certification within thirty days following delivery thereof.</w:t>
      </w:r>
    </w:p>
    <w:p>
      <w:pPr>
        <w:spacing w:after="0" w:line="154" w:lineRule="exact"/>
        <w:rPr>
          <w:sz w:val="20"/>
          <w:szCs w:val="20"/>
          <w:color w:val="auto"/>
        </w:rPr>
      </w:pPr>
    </w:p>
    <w:p>
      <w:pPr>
        <w:jc w:val="both"/>
        <w:ind w:left="1280" w:hanging="634"/>
        <w:spacing w:after="0" w:line="251" w:lineRule="auto"/>
        <w:tabs>
          <w:tab w:leader="none" w:pos="1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consent to any sale, transfer, assignment or disposition by any counterparty to a Designated Offtake Agreement of its interest in or rights or obligations under such Designated Offtake Agreement (if the Company has such consent rights under the applicable Designated Offtake Agreement) except for (i) as could not reasonably be expected to have a Material Adverse Effect, (ii) any assignments and transfers permitted or contemplated in the P1 Collateral Documents, (iii) assignments by a counterparty to its Affiliate as contemplated in, and in accordance with the terms of, the applicable Designated Offtake Agreement, and (iv) any assignments to any other Person so long as, (A) after giving effect to such assignment, the Company shall have received written confirmation from any Specified Rating Agency to the effect that the Specified Rating Agency has considered the contemplated transaction and that, if such event occurs, such Specified Rating Agency would reaffirm the then current rating of the Notes (or assign a higher rating) as of the date of such event or (B) the assignee of such Designated Offtake Agreement has at least one rating from any Recognized Credit Rating Agency that is the same or better than any rating of the original counterparty to such Designated Offtake Agreement by any Recognized Credit Rating Agency.</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u w:val="single" w:color="auto"/>
          <w:color w:val="auto"/>
        </w:rPr>
        <w:t>Maintenance of Liens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Without limiting the right of the Company to consummate Asset Sales in accordance with the Common Terms Agreement, the Company will preserve and maintain good, legal and valid title to, or rights in, the Collateral free and clear of Liens (other than Permitted Liens).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u w:val="single" w:color="auto"/>
          <w:color w:val="auto"/>
        </w:rPr>
        <w:t>Maintenance of Ratings</w:t>
      </w:r>
    </w:p>
    <w:p>
      <w:pPr>
        <w:spacing w:after="0" w:line="202"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Company shall use its commercially reasonable efforts to cause the Notes to be rated by at least one of Moody’s, S&amp;P, Fitch or DBRS. At any time that any such rating referred to in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is not a public rating, the Company will deliver to the Noteholders (or any successor in interest thereto) (x) at least annually (on or before each anniversary of the date of initial issuance of the Notes) and (y) promptly upon any change in such rating, an updated Private Rating Letter evidencing such rating and an updated Private Rating Rationale Report with respect to such rating. In addition to the foregoing information and any information specifically required to be included in any Private Rating Letter or Private Rating Rationale Report (as set forth in the respective definitions thereof), if the Securities Valuation Office (the “SVO”) of the National Association of Insurance Commissioners from time to time requires any additional information with respect to the rating of the Notes, the Company shall use commercially reasonable efforts to procure such information from Moody’s, S&amp;P, Fitch or DBRS, as applicable. The Company shall use commercially reasonable efforts to cause any Private Rating Rationale Report to not be subject to confidentiality provisions that would prevent the report from being shared with the SVO.</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Payments for Consent</w:t>
      </w:r>
    </w:p>
    <w:p>
      <w:pPr>
        <w:spacing w:after="0" w:line="216"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The Company will not pay or cause to be paid, directly or indirectly, any consideration to or for the benefit of any Noteholder, in its capacity as a Noteholder, for or as an inducement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13" w:right="339" w:bottom="1440" w:gutter="0" w:footer="0" w:header="0"/>
        </w:sectPr>
      </w:pPr>
    </w:p>
    <w:bookmarkStart w:id="89" w:name="page90"/>
    <w:bookmarkEnd w:id="89"/>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consent, waiver or amendment of any of the terms or provisions of this Indenture or the Notes unless such consideration is offered to be paid and is paid on the same terms, ratably to all Noteholders that consent, waive or agree to amend in the time frame set forth in the solicitation documents relating to such consent, waiver or agreement. The Company will provide each Noteholder with reasonably detailed information, reasonably far in advance of the date a decision is required, to enable such holder to make an informed and considered decision with respect to any proposed amendment, waiver or consent to the Indenture or the Notes for which the consent of Noteholders is required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hereof.</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Offer to Repurchase Upon Change of Control Triggering Event</w:t>
      </w:r>
    </w:p>
    <w:p>
      <w:pPr>
        <w:spacing w:after="0" w:line="198" w:lineRule="exact"/>
        <w:rPr>
          <w:sz w:val="20"/>
          <w:szCs w:val="20"/>
          <w:color w:val="auto"/>
        </w:rPr>
      </w:pPr>
    </w:p>
    <w:p>
      <w:pPr>
        <w:jc w:val="both"/>
        <w:ind w:left="1280" w:hanging="634"/>
        <w:spacing w:after="0" w:line="254" w:lineRule="auto"/>
        <w:tabs>
          <w:tab w:leader="none" w:pos="1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to each Noteholder to repurchase all or any part (equal to $100,000 or an integral multiple of $1,000 in excess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 repurchased to, but not including, the date of repurchase, subject to the rights of Noteholders on the relevant record date to receive interest due on the relevant Interest Payment Date (the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No later than thirty days following any Change of Control Triggering Event, the Company will mail or deliver electronically, a notice to each Noteholder describing the transaction or transactions that constitute the Change of Control Triggering Event and stating:</w:t>
      </w:r>
    </w:p>
    <w:p>
      <w:pPr>
        <w:spacing w:after="0" w:line="162" w:lineRule="exact"/>
        <w:rPr>
          <w:rFonts w:ascii="Times New Roman" w:cs="Times New Roman" w:eastAsia="Times New Roman" w:hAnsi="Times New Roman"/>
          <w:sz w:val="20"/>
          <w:szCs w:val="20"/>
          <w:color w:val="auto"/>
        </w:rPr>
      </w:pPr>
    </w:p>
    <w:p>
      <w:pPr>
        <w:ind w:left="1920" w:hanging="636"/>
        <w:spacing w:after="0" w:line="269" w:lineRule="auto"/>
        <w:tabs>
          <w:tab w:leader="none" w:pos="191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Change of Control Offer is being made pursuant to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that all Notes tendered will be accepted for payment;</w:t>
      </w:r>
    </w:p>
    <w:p>
      <w:pPr>
        <w:spacing w:after="0" w:line="159"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1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shall be no earlier than thirty days and no later than sixty days from the date such notice is mailed or delivered electronically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accrete or accrue interest;</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the payment of the Change of Control Payment, all Notes accepted for payment pursuant to the Change of Control Offer will cease to accrete or accrue interest after the Change of Control Payment Date;</w:t>
      </w:r>
    </w:p>
    <w:p>
      <w:pPr>
        <w:spacing w:after="0" w:line="154"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1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any Notes purchased pursuant to a Change of Control Offer will be required to surrender the Notes,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Paying Agent at the address specified in the notice prior to the close of business on the third Business Day preceding the Change of Control Payment Date;</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Paying Agent receives, not later than the close of business on the second Business Day preceding the Change of Control Payment Date, electronically or by mail a notice setting forth the name of the Noteholder, the principal amount of Notes delivered for purchase, and a statement that such Noteholder is withdrawing his election to have the Notes purchased;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90" w:name="page91"/>
    <w:bookmarkEnd w:id="90"/>
    <w:p>
      <w:pPr>
        <w:jc w:val="both"/>
        <w:ind w:left="1274" w:right="20" w:hanging="636"/>
        <w:spacing w:after="0" w:line="258" w:lineRule="auto"/>
        <w:tabs>
          <w:tab w:leader="none" w:pos="126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are being purchased only in part will be issued new Notes equal in principal amount to the unpurchased portion of the Notes surrendered (with a Payment Schedule adjusted as set forth in Annex A), which unpurchased portion must be equal to $100,000 in principal amount or an integral multiple of $1,000 in excess thereof.</w:t>
      </w:r>
    </w:p>
    <w:p>
      <w:pPr>
        <w:spacing w:after="0" w:line="159" w:lineRule="exact"/>
        <w:rPr>
          <w:sz w:val="20"/>
          <w:szCs w:val="20"/>
          <w:color w:val="auto"/>
        </w:rPr>
      </w:pPr>
    </w:p>
    <w:p>
      <w:pPr>
        <w:jc w:val="both"/>
        <w:ind w:left="634"/>
        <w:spacing w:after="0" w:line="253" w:lineRule="auto"/>
        <w:rPr>
          <w:sz w:val="20"/>
          <w:szCs w:val="20"/>
          <w:color w:val="auto"/>
        </w:rPr>
      </w:pPr>
      <w:r>
        <w:rPr>
          <w:rFonts w:ascii="Times New Roman" w:cs="Times New Roman" w:eastAsia="Times New Roman" w:hAnsi="Times New Roman"/>
          <w:sz w:val="20"/>
          <w:szCs w:val="20"/>
          <w:color w:val="auto"/>
        </w:rPr>
        <w:t xml:space="preserve">The Company shall comply with the requirements of Rule 14e-1 under the Exchange Act and any other securities laws and regulations thereunder to the extent such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or compliance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would constitute a violation of any such laws or regulations, the Company shall comply with the applicable securities laws and regulations and will not be deemed to have breached its obligations under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by virtue of such compliance.</w:t>
      </w:r>
    </w:p>
    <w:p>
      <w:pPr>
        <w:spacing w:after="0" w:line="165" w:lineRule="exact"/>
        <w:rPr>
          <w:sz w:val="20"/>
          <w:szCs w:val="20"/>
          <w:color w:val="auto"/>
        </w:rPr>
      </w:pPr>
    </w:p>
    <w:p>
      <w:pPr>
        <w:ind w:left="634" w:hanging="634"/>
        <w:spacing w:after="0"/>
        <w:tabs>
          <w:tab w:leader="none" w:pos="6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Company will, to the extent lawful:</w:t>
      </w:r>
    </w:p>
    <w:p>
      <w:pPr>
        <w:spacing w:after="0" w:line="215" w:lineRule="exact"/>
        <w:rPr>
          <w:rFonts w:ascii="Times New Roman" w:cs="Times New Roman" w:eastAsia="Times New Roman" w:hAnsi="Times New Roman"/>
          <w:sz w:val="20"/>
          <w:szCs w:val="20"/>
          <w:color w:val="auto"/>
        </w:rPr>
      </w:pPr>
    </w:p>
    <w:p>
      <w:pPr>
        <w:ind w:left="1274" w:hanging="636"/>
        <w:spacing w:after="0"/>
        <w:tabs>
          <w:tab w:leader="none" w:pos="127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of Notes properly tendered pursuant to the Change of Control Offer;</w:t>
      </w:r>
    </w:p>
    <w:p>
      <w:pPr>
        <w:spacing w:after="0" w:line="202" w:lineRule="exact"/>
        <w:rPr>
          <w:rFonts w:ascii="Times New Roman" w:cs="Times New Roman" w:eastAsia="Times New Roman" w:hAnsi="Times New Roman"/>
          <w:sz w:val="20"/>
          <w:szCs w:val="20"/>
          <w:color w:val="auto"/>
        </w:rPr>
      </w:pPr>
    </w:p>
    <w:p>
      <w:pPr>
        <w:ind w:left="1274" w:hanging="636"/>
        <w:spacing w:after="0" w:line="269" w:lineRule="auto"/>
        <w:tabs>
          <w:tab w:leader="none" w:pos="127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properly tendered; and</w:t>
      </w:r>
    </w:p>
    <w:p>
      <w:pPr>
        <w:spacing w:after="0" w:line="159" w:lineRule="exact"/>
        <w:rPr>
          <w:rFonts w:ascii="Times New Roman" w:cs="Times New Roman" w:eastAsia="Times New Roman" w:hAnsi="Times New Roman"/>
          <w:sz w:val="20"/>
          <w:szCs w:val="20"/>
          <w:color w:val="auto"/>
        </w:rPr>
      </w:pPr>
    </w:p>
    <w:p>
      <w:pPr>
        <w:ind w:left="1274" w:hanging="636"/>
        <w:spacing w:after="0" w:line="269" w:lineRule="auto"/>
        <w:tabs>
          <w:tab w:leader="none" w:pos="127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properly accepted together with an Officer’s Certificate stating the aggregate principal amount of Notes or portions of Notes being purchased by the Company.</w:t>
      </w:r>
    </w:p>
    <w:p>
      <w:pPr>
        <w:spacing w:after="0" w:line="146" w:lineRule="exact"/>
        <w:rPr>
          <w:sz w:val="20"/>
          <w:szCs w:val="20"/>
          <w:color w:val="auto"/>
        </w:rPr>
      </w:pPr>
    </w:p>
    <w:p>
      <w:pPr>
        <w:jc w:val="both"/>
        <w:ind w:left="634"/>
        <w:spacing w:after="0" w:line="257" w:lineRule="auto"/>
        <w:rPr>
          <w:sz w:val="20"/>
          <w:szCs w:val="20"/>
          <w:color w:val="auto"/>
        </w:rPr>
      </w:pPr>
      <w:r>
        <w:rPr>
          <w:rFonts w:ascii="Times New Roman" w:cs="Times New Roman" w:eastAsia="Times New Roman" w:hAnsi="Times New Roman"/>
          <w:sz w:val="20"/>
          <w:szCs w:val="20"/>
          <w:color w:val="auto"/>
        </w:rPr>
        <w:t xml:space="preserve">The Paying Agent will promptly mail or electronically transmit (but in any case not later than five days after the Change of Control Payment Date) to each Noteholder properly tendered the Change of Control Payment for such Notes, and the Trustee will promptly authenticate and mail (or cause to be transferred by book entry) to each Noteholder a new Note equal in principal amount to any unpurchased portion of the Notes surrendered,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new Note will be in a principal amount of $100,000 or an integral multiple of $1,000 in excess thereof.</w:t>
      </w:r>
    </w:p>
    <w:p>
      <w:pPr>
        <w:spacing w:after="0" w:line="159" w:lineRule="exact"/>
        <w:rPr>
          <w:sz w:val="20"/>
          <w:szCs w:val="20"/>
          <w:color w:val="auto"/>
        </w:rPr>
      </w:pPr>
    </w:p>
    <w:p>
      <w:pPr>
        <w:jc w:val="both"/>
        <w:ind w:left="634" w:hanging="634"/>
        <w:spacing w:after="0" w:line="251" w:lineRule="auto"/>
        <w:tabs>
          <w:tab w:leader="none" w:pos="6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Noteholders of not less than 90% in aggregate principal amount of the outstanding Notes validly tender and do not withdraw such Notes in a Change of Control Offer and the Company, or any third party making a Change of Control Offer in lieu of the Company as described below, purchases all of the Notes validly tendered and not withdrawn by such Noteholders, the Company will have the right, upon not less than thirty nor more than sixty days’ prior notice, given not more than thirty days following such purchase pursuant to the Change of Control Offer described above, to redeem all Notes that remain outstanding following such purchase at a redemption price in cash equal to the applicable Change of Control 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not included in the Change of Control Payment, accrued and unpaid interest, if any, thereon, to, but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the date of redemption.</w:t>
      </w:r>
    </w:p>
    <w:p>
      <w:pPr>
        <w:spacing w:after="0" w:line="168" w:lineRule="exact"/>
        <w:rPr>
          <w:rFonts w:ascii="Times New Roman" w:cs="Times New Roman" w:eastAsia="Times New Roman" w:hAnsi="Times New Roman"/>
          <w:sz w:val="20"/>
          <w:szCs w:val="20"/>
          <w:color w:val="auto"/>
        </w:rPr>
      </w:pPr>
    </w:p>
    <w:p>
      <w:pPr>
        <w:ind w:left="634" w:right="20" w:hanging="634"/>
        <w:spacing w:after="0" w:line="283" w:lineRule="auto"/>
        <w:tabs>
          <w:tab w:leader="none" w:pos="63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Company will not be required to make a Change of Control Offer upon a Change of Control Triggering Event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94"/>
          </w:cols>
          <w:pgMar w:left="966" w:top="1413" w:right="339" w:bottom="1440" w:gutter="0" w:footer="0" w:header="0"/>
        </w:sectPr>
      </w:pPr>
    </w:p>
    <w:bookmarkStart w:id="91" w:name="page92"/>
    <w:bookmarkEnd w:id="91"/>
    <w:p>
      <w:pPr>
        <w:jc w:val="both"/>
        <w:ind w:left="1920" w:right="20" w:hanging="636"/>
        <w:spacing w:after="0" w:line="261" w:lineRule="auto"/>
        <w:tabs>
          <w:tab w:leader="none" w:pos="191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third party makes the Change of Control Offer in the manner, at the times and otherwise in compliance with the requirements set forth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purchases all Notes properly tendered and not withdrawn under the Change of Control Offer; or</w:t>
      </w:r>
    </w:p>
    <w:p>
      <w:pPr>
        <w:spacing w:after="0" w:line="154"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 of redemption has been given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with respect to a redemption of Notes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unless and until there is a default in payment of the applicable redemption price.</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Events of Loss</w:t>
      </w:r>
    </w:p>
    <w:p>
      <w:pPr>
        <w:spacing w:after="0" w:line="216" w:lineRule="exact"/>
        <w:rPr>
          <w:sz w:val="20"/>
          <w:szCs w:val="20"/>
          <w:color w:val="auto"/>
        </w:rPr>
      </w:pPr>
    </w:p>
    <w:p>
      <w:pPr>
        <w:jc w:val="both"/>
        <w:ind w:left="1280" w:hanging="634"/>
        <w:spacing w:after="0" w:line="249" w:lineRule="auto"/>
        <w:tabs>
          <w:tab w:leader="none" w:pos="12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Loss Proceeds, in respect of any Event of Loss and does not apply such Loss Proceeds in accordance with Section 9.2(b) (</w:t>
      </w:r>
      <w:r>
        <w:rPr>
          <w:rFonts w:ascii="Times New Roman" w:cs="Times New Roman" w:eastAsia="Times New Roman" w:hAnsi="Times New Roman"/>
          <w:sz w:val="20"/>
          <w:szCs w:val="20"/>
          <w:i w:val="1"/>
          <w:iCs w:val="1"/>
          <w:color w:val="auto"/>
        </w:rPr>
        <w:t>Loss Proceeds</w:t>
      </w:r>
      <w:r>
        <w:rPr>
          <w:rFonts w:ascii="Times New Roman" w:cs="Times New Roman" w:eastAsia="Times New Roman" w:hAnsi="Times New Roman"/>
          <w:sz w:val="20"/>
          <w:szCs w:val="20"/>
          <w:color w:val="auto"/>
        </w:rPr>
        <w:t xml:space="preserve">) of the Collateral and Intercreditor Agreement, then, such Loss Proceeds that are not applied in such manner will constitute “Excess Loss Proceeds”. If on any day the aggregate amount of Excess Loss Proceeds is in excess of $300,000,000, then within ninety days after completing the relevant Restoration or the Company’s election not to Restore pursuant to the CFAA, the Company will make a Loss Proceeds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Loss Proceeds Offer will be equal to 100% of the principal amount of each Note so 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Loss Proceeds remain unapplied after consummation of a Loss Proceeds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Action</w:t>
      </w:r>
      <w:r>
        <w:rPr>
          <w:rFonts w:ascii="Times New Roman" w:cs="Times New Roman" w:eastAsia="Times New Roman" w:hAnsi="Times New Roman"/>
          <w:sz w:val="20"/>
          <w:szCs w:val="20"/>
          <w:color w:val="auto"/>
        </w:rPr>
        <w:t>) of the Collateral and Intercreditor Agreement. Upon completion of each Loss Proceeds Offer, the amount of Excess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Proceeds will be reset at zero.</w:t>
      </w:r>
    </w:p>
    <w:p>
      <w:pPr>
        <w:spacing w:after="0" w:line="183"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 Loss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by virtue of such conflict.</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Asset Sales</w:t>
      </w:r>
    </w:p>
    <w:p>
      <w:pPr>
        <w:spacing w:after="0" w:line="216" w:lineRule="exact"/>
        <w:rPr>
          <w:sz w:val="20"/>
          <w:szCs w:val="20"/>
          <w:color w:val="auto"/>
        </w:rPr>
      </w:pPr>
    </w:p>
    <w:p>
      <w:pPr>
        <w:jc w:val="both"/>
        <w:ind w:left="1280" w:hanging="634"/>
        <w:spacing w:after="0" w:line="250" w:lineRule="auto"/>
        <w:tabs>
          <w:tab w:leader="none" w:pos="12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Asset Sale Proceeds and does not use such Asset Sale Proceeds to purchase replacement property or prepay any other Senior Secured Debt in accordance with Section 9.3(b) (</w:t>
      </w:r>
      <w:r>
        <w:rPr>
          <w:rFonts w:ascii="Times New Roman" w:cs="Times New Roman" w:eastAsia="Times New Roman" w:hAnsi="Times New Roman"/>
          <w:sz w:val="20"/>
          <w:szCs w:val="20"/>
          <w:i w:val="1"/>
          <w:iCs w:val="1"/>
          <w:color w:val="auto"/>
        </w:rPr>
        <w:t>Asset Sale Proceeds</w:t>
      </w:r>
      <w:r>
        <w:rPr>
          <w:rFonts w:ascii="Times New Roman" w:cs="Times New Roman" w:eastAsia="Times New Roman" w:hAnsi="Times New Roman"/>
          <w:sz w:val="20"/>
          <w:szCs w:val="20"/>
          <w:color w:val="auto"/>
        </w:rPr>
        <w:t xml:space="preserve">) of the Collateral and Intercreditor Agreement, then, such Asset Sale Proceeds that are not applied in such manner will constitute “Excess Asset Sale Proceeds”. If on any day the aggregate amount of Excess Asset Sale Proceeds is in excess of $300,000,000, then within thirty days after the expiry of the period during which the Company is permitted to use such Excess Asset Sale Proceeds pursuant to the Collateral and Intercreditor Agreement, the Company will make an Asset Sale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Asset Sale Offer will be equal to 100% of the principal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Asset Sale Proceeds remain unapplied after consummation of an Asset Sale Offer, the Company shall deposit such proceeds as directed in Section 9.7(a)(iii) (</w:t>
      </w:r>
      <w:r>
        <w:rPr>
          <w:rFonts w:ascii="Times New Roman" w:cs="Times New Roman" w:eastAsia="Times New Roman" w:hAnsi="Times New Roman"/>
          <w:sz w:val="20"/>
          <w:szCs w:val="20"/>
          <w:i w:val="1"/>
          <w:iCs w:val="1"/>
          <w:color w:val="auto"/>
        </w:rPr>
        <w:t>Application 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3" w:right="339" w:bottom="1440" w:gutter="0" w:footer="0" w:header="0"/>
        </w:sectPr>
      </w:pPr>
    </w:p>
    <w:bookmarkStart w:id="92" w:name="page93"/>
    <w:bookmarkEnd w:id="92"/>
    <w:p>
      <w:pPr>
        <w:ind w:left="1280"/>
        <w:spacing w:after="0"/>
        <w:rPr>
          <w:sz w:val="20"/>
          <w:szCs w:val="20"/>
          <w:color w:val="auto"/>
        </w:rPr>
      </w:pPr>
      <w:r>
        <w:rPr>
          <w:rFonts w:ascii="Times New Roman" w:cs="Times New Roman" w:eastAsia="Times New Roman" w:hAnsi="Times New Roman"/>
          <w:sz w:val="20"/>
          <w:szCs w:val="20"/>
          <w:i w:val="1"/>
          <w:iCs w:val="1"/>
          <w:color w:val="auto"/>
        </w:rPr>
        <w:t>Proceeds to the Senior Secured Obligations Prior to an Enforcement Action</w:t>
      </w:r>
      <w:r>
        <w:rPr>
          <w:rFonts w:ascii="Times New Roman" w:cs="Times New Roman" w:eastAsia="Times New Roman" w:hAnsi="Times New Roman"/>
          <w:sz w:val="20"/>
          <w:szCs w:val="20"/>
          <w:color w:val="auto"/>
        </w:rPr>
        <w:t>) of the Collateral and Intercreditor Agreement.</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Upon completion of each Asset Sale Offer, the amount of Excess Asset Sale Proceeds will be reset at zero.</w:t>
      </w:r>
    </w:p>
    <w:p>
      <w:pPr>
        <w:spacing w:after="0" w:line="187" w:lineRule="exact"/>
        <w:rPr>
          <w:sz w:val="20"/>
          <w:szCs w:val="20"/>
          <w:color w:val="auto"/>
        </w:rPr>
      </w:pPr>
    </w:p>
    <w:p>
      <w:pPr>
        <w:ind w:left="1280" w:hanging="634"/>
        <w:spacing w:after="0" w:line="269" w:lineRule="auto"/>
        <w:tabs>
          <w:tab w:leader="none" w:pos="12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sale, conveyance or other disposition of all or substantially all of the assets of the Company, will be governed by the provisions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not by the provisions of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by virtue of such compliance.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Performance Liquidated Damages</w:t>
      </w:r>
    </w:p>
    <w:p>
      <w:pPr>
        <w:spacing w:after="0" w:line="202" w:lineRule="exact"/>
        <w:rPr>
          <w:sz w:val="20"/>
          <w:szCs w:val="20"/>
          <w:color w:val="auto"/>
        </w:rPr>
      </w:pPr>
    </w:p>
    <w:p>
      <w:pPr>
        <w:jc w:val="both"/>
        <w:ind w:left="1300" w:hanging="644"/>
        <w:spacing w:after="0" w:line="264" w:lineRule="auto"/>
        <w:tabs>
          <w:tab w:leader="none" w:pos="129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receives Performance Liquidated Damages and does not use such Performance Liquidated Damages to rectify any damages or losses suffered under the relevant Material Project Document resulting from a breach thereof by the applicable Material Project Party or make indemnity payments to Offtakers, in each case, in accordance with Section 9.4(b) (</w:t>
      </w:r>
      <w:r>
        <w:rPr>
          <w:rFonts w:ascii="Times New Roman" w:cs="Times New Roman" w:eastAsia="Times New Roman" w:hAnsi="Times New Roman"/>
          <w:sz w:val="19"/>
          <w:szCs w:val="19"/>
          <w:i w:val="1"/>
          <w:iCs w:val="1"/>
          <w:color w:val="auto"/>
        </w:rPr>
        <w:t>Performance Liquidated Damages</w:t>
      </w:r>
      <w:r>
        <w:rPr>
          <w:rFonts w:ascii="Times New Roman" w:cs="Times New Roman" w:eastAsia="Times New Roman" w:hAnsi="Times New Roman"/>
          <w:sz w:val="19"/>
          <w:szCs w:val="19"/>
          <w:color w:val="auto"/>
        </w:rPr>
        <w:t xml:space="preserve">) of the Collateral and Intercreditor Agreement, then such Performance Liquidated Damages that are not applied in such manner will be deemed “PLD Excess Proceeds.” If on any day the aggregate amount of PLD Excess Proceeds is in excess of $300,000,000, within ninety days after the expiry of the period during which the Company is permitted to use such Performance Liquidated Damages pursuant to the Collateral and Intercreditor Agreement, the Company will make a PLD Proceeds Offer in accordance with Section 3.9. The offer price in any PLD Proceeds Offer will be equal to 100% of the principal amount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if any, to, but not including, the date of purchase and will be payable in cash. If any PLD Excess Proceeds remain unapplied after consummation of a PLD Proceeds Offer, the Company shall deposit such proceeds as directed in Section 9.7(a)(iii) (</w:t>
      </w:r>
      <w:r>
        <w:rPr>
          <w:rFonts w:ascii="Times New Roman" w:cs="Times New Roman" w:eastAsia="Times New Roman" w:hAnsi="Times New Roman"/>
          <w:sz w:val="19"/>
          <w:szCs w:val="19"/>
          <w:i w:val="1"/>
          <w:iCs w:val="1"/>
          <w:color w:val="auto"/>
        </w:rPr>
        <w:t>Application of Collateral Proceeds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Senior Secured Obligations Prior to an Enforcement Action</w:t>
      </w:r>
      <w:r>
        <w:rPr>
          <w:rFonts w:ascii="Times New Roman" w:cs="Times New Roman" w:eastAsia="Times New Roman" w:hAnsi="Times New Roman"/>
          <w:sz w:val="19"/>
          <w:szCs w:val="19"/>
          <w:color w:val="auto"/>
        </w:rPr>
        <w:t>) of the Collateral and Intercreditor Agreement. Upon completion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each PLD Proceeds Offer, the amount of PLD Excess Proceeds for the purposes of this paragraph will be reset at zero.</w:t>
      </w:r>
    </w:p>
    <w:p>
      <w:pPr>
        <w:spacing w:after="0" w:line="169" w:lineRule="exact"/>
        <w:rPr>
          <w:rFonts w:ascii="Times New Roman" w:cs="Times New Roman" w:eastAsia="Times New Roman" w:hAnsi="Times New Roman"/>
          <w:sz w:val="19"/>
          <w:szCs w:val="19"/>
          <w:color w:val="auto"/>
        </w:rPr>
      </w:pPr>
    </w:p>
    <w:p>
      <w:pPr>
        <w:jc w:val="both"/>
        <w:ind w:left="1280" w:hanging="634"/>
        <w:spacing w:after="0" w:line="253" w:lineRule="auto"/>
        <w:tabs>
          <w:tab w:leader="none" w:pos="127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 PLD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4.15,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by virtue of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09" w:right="339" w:bottom="1440" w:gutter="0" w:footer="0" w:header="0"/>
        </w:sectPr>
      </w:pPr>
    </w:p>
    <w:bookmarkStart w:id="93" w:name="page94"/>
    <w:bookmarkEnd w:id="93"/>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2024 Senior Notes DSRA</w:t>
      </w:r>
    </w:p>
    <w:p>
      <w:pPr>
        <w:spacing w:after="0" w:line="202" w:lineRule="exact"/>
        <w:rPr>
          <w:sz w:val="20"/>
          <w:szCs w:val="20"/>
          <w:color w:val="auto"/>
        </w:rPr>
      </w:pPr>
    </w:p>
    <w:p>
      <w:pPr>
        <w:jc w:val="both"/>
        <w:ind w:left="1280" w:hanging="634"/>
        <w:spacing w:after="0" w:line="253" w:lineRule="auto"/>
        <w:tabs>
          <w:tab w:leader="none" w:pos="12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on or prior to the Project Completion Date, the Company shall cause the 2024 Senior Notes DSRA to be funded in cash and/or by DSR Credit Support (as defined in the P1 Accounts Agreement) in accordance with the P1 Accounts Agreement in an amount equal to the Indenture Debt Service Reserve Amount. For the avoidance of doubt, other than as expressly provided in the foregoing sentence, the funding of the 2024 Senior Notes DSRA shall not otherwise be an affirmative covenant hereunder or under any other Senior Secured Credit Document (as defined in the Collateral and Intercreditor Agreement).</w:t>
      </w:r>
    </w:p>
    <w:p>
      <w:pPr>
        <w:spacing w:after="0" w:line="165" w:lineRule="exact"/>
        <w:rPr>
          <w:rFonts w:ascii="Times New Roman" w:cs="Times New Roman" w:eastAsia="Times New Roman" w:hAnsi="Times New Roman"/>
          <w:sz w:val="20"/>
          <w:szCs w:val="20"/>
          <w:color w:val="auto"/>
        </w:rPr>
      </w:pPr>
    </w:p>
    <w:p>
      <w:pPr>
        <w:ind w:left="1280" w:hanging="634"/>
        <w:spacing w:after="0" w:line="283" w:lineRule="auto"/>
        <w:tabs>
          <w:tab w:leader="none" w:pos="12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definition of “DSRA Reserve Amount” set forth in the P1 Accounts Agreement, the amount required to be funded pursuant to this Indenture shall be the Indenture Debt Service Reserve Amount.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Material Project Documents.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shall not agree to any material amendment or termination of any Material Project Document (other than any RG Facility Agreement) to which it is or becomes a party unless (a) a copy of such amendment or termination has been delivered to the P1 Intercreditor Agent in advance of the effective date thereof along with a certificate of an Authorized Officer of the Company certifying that the proposed amendment or termination could not reasonably be expected to have a Material Adverse Effect or (b) the Company has obtained the consent of the Trustee (acting at the instruction of a majority of the Noteholders) to such amendment or termination.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with an insurer of recognized financial responsibility,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Maintenance of Properties.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u w:val="single" w:color="auto"/>
          <w:color w:val="auto"/>
        </w:rPr>
        <w:t>Books and Records.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3" w:right="339" w:bottom="1440" w:gutter="0" w:footer="0" w:header="0"/>
        </w:sectPr>
      </w:pPr>
    </w:p>
    <w:bookmarkStart w:id="94" w:name="page95"/>
    <w:bookmarkEnd w:id="94"/>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in all material respects and the Company will, and will cause each of its subsidiaries to, continue to maintain such system.</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Inspection Reports.</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Upon the request of a Noteholder, or group of Noteholders, that (i) individually or collectively hold at least 25% of the then outstanding principal amount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(i) shall not apply at any time an Event of Default has occurred and is continuing) and (ii) qualify as an Institutional Investor(s), the Trustee will request the P1 Intercreditor Agent to promptly (x) exercise its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such matters referred to therein as may be requested by such Noteholder(s) in a written notice to the Trustee and (y) deliver to the Trustee (for further delivery to all Noteholders) a reasonably detailed report in respect of any exercise of the P1 Intercreditor Agent’s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the matters requested by the Noteholders in such notice to the Trustee.</w:t>
      </w:r>
    </w:p>
    <w:p>
      <w:pPr>
        <w:spacing w:after="0" w:line="205"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20"/>
          <w:szCs w:val="20"/>
          <w:color w:val="auto"/>
        </w:rPr>
        <w:t xml:space="preserve">In any case, any such report shall be subject to the confidentiality provisions of Section 15.15 </w:t>
      </w:r>
      <w:r>
        <w:rPr>
          <w:rFonts w:ascii="Times New Roman" w:cs="Times New Roman" w:eastAsia="Times New Roman" w:hAnsi="Times New Roman"/>
          <w:sz w:val="20"/>
          <w:szCs w:val="20"/>
          <w:i w:val="1"/>
          <w:iCs w:val="1"/>
          <w:color w:val="auto"/>
        </w:rPr>
        <w:t>(Termination of Certain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Confidentiality) </w:t>
      </w:r>
      <w:r>
        <w:rPr>
          <w:rFonts w:ascii="Times New Roman" w:cs="Times New Roman" w:eastAsia="Times New Roman" w:hAnsi="Times New Roman"/>
          <w:sz w:val="20"/>
          <w:szCs w:val="20"/>
          <w:color w:val="auto"/>
        </w:rPr>
        <w:t>of the Collateral and Intercreditor Agreement or analogous confidentiality restrictions required by the Company.</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Sanctions Regulations, Etc.</w:t>
      </w:r>
    </w:p>
    <w:p>
      <w:pPr>
        <w:spacing w:after="0" w:line="216"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The Company shall, and shall cause each of its subsidiaries to, comply in all material respects with Sanctions Regulations. Without limiting the foregoing, the Company agrees that if it obtains knowledge or receives any notice that the Company or its subsidiaries or any Person holding a legal or beneficial interest therein (whether directly or indirectly) is or becomes a Restricted Person, then the Company will comply with all applicable Sanctions Regulations with respect thereto. The Company will not, and will not permit any Person to directly or knowingly indirectly have any investment in or engage in any dealing or transaction (including using, lending, making payments of, contributing or otherwise making available, all or any part of, the proceeds of the Notes or other transactions contemplated by this Indenture or any other P1 Financing Document) with any Person if such investment, dealing or transaction (i) involves or is for the benefit of any Restricted Person or any Sanctioned Country except to the extent permitted for a Person required to comply with Sanctions Regulations, (ii) would cause any Noteholder or any Affiliate of such Noteholder to be in violation of, or the subject of applicable Sanctions Regulations or (iii) in any other manner that could reasonably be expected to result in any Person being in breach of any Sanctions Regulations (if any to the extent applicable to any of them) or becoming a Restricted Person.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19"/>
          <w:szCs w:val="19"/>
          <w:u w:val="single" w:color="auto"/>
          <w:color w:val="auto"/>
        </w:rPr>
        <w:t>Designated Offtake Agreements.</w:t>
      </w:r>
    </w:p>
    <w:p>
      <w:pPr>
        <w:spacing w:after="0" w:line="202"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Within thirty days after executing a Designated Offtake Agreement, the Company shall deliver to the Trustee a Consent Agreement with respect to such Designated Offtake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3" w:right="339" w:bottom="1440" w:gutter="0" w:footer="0" w:header="0"/>
        </w:sectPr>
      </w:pPr>
    </w:p>
    <w:bookmarkStart w:id="95" w:name="page96"/>
    <w:bookmarkEnd w:id="95"/>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u w:val="single" w:color="auto"/>
          <w:color w:val="auto"/>
        </w:rPr>
        <w:t>Accounts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shall not establish any bank accounts other than the P1 Accounts and the Common Accounts.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u w:val="single" w:color="auto"/>
          <w:color w:val="auto"/>
        </w:rPr>
        <w:t>Limitation on Formation of Controlled Subsidiaries</w:t>
      </w:r>
    </w:p>
    <w:p>
      <w:pPr>
        <w:spacing w:after="0" w:line="202"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Company shall not form or create any new Controlled Subsidiaries other than the RG Facility Entities (during any period when such RG Facility Entities remain Controlled Subsidiaries).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4.26</w:t>
      </w:r>
      <w:r>
        <w:rPr>
          <w:sz w:val="20"/>
          <w:szCs w:val="20"/>
          <w:color w:val="auto"/>
        </w:rPr>
        <w:tab/>
      </w:r>
      <w:r>
        <w:rPr>
          <w:rFonts w:ascii="Times New Roman" w:cs="Times New Roman" w:eastAsia="Times New Roman" w:hAnsi="Times New Roman"/>
          <w:sz w:val="19"/>
          <w:szCs w:val="19"/>
          <w:u w:val="single" w:color="auto"/>
          <w:color w:val="auto"/>
        </w:rPr>
        <w:t>Historical DSCR</w:t>
      </w:r>
    </w:p>
    <w:p>
      <w:pPr>
        <w:spacing w:after="0" w:line="202" w:lineRule="exact"/>
        <w:rPr>
          <w:sz w:val="20"/>
          <w:szCs w:val="20"/>
          <w:color w:val="auto"/>
        </w:rPr>
      </w:pPr>
    </w:p>
    <w:p>
      <w:pPr>
        <w:jc w:val="both"/>
        <w:ind w:left="1280" w:hanging="634"/>
        <w:spacing w:after="0" w:line="261" w:lineRule="auto"/>
        <w:tabs>
          <w:tab w:leader="none" w:pos="1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Together with the delivery of financial statements in accordance with Section 4.3(c)(2) in respect of each full Fiscal Quarter occurring after the Initial Principal Payment Date, the Company shall calculate and deliver to the Trustee and the Noteholders its calculation of the Historical DSCR.</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49" w:lineRule="auto"/>
        <w:tabs>
          <w:tab w:leader="none" w:pos="127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 permit the Historical DSCR as of the end of any Fiscal Quarter from and following the Initial Principal Payment Date to be less than 1.10 to 1.00; provided, that a failure to meet the required ratio as a result of a failure to maintain a Designated Offtake Agreement shall be addressed pursuant to Section 4.8(a) and not pursuant this </w:t>
      </w: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 xml:space="preserve">; provided, further, that, notwithstanding anything to the contrary herein or in any P1 Financing Document, if the Historical DSCR as of the end of any Fiscal Quarter following the Initial Principal Payment Date is (or would be) less than 1.10 to 1.00, then any direct or indirect owner of the Company shall have the right to provide cash to the Company, not later than twenty Business Days following the date of delivery of the calculation of the Historical DSCR as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4.26(a)</w:t>
      </w:r>
      <w:r>
        <w:rPr>
          <w:rFonts w:ascii="Times New Roman" w:cs="Times New Roman" w:eastAsia="Times New Roman" w:hAnsi="Times New Roman"/>
          <w:sz w:val="20"/>
          <w:szCs w:val="20"/>
          <w:color w:val="auto"/>
        </w:rPr>
        <w:t xml:space="preserve"> by (A) transferring from the Distribution Account to the P1 Revenue Account or (B) causing the Equity Owners to deposit in the P1 Revenue Account such amount as, when added to the otherwise applicable Cash Flow for purposes of calculating Historical CFADS for the applicable period, would cause the Historical DSCR for such period to equal or exceed 1.10 to 1.00 (and upon such transfer or deposit, any default under this </w:t>
      </w:r>
      <w:r>
        <w:rPr>
          <w:rFonts w:ascii="Times New Roman" w:cs="Times New Roman" w:eastAsia="Times New Roman" w:hAnsi="Times New Roman"/>
          <w:sz w:val="20"/>
          <w:szCs w:val="20"/>
          <w:u w:val="single" w:color="auto"/>
          <w:color w:val="auto"/>
        </w:rPr>
        <w:t>Section 4.26(b)</w:t>
      </w:r>
      <w:r>
        <w:rPr>
          <w:rFonts w:ascii="Times New Roman" w:cs="Times New Roman" w:eastAsia="Times New Roman" w:hAnsi="Times New Roman"/>
          <w:sz w:val="20"/>
          <w:szCs w:val="20"/>
          <w:color w:val="auto"/>
        </w:rPr>
        <w:t xml:space="preserve"> shall be deemed immediately cured) (provided, that the Company shall not have the right to cure a default of this </w:t>
      </w:r>
      <w:r>
        <w:rPr>
          <w:rFonts w:ascii="Times New Roman" w:cs="Times New Roman" w:eastAsia="Times New Roman" w:hAnsi="Times New Roman"/>
          <w:sz w:val="20"/>
          <w:szCs w:val="20"/>
          <w:u w:val="single" w:color="auto"/>
          <w:color w:val="auto"/>
        </w:rPr>
        <w:t>Section 4.26(b)</w:t>
      </w:r>
      <w:r>
        <w:rPr>
          <w:rFonts w:ascii="Times New Roman" w:cs="Times New Roman" w:eastAsia="Times New Roman" w:hAnsi="Times New Roman"/>
          <w:sz w:val="20"/>
          <w:szCs w:val="20"/>
          <w:color w:val="auto"/>
        </w:rPr>
        <w:t xml:space="preserve"> by operation hereof in respect of more than six Fiscal Quarters in aggregate prior to the Maturity Date and in each four consecutive Fiscal Quarter period there shall be at least two Fiscal Quarters in which no cure of a default of this </w:t>
      </w:r>
      <w:r>
        <w:rPr>
          <w:rFonts w:ascii="Times New Roman" w:cs="Times New Roman" w:eastAsia="Times New Roman" w:hAnsi="Times New Roman"/>
          <w:sz w:val="20"/>
          <w:szCs w:val="20"/>
          <w:u w:val="single" w:color="auto"/>
          <w:color w:val="auto"/>
        </w:rPr>
        <w:t>Section 4.26(b)</w:t>
      </w:r>
      <w:r>
        <w:rPr>
          <w:rFonts w:ascii="Times New Roman" w:cs="Times New Roman" w:eastAsia="Times New Roman" w:hAnsi="Times New Roman"/>
          <w:sz w:val="20"/>
          <w:szCs w:val="20"/>
          <w:color w:val="auto"/>
        </w:rPr>
        <w:t xml:space="preserve"> shall have been made (it being expressly understood and agreed that a cure of a default of this </w:t>
      </w:r>
      <w:r>
        <w:rPr>
          <w:rFonts w:ascii="Times New Roman" w:cs="Times New Roman" w:eastAsia="Times New Roman" w:hAnsi="Times New Roman"/>
          <w:sz w:val="20"/>
          <w:szCs w:val="20"/>
          <w:u w:val="single" w:color="auto"/>
          <w:color w:val="auto"/>
        </w:rPr>
        <w:t>Section 4.26(b)</w:t>
      </w:r>
      <w:r>
        <w:rPr>
          <w:rFonts w:ascii="Times New Roman" w:cs="Times New Roman" w:eastAsia="Times New Roman" w:hAnsi="Times New Roman"/>
          <w:sz w:val="20"/>
          <w:szCs w:val="20"/>
          <w:color w:val="auto"/>
        </w:rPr>
        <w:t xml:space="preserve"> may be exercised in consecutive Fiscal Quarters)).</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u w:val="single" w:color="auto"/>
          <w:color w:val="auto"/>
        </w:rPr>
        <w:t>Affiliated Noteholder Cap</w:t>
      </w:r>
    </w:p>
    <w:p>
      <w:pPr>
        <w:spacing w:after="0" w:line="21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aggregate principal amount of Notes held at any one time by the Company and/or an Affiliate of the Company (other than any Debt Fund Affiliate), shall not, in the aggregate, exceed 25% of the principal amount of Notes at such time outstanding (measured at the time of purchase).</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u w:val="single" w:color="auto"/>
          <w:color w:val="auto"/>
        </w:rPr>
        <w:t>Note Guarantees</w:t>
      </w:r>
    </w:p>
    <w:p>
      <w:pPr>
        <w:spacing w:after="0" w:line="20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Unless and until such guarantee is released in accordance with the CD Credit Agreement (or such other Indebtedness represented by any replacement or refinancing of all or a portion of the Senior Secured Debt under the CD Credit Agreement), the Company will cause each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96" w:name="page97"/>
    <w:bookmarkEnd w:id="96"/>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Subsidiary that is or becomes a guarantor in respect of Senior Secured Debt under the CD Credit Agreement (or as a guarantor of Indebtedness represented by any replacement or refinancing of all or a portion of the Senior Secured Debt under the CD Credit Agreement) to provide a Note Guarantee within 60 days.</w:t>
      </w:r>
    </w:p>
    <w:p>
      <w:pPr>
        <w:spacing w:after="0" w:line="150"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may not, directly or indirectly: consolidate, amalgamate or merge with or into another Person (regardless of whether the Company is the surviving entity); convert into another form of entity or continue in another jurisdiction where such conversion or continuance would be adverse in any material respect to the Noteholders; sell, assign, transfer, lease, convey or otherwise dispose of all or substantially all of its properties or assets, in one or more related transactions, to another Person; or dissolve, liquidate, terminate, reorganize or wind up nor take any action to amend or modify its corporate constituent or governing documents where such amendment would be adverse in any material respect to the Noteholders, unless:</w:t>
      </w:r>
    </w:p>
    <w:p>
      <w:pPr>
        <w:spacing w:after="0" w:line="165" w:lineRule="exact"/>
        <w:rPr>
          <w:sz w:val="20"/>
          <w:szCs w:val="20"/>
          <w:color w:val="auto"/>
        </w:rPr>
      </w:pPr>
    </w:p>
    <w:p>
      <w:pPr>
        <w:ind w:left="1280" w:hanging="634"/>
        <w:spacing w:after="0"/>
        <w:tabs>
          <w:tab w:leader="none" w:pos="12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Rating Reaffirmation shall have occurred; or</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7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action or transaction has been approved by the Trustee acting at the instruction of the Noteholders of a majority in aggregate principal amount of the Notes then outstanding.</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Successor Corporation Substituted</w:t>
      </w:r>
    </w:p>
    <w:p>
      <w:pPr>
        <w:spacing w:after="0" w:line="21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predecessor Company shall not be relieved from the obligation to pay the principal of and interest on the Notes except in the case of a sale of all of the Company’s assets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DEFAULTS AND REMEDIES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1280" w:hanging="634"/>
        <w:spacing w:after="0" w:line="261" w:lineRule="auto"/>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fails to pay principal amounts due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failure to pay is caused by an administrative or technical error, the Company shall have three Business Days to cure such failure); or (ii) the Company fails to pay interest or other amounts due on the Notes within three Business Days of the same becoming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97" w:name="page98"/>
    <w:bookmarkEnd w:id="97"/>
    <w:p>
      <w:pPr>
        <w:jc w:val="both"/>
        <w:ind w:left="634" w:hanging="634"/>
        <w:spacing w:after="0" w:line="254"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specified in Article 7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xml:space="preserve">) of the Common Terms Agreement has occurred and is continuing and has not been Waived in accordance with the Collateral and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or other modification to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that results in the occurrence of a Bankruptcy with respect to the Company not being an “Event of Default” under such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shall be effective with respect to the Notes unless such amendment or other modification is approved by the Holders of a majority in aggregate principal amount of the Notes then outstanding;</w:t>
      </w:r>
    </w:p>
    <w:p>
      <w:pPr>
        <w:spacing w:after="0" w:line="163" w:lineRule="exact"/>
        <w:rPr>
          <w:rFonts w:ascii="Times New Roman" w:cs="Times New Roman" w:eastAsia="Times New Roman" w:hAnsi="Times New Roman"/>
          <w:sz w:val="20"/>
          <w:szCs w:val="20"/>
          <w:color w:val="auto"/>
        </w:rPr>
      </w:pPr>
    </w:p>
    <w:p>
      <w:pPr>
        <w:ind w:left="634" w:hanging="634"/>
        <w:spacing w:after="0"/>
        <w:tabs>
          <w:tab w:leader="none" w:pos="6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consummate a purchase of Notes when required pursuant to </w:t>
      </w:r>
      <w:r>
        <w:rPr>
          <w:rFonts w:ascii="Times New Roman" w:cs="Times New Roman" w:eastAsia="Times New Roman" w:hAnsi="Times New Roman"/>
          <w:sz w:val="20"/>
          <w:szCs w:val="20"/>
          <w:u w:val="single" w:color="auto"/>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34" w:hanging="634"/>
        <w:spacing w:after="0"/>
        <w:tabs>
          <w:tab w:leader="none" w:pos="6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Sections 4.6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34" w:hanging="634"/>
        <w:spacing w:after="0" w:line="269" w:lineRule="auto"/>
        <w:tabs>
          <w:tab w:leader="none" w:pos="6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and such failure shall result in a Material Adverse Effect;</w:t>
      </w:r>
    </w:p>
    <w:p>
      <w:pPr>
        <w:spacing w:after="0" w:line="159" w:lineRule="exact"/>
        <w:rPr>
          <w:rFonts w:ascii="Times New Roman" w:cs="Times New Roman" w:eastAsia="Times New Roman" w:hAnsi="Times New Roman"/>
          <w:sz w:val="20"/>
          <w:szCs w:val="20"/>
          <w:color w:val="auto"/>
        </w:rPr>
      </w:pPr>
    </w:p>
    <w:p>
      <w:pPr>
        <w:ind w:left="634" w:hanging="634"/>
        <w:spacing w:after="0" w:line="269" w:lineRule="auto"/>
        <w:tabs>
          <w:tab w:leader="none" w:pos="62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thirty days after notice from the Trustee or the Noteholders of at least 33⅓% in aggregate principal amount of the then outstanding Notes to comply with the provisions of </w:t>
      </w:r>
      <w:r>
        <w:rPr>
          <w:rFonts w:ascii="Times New Roman" w:cs="Times New Roman" w:eastAsia="Times New Roman" w:hAnsi="Times New Roman"/>
          <w:sz w:val="20"/>
          <w:szCs w:val="20"/>
          <w:u w:val="single" w:color="auto"/>
          <w:color w:val="auto"/>
        </w:rPr>
        <w:t>Sections 4.5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left="634" w:hanging="634"/>
        <w:spacing w:after="0" w:line="268"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sixty days after notice from the Trustee or the Noteholders of at least 33⅓% in aggregate principal amount of the then outstanding Notes to comply with any of the other agreements in this Indenture; provided that such period shall be ninety days with respect to </w:t>
      </w:r>
      <w:r>
        <w:rPr>
          <w:rFonts w:ascii="Times New Roman" w:cs="Times New Roman" w:eastAsia="Times New Roman" w:hAnsi="Times New Roman"/>
          <w:sz w:val="20"/>
          <w:szCs w:val="20"/>
          <w:u w:val="single" w:color="auto"/>
          <w:color w:val="auto"/>
        </w:rPr>
        <w:t>Section 4.3(k)</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634" w:hanging="634"/>
        <w:spacing w:after="0" w:line="261"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in favor of the Senior Secured Parties under the Senior Security Documents shall at any time cease to constitute valid and perfected Liens granting a first priority security interest in any material portion of the Collateral (subject to Permitted Liens);</w:t>
      </w:r>
    </w:p>
    <w:p>
      <w:pPr>
        <w:spacing w:after="0" w:line="154" w:lineRule="exact"/>
        <w:rPr>
          <w:rFonts w:ascii="Times New Roman" w:cs="Times New Roman" w:eastAsia="Times New Roman" w:hAnsi="Times New Roman"/>
          <w:sz w:val="20"/>
          <w:szCs w:val="20"/>
          <w:color w:val="auto"/>
        </w:rPr>
      </w:pPr>
    </w:p>
    <w:p>
      <w:pPr>
        <w:ind w:left="634" w:hanging="634"/>
        <w:spacing w:after="0"/>
        <w:tabs>
          <w:tab w:leader="none" w:pos="6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 fails to achieve the Project Completion Date on or before the Date Certain;</w:t>
      </w:r>
    </w:p>
    <w:p>
      <w:pPr>
        <w:spacing w:after="0" w:line="215" w:lineRule="exact"/>
        <w:rPr>
          <w:rFonts w:ascii="Times New Roman" w:cs="Times New Roman" w:eastAsia="Times New Roman" w:hAnsi="Times New Roman"/>
          <w:sz w:val="20"/>
          <w:szCs w:val="20"/>
          <w:color w:val="auto"/>
        </w:rPr>
      </w:pPr>
    </w:p>
    <w:p>
      <w:pPr>
        <w:jc w:val="both"/>
        <w:ind w:left="634" w:hanging="634"/>
        <w:spacing w:after="0" w:line="263" w:lineRule="auto"/>
        <w:tabs>
          <w:tab w:leader="none" w:pos="62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Project Document (other than any Designated Offtake Agreement) (i) is expressly repudiated in writing by the Material Project Party that is the counterparty thereto and such repudiation could reasonably be expected to have a Material Adverse Effect, (ii) is declared unenforceable in a final judgment of a court of competent jurisdiction against any party, such unenforceability is not cured, and such unenforceability could reasonably be expected to have a Material Adverse Effect, or</w:t>
      </w:r>
    </w:p>
    <w:p>
      <w:pPr>
        <w:spacing w:after="0" w:line="2" w:lineRule="exact"/>
        <w:rPr>
          <w:rFonts w:ascii="Times New Roman" w:cs="Times New Roman" w:eastAsia="Times New Roman" w:hAnsi="Times New Roman"/>
          <w:sz w:val="19"/>
          <w:szCs w:val="19"/>
          <w:color w:val="auto"/>
        </w:rPr>
      </w:pPr>
    </w:p>
    <w:p>
      <w:pPr>
        <w:jc w:val="both"/>
        <w:ind w:left="634" w:firstLine="4"/>
        <w:spacing w:after="0" w:line="250" w:lineRule="auto"/>
        <w:tabs>
          <w:tab w:leader="none" w:pos="99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been terminated or shall for any reason cease to be valid and binding or in full force and effect or shall be materially Impaired (in each case, except in connection with its expiration in accordance with its terms in the ordinary course (and not related to any default or early termination right thereunder)) and such termination, failure to be valid, binding, or in full force and effect, or material Impairment could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shall have occurred pursuant to this </w:t>
      </w:r>
      <w:r>
        <w:rPr>
          <w:rFonts w:ascii="Times New Roman" w:cs="Times New Roman" w:eastAsia="Times New Roman" w:hAnsi="Times New Roman"/>
          <w:sz w:val="20"/>
          <w:szCs w:val="20"/>
          <w:u w:val="single" w:color="auto"/>
          <w:color w:val="auto"/>
        </w:rPr>
        <w:t>Section 6.1(j)</w:t>
      </w:r>
      <w:r>
        <w:rPr>
          <w:rFonts w:ascii="Times New Roman" w:cs="Times New Roman" w:eastAsia="Times New Roman" w:hAnsi="Times New Roman"/>
          <w:sz w:val="20"/>
          <w:szCs w:val="20"/>
          <w:color w:val="auto"/>
        </w:rPr>
        <w:t xml:space="preserve"> if (x) such event or circumstance is cured within sixty days of such event or circumstance or (y) the Company notifies the Trustee that it intends to replace such Material Project Document and diligently pursues such replacement and the applicable Material Project Document is replaced within ninety days with an Additional Material Project Document which has substantially similar or more favorable economic effect for Company, as applicable, when taken as a whole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94"/>
          </w:cols>
          <w:pgMar w:left="966" w:top="1409" w:right="339" w:bottom="1440" w:gutter="0" w:footer="0" w:header="0"/>
        </w:sectPr>
      </w:pPr>
    </w:p>
    <w:bookmarkStart w:id="98" w:name="page99"/>
    <w:bookmarkEnd w:id="98"/>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with any other agreements related thereto and which has substantially similar or more favorable non-economic terms (taken as a whole together with any other agreements related thereto) for Company, as applicable, as the Material Project Document being replaced; and</w:t>
      </w:r>
    </w:p>
    <w:p>
      <w:pPr>
        <w:spacing w:after="0" w:line="150" w:lineRule="exact"/>
        <w:rPr>
          <w:sz w:val="20"/>
          <w:szCs w:val="20"/>
          <w:color w:val="auto"/>
        </w:rPr>
      </w:pPr>
    </w:p>
    <w:p>
      <w:pPr>
        <w:jc w:val="both"/>
        <w:ind w:left="1280" w:hanging="634"/>
        <w:spacing w:after="0" w:line="254" w:lineRule="auto"/>
        <w:tabs>
          <w:tab w:leader="none" w:pos="127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7.7 (</w:t>
      </w:r>
      <w:r>
        <w:rPr>
          <w:rFonts w:ascii="Times New Roman" w:cs="Times New Roman" w:eastAsia="Times New Roman" w:hAnsi="Times New Roman"/>
          <w:sz w:val="20"/>
          <w:szCs w:val="20"/>
          <w:i w:val="1"/>
          <w:iCs w:val="1"/>
          <w:color w:val="auto"/>
        </w:rPr>
        <w:t>Illegality or Unenforceability</w:t>
      </w:r>
      <w:r>
        <w:rPr>
          <w:rFonts w:ascii="Times New Roman" w:cs="Times New Roman" w:eastAsia="Times New Roman" w:hAnsi="Times New Roman"/>
          <w:sz w:val="20"/>
          <w:szCs w:val="20"/>
          <w:color w:val="auto"/>
        </w:rPr>
        <w:t>) of the Common Terms Agreement, any Necessary Senior Secured Debt Instrument or any material provision thereof, (i) is declared by a court of competent jurisdiction to be illegal or unenforceable and such unenforceability or illegality is not cured within five Business Days following the date of entry of such judgment (provided, that such five Business Day period will apply only so long as the relevant party is attempting in good faith to cure such unenforceability), (ii) should otherwise cease to be valid and binding or in full force and effect or shall be materially Impaired (in each case, except in connection with its expiration or termination in accordance with its terms in the ordinary course (and not related to any default hereunder or thereunder)), or (iii) is expressly terminated, contested or repudiated by the Company.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Acceleration</w:t>
      </w:r>
    </w:p>
    <w:p>
      <w:pPr>
        <w:spacing w:after="0" w:line="198"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In the case of an Event of Default specified in Section 7.5(a)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all outstanding Notes will become due and payable immediately without further action or notice (subject to applicable law).</w:t>
      </w:r>
    </w:p>
    <w:p>
      <w:pPr>
        <w:spacing w:after="0" w:line="1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other Event of Default occurs and is continuing, the Trustee or the Noteholders of at least 33⅓% in aggregate principal amount of the then outstanding Notes may declare all the Notes to be due and payable immediately, by notice in writing to the Company, specifying the Event of Default.</w:t>
      </w:r>
    </w:p>
    <w:p>
      <w:pPr>
        <w:spacing w:after="0" w:line="154"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 xml:space="preserve">The Company waives any and all claims, in law and/or in equity, against the Trustee, and agrees not to commence any legal proceeding against the Trustee in respect of, and agrees that the Trustee will not be liable for any action that the trustee takes in accordance with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arising out of or in connection with following instructions.</w:t>
      </w:r>
    </w:p>
    <w:p>
      <w:pPr>
        <w:spacing w:after="0" w:line="14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hereby confirms that any and all other actions that the Trustee takes or omits to take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all fees, costs and expenses of the Trustee and its agents and counsel arising hereunder and in connection herewith shall be covered by the Company’s indemnification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of this Indenture.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such declaration, the Notes shall become due and payable immediately.</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Other Remedies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54"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19"/>
          <w:szCs w:val="19"/>
          <w:color w:val="auto"/>
        </w:rPr>
        <w:t>remedy or constitute a waiver of or acquiescence in the Event of Default. All remedies are cumulative to the extent permitted by law.</w:t>
      </w:r>
    </w:p>
    <w:p>
      <w:pPr>
        <w:spacing w:after="0" w:line="2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Waiver of Past Defaults</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Noteholders of a majority in aggregate principal amount of the then outstanding Notes by notice to the Trustee may on behalf of all Noteholders waive an existing Default or Event of Default and its consequences hereunder, except a continuing Default or Event of Default in the payment of the principal of, premium, if any, or interest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Noteholders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Control by Majority</w:t>
      </w:r>
    </w:p>
    <w:p>
      <w:pPr>
        <w:spacing w:after="0" w:line="2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Noteholders or that may involve the Trustee in personal liability.</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Limitation on Suits</w:t>
      </w:r>
    </w:p>
    <w:p>
      <w:pPr>
        <w:spacing w:after="0" w:line="202"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a Noteholder may pursue a remedy with respect to this Indenture or the Notes only if:</w:t>
      </w:r>
    </w:p>
    <w:p>
      <w:pPr>
        <w:spacing w:after="0" w:line="159" w:lineRule="exact"/>
        <w:rPr>
          <w:sz w:val="20"/>
          <w:szCs w:val="20"/>
          <w:color w:val="auto"/>
        </w:rPr>
      </w:pPr>
    </w:p>
    <w:p>
      <w:pPr>
        <w:ind w:left="1280" w:hanging="634"/>
        <w:spacing w:after="0"/>
        <w:tabs>
          <w:tab w:leader="none" w:pos="12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has previously given the Trustee written notice that an Event of Default is continuing;</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7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at least 33⅓% in aggregate principal amount of the then outstanding Notes make a written request to the Trustee to pursue the remedy;</w:t>
      </w:r>
    </w:p>
    <w:p>
      <w:pPr>
        <w:spacing w:after="0" w:line="132" w:lineRule="exact"/>
        <w:rPr>
          <w:rFonts w:ascii="Times New Roman" w:cs="Times New Roman" w:eastAsia="Times New Roman" w:hAnsi="Times New Roman"/>
          <w:sz w:val="20"/>
          <w:szCs w:val="20"/>
          <w:color w:val="auto"/>
        </w:rPr>
      </w:pPr>
    </w:p>
    <w:p>
      <w:pPr>
        <w:ind w:left="1280" w:hanging="634"/>
        <w:spacing w:after="0" w:line="269" w:lineRule="auto"/>
        <w:tabs>
          <w:tab w:leader="none" w:pos="12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or Noteholders have offered the Trustee security or indemnity satisfactory to the Trustee against any loss, liability or expense;</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not complied with such request within sixty days after the receipt of the request and the offer of security or indemnity; and</w:t>
      </w:r>
    </w:p>
    <w:p>
      <w:pPr>
        <w:spacing w:after="0" w:line="145"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have not given the Trustee a direction inconsistent with such request within such sixty-day period.</w:t>
      </w:r>
    </w:p>
    <w:p>
      <w:pPr>
        <w:spacing w:after="0" w:line="133"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A Noteholder may not use this Indenture to prejudice the rights of another Noteholder or to obtain a preference or priority over another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13" w:right="339" w:bottom="1440" w:gutter="0" w:footer="0" w:header="0"/>
        </w:sectPr>
      </w:pPr>
    </w:p>
    <w:bookmarkStart w:id="100" w:name="page101"/>
    <w:bookmarkEnd w:id="100"/>
    <w:p>
      <w:pPr>
        <w:spacing w:after="0"/>
        <w:tabs>
          <w:tab w:leader="none" w:pos="62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Rights of Noteholders to Receive Payment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Indenture, the right of any Noteholder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Noteholder;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Noteholder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Collection Suit by Trustee</w:t>
      </w:r>
    </w:p>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specified in Section 7.1 (</w:t>
      </w:r>
      <w:r>
        <w:rPr>
          <w:rFonts w:ascii="Times New Roman" w:cs="Times New Roman" w:eastAsia="Times New Roman" w:hAnsi="Times New Roman"/>
          <w:sz w:val="20"/>
          <w:szCs w:val="20"/>
          <w:i w:val="1"/>
          <w:iCs w:val="1"/>
          <w:color w:val="auto"/>
        </w:rPr>
        <w:t>Non-Payment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Senior Secured Debt</w:t>
      </w:r>
      <w:r>
        <w:rPr>
          <w:rFonts w:ascii="Times New Roman" w:cs="Times New Roman" w:eastAsia="Times New Roman" w:hAnsi="Times New Roman"/>
          <w:sz w:val="20"/>
          <w:szCs w:val="20"/>
          <w:color w:val="auto"/>
        </w:rPr>
        <w:t>) of the Common Terms Agreement with respect to the Notes occurs and is continuing, the Trustee is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Noteholders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Noteholders may be entitled to receive in such proceeding whether in liquidation or under any plan of reorganization or arrangement or otherwise. Nothing herein contained shall be deemed to authorize the Trustee to authorize or consent to or accept or adopt on behalf of any Noteholder any plan of reorganization, arrangement, adjustment or composition affecting the Notes or the rights of any Noteholder, or to authorize the Trustee to vote in respect of the claim of any Noteholder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3" w:right="339" w:bottom="1440" w:gutter="0" w:footer="0" w:header="0"/>
        </w:sectPr>
      </w:pPr>
    </w:p>
    <w:bookmarkStart w:id="101" w:name="page102"/>
    <w:bookmarkEnd w:id="101"/>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Priorities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the Trustee collects any money pursuant to this Article 6, or, after an Event of Default, any money or other property distributable in respect of the Company’s obligations under this Indenture, it shall pay out the money in the following order:</w:t>
      </w:r>
    </w:p>
    <w:p>
      <w:pPr>
        <w:spacing w:after="0" w:line="164"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(including any predecessor trustee), its agents and attorneys for amounts due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of all compensation, expenses and liabilities incurred, and all advances made, by the Trustee and the costs and expenses of collection;</w:t>
      </w:r>
    </w:p>
    <w:p>
      <w:pPr>
        <w:spacing w:after="0" w:line="148"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Noteholders for amounts due and unpaid on the Notes for principal, premium, if any, and interest, ratably,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preference or priority of any kind, according to the amounts due and payable on the Notes for principal, premium, if any, and interest, respectively; and</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Company or to such party as a court of competent jurisdiction shall direct.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Noteholders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Undertaking for Costs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Noteholder pursuant to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or a suit by Noteholders of more than 10% in aggregate principal amount of the then outstanding Notes.</w:t>
      </w:r>
    </w:p>
    <w:p>
      <w:pPr>
        <w:spacing w:after="0" w:line="175" w:lineRule="exact"/>
        <w:rPr>
          <w:sz w:val="20"/>
          <w:szCs w:val="20"/>
          <w:color w:val="auto"/>
        </w:rPr>
      </w:pPr>
    </w:p>
    <w:p>
      <w:pPr>
        <w:ind w:left="640" w:hanging="632"/>
        <w:spacing w:after="0"/>
        <w:tabs>
          <w:tab w:leader="none" w:pos="64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TRUSTEE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Duties of Trustee</w:t>
      </w:r>
    </w:p>
    <w:p>
      <w:pPr>
        <w:spacing w:after="0" w:line="202" w:lineRule="exact"/>
        <w:rPr>
          <w:sz w:val="20"/>
          <w:szCs w:val="20"/>
          <w:color w:val="auto"/>
        </w:rPr>
      </w:pPr>
    </w:p>
    <w:p>
      <w:pPr>
        <w:jc w:val="both"/>
        <w:ind w:left="1280" w:hanging="634"/>
        <w:spacing w:after="0" w:line="261" w:lineRule="auto"/>
        <w:tabs>
          <w:tab w:leader="none" w:pos="1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15"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5"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4"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3" w:right="339" w:bottom="1440" w:gutter="0" w:footer="0" w:header="0"/>
        </w:sectPr>
      </w:pPr>
    </w:p>
    <w:bookmarkStart w:id="102" w:name="page103"/>
    <w:bookmarkEnd w:id="102"/>
    <w:p>
      <w:pPr>
        <w:jc w:val="both"/>
        <w:ind w:left="1920"/>
        <w:spacing w:after="0" w:line="253" w:lineRule="auto"/>
        <w:rPr>
          <w:sz w:val="20"/>
          <w:szCs w:val="20"/>
          <w:color w:val="auto"/>
        </w:rPr>
      </w:pPr>
      <w:r>
        <w:rPr>
          <w:rFonts w:ascii="Times New Roman" w:cs="Times New Roman" w:eastAsia="Times New Roman" w:hAnsi="Times New Roman"/>
          <w:sz w:val="20"/>
          <w:szCs w:val="20"/>
          <w:color w:val="auto"/>
        </w:rPr>
        <w:t>certificates or opinions furnished to the Trustee and conforming to the requirements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such certificates or opinions which by any provision hereof are specifically required to be furnished to the Trustee, the Trustee will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78" w:lineRule="exact"/>
        <w:rPr>
          <w:sz w:val="20"/>
          <w:szCs w:val="20"/>
          <w:color w:val="auto"/>
        </w:rPr>
      </w:pPr>
    </w:p>
    <w:p>
      <w:pPr>
        <w:ind w:left="1280" w:right="20" w:hanging="634"/>
        <w:spacing w:after="0" w:line="269" w:lineRule="auto"/>
        <w:tabs>
          <w:tab w:leader="none" w:pos="12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negligent action, its own negligent failure to act, or its own willful misconduct, except that:</w:t>
      </w:r>
    </w:p>
    <w:p>
      <w:pPr>
        <w:spacing w:after="0" w:line="14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paragraph does not limit the effect of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20" w:hanging="636"/>
        <w:spacing w:after="0" w:line="269" w:lineRule="auto"/>
        <w:tabs>
          <w:tab w:leader="none" w:pos="191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negligent in ascertaining the pertinent facts; and</w:t>
      </w:r>
    </w:p>
    <w:p>
      <w:pPr>
        <w:spacing w:after="0" w:line="159"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1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81" w:lineRule="auto"/>
        <w:tabs>
          <w:tab w:leader="none" w:pos="128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will require the Trustee to expend or risk its own funds or incur any liability. The Trustee will be under no obligation to exercise any of its rights and powers under this Indenture at the request of any Noteholders, unless such Noteholder has offered to the Trustee security and indemnity satisfactory to it against any loss, liability or expense.</w:t>
      </w:r>
    </w:p>
    <w:p>
      <w:pPr>
        <w:spacing w:after="0" w:line="150" w:lineRule="exact"/>
        <w:rPr>
          <w:rFonts w:ascii="Times New Roman" w:cs="Times New Roman" w:eastAsia="Times New Roman" w:hAnsi="Times New Roman"/>
          <w:sz w:val="19"/>
          <w:szCs w:val="19"/>
          <w:color w:val="auto"/>
        </w:rPr>
      </w:pPr>
    </w:p>
    <w:p>
      <w:pPr>
        <w:ind w:left="1280" w:right="20" w:hanging="634"/>
        <w:spacing w:after="0" w:line="269" w:lineRule="auto"/>
        <w:tabs>
          <w:tab w:leader="none" w:pos="127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Rights of Trustee</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The Trustee need not investigate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(subject to reasonable confidentiality arrangements as may be proposed by the Company) to make reasonable investigation (upon prior notice and during regular business hours) of the books, records and premises of the Company, personally or by agent or attorney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3" w:right="339" w:bottom="1440" w:gutter="0" w:footer="0" w:header="0"/>
        </w:sectPr>
      </w:pPr>
    </w:p>
    <w:bookmarkStart w:id="103" w:name="page104"/>
    <w:bookmarkEnd w:id="103"/>
    <w:p>
      <w:pPr>
        <w:jc w:val="both"/>
        <w:ind w:left="634" w:hanging="634"/>
        <w:spacing w:after="0" w:line="253" w:lineRule="auto"/>
        <w:tabs>
          <w:tab w:leader="none" w:pos="63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the Trustee acts or refrains from acting, it may require an Officer’s Certificate or an Opinion of Counsel or both;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Officer’s Certificate or Opinion of Counsel will not be required if the Indenture requires the Company to deliver a certificate of an Authorized Officer of the Company in connection with such act or refrain from acting. The Trustee will not be liable for any action it takes, suffers or omits to take in good faith in reliance on such Officer’s Certificate, Opinion of Counsel or a certificate of an Authorized Officer of the Company.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65" w:lineRule="exact"/>
        <w:rPr>
          <w:rFonts w:ascii="Times New Roman" w:cs="Times New Roman" w:eastAsia="Times New Roman" w:hAnsi="Times New Roman"/>
          <w:sz w:val="20"/>
          <w:szCs w:val="20"/>
          <w:color w:val="auto"/>
        </w:rPr>
      </w:pPr>
    </w:p>
    <w:p>
      <w:pPr>
        <w:ind w:left="634" w:hanging="634"/>
        <w:spacing w:after="0" w:line="269" w:lineRule="auto"/>
        <w:tabs>
          <w:tab w:leader="none" w:pos="63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159" w:lineRule="exact"/>
        <w:rPr>
          <w:rFonts w:ascii="Times New Roman" w:cs="Times New Roman" w:eastAsia="Times New Roman" w:hAnsi="Times New Roman"/>
          <w:sz w:val="20"/>
          <w:szCs w:val="20"/>
          <w:color w:val="auto"/>
        </w:rPr>
      </w:pPr>
    </w:p>
    <w:p>
      <w:pPr>
        <w:ind w:left="634" w:right="20" w:hanging="634"/>
        <w:spacing w:after="0" w:line="269" w:lineRule="auto"/>
        <w:tabs>
          <w:tab w:leader="none" w:pos="63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suffers or omits to take in good faith that it reasonably believes to be authorized or within the rights or powers conferred upon it by this Indenture.</w:t>
      </w:r>
    </w:p>
    <w:p>
      <w:pPr>
        <w:spacing w:after="0" w:line="159" w:lineRule="exact"/>
        <w:rPr>
          <w:rFonts w:ascii="Times New Roman" w:cs="Times New Roman" w:eastAsia="Times New Roman" w:hAnsi="Times New Roman"/>
          <w:sz w:val="20"/>
          <w:szCs w:val="20"/>
          <w:color w:val="auto"/>
        </w:rPr>
      </w:pPr>
    </w:p>
    <w:p>
      <w:pPr>
        <w:ind w:left="634" w:hanging="634"/>
        <w:spacing w:after="0" w:line="269" w:lineRule="auto"/>
        <w:tabs>
          <w:tab w:leader="none" w:pos="63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for in this Indenture, any demand, request, direction or notice from the Company will be sufficient if signed by an Authorized Officer of the Company.</w:t>
      </w:r>
    </w:p>
    <w:p>
      <w:pPr>
        <w:spacing w:after="0" w:line="145" w:lineRule="exact"/>
        <w:rPr>
          <w:rFonts w:ascii="Times New Roman" w:cs="Times New Roman" w:eastAsia="Times New Roman" w:hAnsi="Times New Roman"/>
          <w:sz w:val="20"/>
          <w:szCs w:val="20"/>
          <w:color w:val="auto"/>
        </w:rPr>
      </w:pPr>
    </w:p>
    <w:p>
      <w:pPr>
        <w:jc w:val="both"/>
        <w:ind w:left="634" w:hanging="634"/>
        <w:spacing w:after="0" w:line="258" w:lineRule="auto"/>
        <w:tabs>
          <w:tab w:leader="none" w:pos="62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be under no obligation to exercise any of the rights or powers vested in it by this Indenture at the request or direction of any of the Noteholders unless such Noteholders have offered to the Trustee indemnity or security satisfactory to the Trustee against the losses, liabilities and expenses that might be incurred by it in compliance with such request or direction.</w:t>
      </w:r>
    </w:p>
    <w:p>
      <w:pPr>
        <w:spacing w:after="0" w:line="158" w:lineRule="exact"/>
        <w:rPr>
          <w:rFonts w:ascii="Times New Roman" w:cs="Times New Roman" w:eastAsia="Times New Roman" w:hAnsi="Times New Roman"/>
          <w:sz w:val="20"/>
          <w:szCs w:val="20"/>
          <w:color w:val="auto"/>
        </w:rPr>
      </w:pPr>
    </w:p>
    <w:p>
      <w:pPr>
        <w:jc w:val="both"/>
        <w:ind w:left="634" w:hanging="634"/>
        <w:spacing w:after="0" w:line="258" w:lineRule="auto"/>
        <w:tabs>
          <w:tab w:leader="none" w:pos="63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has actual knowledge thereof or unless written notice of such Default or Event of Default is received by a Responsible Officer of the Trustee at the Corporate Trust Office of the Trustee, and such notice references the Notes and this Indenture.</w:t>
      </w:r>
    </w:p>
    <w:p>
      <w:pPr>
        <w:spacing w:after="0" w:line="158" w:lineRule="exact"/>
        <w:rPr>
          <w:rFonts w:ascii="Times New Roman" w:cs="Times New Roman" w:eastAsia="Times New Roman" w:hAnsi="Times New Roman"/>
          <w:sz w:val="20"/>
          <w:szCs w:val="20"/>
          <w:color w:val="auto"/>
        </w:rPr>
      </w:pPr>
    </w:p>
    <w:p>
      <w:pPr>
        <w:jc w:val="both"/>
        <w:ind w:left="634" w:hanging="634"/>
        <w:spacing w:after="0" w:line="257" w:lineRule="auto"/>
        <w:tabs>
          <w:tab w:leader="none" w:pos="63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reasonable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59" w:lineRule="exact"/>
        <w:rPr>
          <w:rFonts w:ascii="Times New Roman" w:cs="Times New Roman" w:eastAsia="Times New Roman" w:hAnsi="Times New Roman"/>
          <w:sz w:val="20"/>
          <w:szCs w:val="20"/>
          <w:color w:val="auto"/>
        </w:rPr>
      </w:pPr>
    </w:p>
    <w:p>
      <w:pPr>
        <w:jc w:val="both"/>
        <w:ind w:left="634" w:hanging="634"/>
        <w:spacing w:after="0" w:line="261" w:lineRule="auto"/>
        <w:tabs>
          <w:tab w:leader="none" w:pos="6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its right to be indemnified, are extended to, and shall be enforceable by, the Trustee in each of its capacities hereunder (and under the other P1 Financing Documents to which it is a party) and each agent, custodian and other Person employed to act hereunder or thereunder.</w:t>
      </w:r>
    </w:p>
    <w:p>
      <w:pPr>
        <w:spacing w:after="0" w:line="154" w:lineRule="exact"/>
        <w:rPr>
          <w:rFonts w:ascii="Times New Roman" w:cs="Times New Roman" w:eastAsia="Times New Roman" w:hAnsi="Times New Roman"/>
          <w:sz w:val="20"/>
          <w:szCs w:val="20"/>
          <w:color w:val="auto"/>
        </w:rPr>
      </w:pPr>
    </w:p>
    <w:p>
      <w:pPr>
        <w:ind w:left="634" w:right="20" w:hanging="634"/>
        <w:spacing w:after="0" w:line="283" w:lineRule="auto"/>
        <w:tabs>
          <w:tab w:leader="none" w:pos="62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94"/>
          </w:cols>
          <w:pgMar w:left="966" w:top="1413" w:right="339" w:bottom="1440" w:gutter="0" w:footer="0" w:header="0"/>
        </w:sectPr>
      </w:pPr>
    </w:p>
    <w:bookmarkStart w:id="104" w:name="page105"/>
    <w:bookmarkEnd w:id="104"/>
    <w:p>
      <w:pPr>
        <w:ind w:left="1280"/>
        <w:spacing w:after="0" w:line="283" w:lineRule="auto"/>
        <w:rPr>
          <w:sz w:val="20"/>
          <w:szCs w:val="20"/>
          <w:color w:val="auto"/>
        </w:rPr>
      </w:pPr>
      <w:r>
        <w:rPr>
          <w:rFonts w:ascii="Times New Roman" w:cs="Times New Roman" w:eastAsia="Times New Roman" w:hAnsi="Times New Roman"/>
          <w:sz w:val="20"/>
          <w:szCs w:val="20"/>
          <w:color w:val="auto"/>
        </w:rPr>
        <w:t>pursuant to this Indenture, which certificate may be signed by any person authorized to sign an Officer’s Certificate, including any person specified as so authorized in any such certificate previously delivered and not superseded.</w:t>
      </w:r>
    </w:p>
    <w:p>
      <w:pPr>
        <w:spacing w:after="0" w:line="133" w:lineRule="exact"/>
        <w:rPr>
          <w:sz w:val="20"/>
          <w:szCs w:val="20"/>
          <w:color w:val="auto"/>
        </w:rPr>
      </w:pPr>
    </w:p>
    <w:p>
      <w:pPr>
        <w:jc w:val="both"/>
        <w:ind w:left="1280" w:hanging="634"/>
        <w:spacing w:after="0" w:line="261" w:lineRule="auto"/>
        <w:tabs>
          <w:tab w:leader="none" w:pos="127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Indenture notwithstanding, in no event shall the Trustee be liable for special, indirect, punitive, incidental or consequential loss or damage of any kind whatsoever (including loss of profit), even if the Trustee has been advised as to the likelihood of such loss or damage and regardless of the form of action.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Individual Rights of Trustee</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Trustee in its individual or any other capacity may become the owner or pledgee of Notes and may otherwise deal with the Company or any Affiliate of the Company with the same rights it would have if it were not Trustee. Any Agent may do the same with like rights. The Trustee is also subject to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Trustee’s Disclaimer</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Notice of Defaults</w:t>
      </w:r>
    </w:p>
    <w:p>
      <w:pPr>
        <w:spacing w:after="0" w:line="2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If a Default or Event of Default occurs and is continuing and if it is known to the Trustee, the Trustee will mail to Noteholders a notice of the Default or Event of Default within ninety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Noteholders.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Compensation and Indemnity</w:t>
      </w:r>
    </w:p>
    <w:p>
      <w:pPr>
        <w:spacing w:after="0" w:line="202" w:lineRule="exact"/>
        <w:rPr>
          <w:sz w:val="20"/>
          <w:szCs w:val="20"/>
          <w:color w:val="auto"/>
        </w:rPr>
      </w:pPr>
    </w:p>
    <w:p>
      <w:pPr>
        <w:jc w:val="both"/>
        <w:ind w:left="1280" w:hanging="634"/>
        <w:spacing w:after="0" w:line="253" w:lineRule="auto"/>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to the Trustee from time to time compensation for its acceptance of this Indenture and services hereunder in accordance with written arrangements between the Company and the Trustee.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indemnify the Trustee against any and all loss, liability or expense, including taxes (other than taxes based upon, measured by or determined by the income of the Trustee), incurred by it arising out of or in connection with the acceptance or administration of its duties under this Indenture and the P1 Financing Documents, including the costs and expenses of enforcing this Indenture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3" w:right="339" w:bottom="1440" w:gutter="0" w:footer="0" w:header="0"/>
        </w:sectPr>
      </w:pPr>
    </w:p>
    <w:bookmarkStart w:id="105" w:name="page106"/>
    <w:bookmarkEnd w:id="105"/>
    <w:p>
      <w:pPr>
        <w:jc w:val="both"/>
        <w:ind w:left="1280"/>
        <w:spacing w:after="0" w:line="251" w:lineRule="auto"/>
        <w:rPr>
          <w:sz w:val="20"/>
          <w:szCs w:val="20"/>
          <w:color w:val="auto"/>
        </w:rPr>
      </w:pPr>
      <w:r>
        <w:rPr>
          <w:rFonts w:ascii="Times New Roman" w:cs="Times New Roman" w:eastAsia="Times New Roman" w:hAnsi="Times New Roman"/>
          <w:sz w:val="20"/>
          <w:szCs w:val="20"/>
          <w:color w:val="auto"/>
        </w:rPr>
        <w:t xml:space="preserve">(including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and defending itself against any claim (whether asserted by the Company, any Noteholder or any other Person) or liability in connection with the exercise or performance of any of its powers or duties hereunder or thereunder, except to the extent any such loss, liability or expense may be attributable to its negligence or willful misconduct.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need not pay for any settlement made without its consent, which consent will not be unreasonably withheld, conditioned or delayed.</w:t>
      </w:r>
    </w:p>
    <w:p>
      <w:pPr>
        <w:spacing w:after="0" w:line="168" w:lineRule="exact"/>
        <w:rPr>
          <w:sz w:val="20"/>
          <w:szCs w:val="20"/>
          <w:color w:val="auto"/>
        </w:rPr>
      </w:pPr>
    </w:p>
    <w:p>
      <w:pPr>
        <w:ind w:left="1280" w:hanging="634"/>
        <w:spacing w:after="0" w:line="283" w:lineRule="auto"/>
        <w:tabs>
          <w:tab w:leader="none" w:pos="12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to the Trustee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survive the satisfaction and discharge of this Indenture, the termination for any reason of this Indenture and the resignation or removal of the Trustee.</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secure the Company’s payment obligations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Trustee will have a Lien prior to the Notes on all money or property held or collected by the Trustee, except that held in trust to pay principal and interest on particular Notes. Such Lien will survive the satisfaction and discharge of this Indenture, the termination for any reason of this Indenture and the resignation or removal of the Trustee.</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0" w:lineRule="auto"/>
        <w:tabs>
          <w:tab w:leader="none" w:pos="12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xml:space="preserve">) of the Common Terms Agreement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occurs, the expenses and the compensation for the services (including the fees and expenses of its agents and counsel) are intended to constitute expenses of administration under any Debtor Relief Law.</w:t>
      </w:r>
    </w:p>
    <w:p>
      <w:pPr>
        <w:spacing w:after="0" w:line="150"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for purposes of this Section shall include any predecessor Trustee.</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Replacement of Trustee</w:t>
      </w:r>
    </w:p>
    <w:p>
      <w:pPr>
        <w:spacing w:after="0" w:line="202" w:lineRule="exact"/>
        <w:rPr>
          <w:sz w:val="20"/>
          <w:szCs w:val="20"/>
          <w:color w:val="auto"/>
        </w:rPr>
      </w:pPr>
    </w:p>
    <w:p>
      <w:pPr>
        <w:ind w:left="1280" w:hanging="634"/>
        <w:spacing w:after="0" w:line="269" w:lineRule="auto"/>
        <w:tabs>
          <w:tab w:leader="none" w:pos="1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resignation or removal of the Trustee and appointment of a successor Trustee will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Company. The Noteholders of a majority in aggregate principal amount of the then outstanding Notes may remove the Trustee by so notifying the Trustee and the Company in writing. The Company may remove the Trustee if:</w:t>
      </w:r>
    </w:p>
    <w:p>
      <w:pPr>
        <w:spacing w:after="0" w:line="15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fails to comply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916"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Debtor Relief Law;</w:t>
      </w:r>
    </w:p>
    <w:p>
      <w:pPr>
        <w:spacing w:after="0" w:line="13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w:t>
      </w:r>
    </w:p>
    <w:p>
      <w:pPr>
        <w:spacing w:after="0" w:line="20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3" w:right="339" w:bottom="1440" w:gutter="0" w:footer="0" w:header="0"/>
        </w:sectPr>
      </w:pPr>
    </w:p>
    <w:bookmarkStart w:id="106" w:name="page107"/>
    <w:bookmarkEnd w:id="106"/>
    <w:p>
      <w:pPr>
        <w:jc w:val="both"/>
        <w:ind w:left="1920" w:hanging="636"/>
        <w:spacing w:after="0" w:line="253" w:lineRule="auto"/>
        <w:tabs>
          <w:tab w:leader="none" w:pos="1919"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reason and upon receipt of a request from the Company to direct the removal of the Trustee and direct the appointment of a replacement Trustee in accordance with the terms hereof, in which case, (x) the Trustee shall give notice of such request to the Noteholders and (y) unless Noteholders representing more than 25% of the aggregate outstanding principal amount of the Notes object to such request within thirty days, the Trustee shall be removed on the immediately succeeding Business Day after such thirtieth day.</w:t>
      </w:r>
    </w:p>
    <w:p>
      <w:pPr>
        <w:spacing w:after="0" w:line="178"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will promptly appoint a successor Trustee. Within one year after the successor Trustee takes office, the Noteholders of a majority in aggregate principal amount of the then outstanding Notes may appoint a successor Trustee to replace the successor Trustee appointed by the Company.</w:t>
      </w:r>
    </w:p>
    <w:p>
      <w:pPr>
        <w:spacing w:after="0" w:line="173"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sixty days after the retiring Trustee resigns or is removed, the retiring Trustee, the Company, or the Noteholders of at least 10% in aggregate principal amount of the then outstanding Notes may petition any court of competent jurisdiction for the appointment of a successor Trustee.</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after written request by any Noteholder who has been a Noteholder for at least six months, fails to be compliant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such Noteholder may petition any court of competent jurisdiction for the removal of the Trustee and the appointment of a successor Trustee.</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Noteholders. The retiring Trustee will promptly transfer all property held by it as Trustee to the successor Trustee;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sums owing to the Trustee hereunder have been paid and subject to the Lien provided for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Notwithstanding replacement of the Trustee pursuant to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the Company’s obligations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continue for the benefit of the retiring Trustee.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Person, the successor Person without any further act will be the successor Trustee.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Eligibility; Disqualification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There will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$100,000,000 as set forth in its most recent published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107" w:name="page108"/>
    <w:bookmarkEnd w:id="107"/>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Authorization to Enter Into Accession Agreements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Trustee is hereby directed and authorized by the Company and each Noteholder to enter into the Common Terms Accession Agreement and the CIA Accession Confirmation and exercise all the rights and perform all the obligations of a Senior Secured Debt Holder Representative set out in the Common Terms Agreement and the Collateral and Intercreditor Agreement, including making, on behalf of the Noteholders, the agreements expressed to be made by Senior Secured Debt Holders under the P1 Financing Documents (including each reliance letter provided under Section 4.18 of the Note Purchase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Trustee Protective Provisions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Without duplication of any amounts the Trustee is entitled to recover under any indemnification provisions in the P1 Financing Documents, the rights, privileges, protections, indemnities, immunities and benefits provided to the Trustee in this Indenture are in addition to, and are not intended to be in conflict with or limited by, any such provisions in the P1 Financing Documents.</w:t>
      </w:r>
    </w:p>
    <w:p>
      <w:pPr>
        <w:spacing w:after="0" w:line="164" w:lineRule="exact"/>
        <w:rPr>
          <w:sz w:val="20"/>
          <w:szCs w:val="20"/>
          <w:color w:val="auto"/>
        </w:rPr>
      </w:pPr>
    </w:p>
    <w:p>
      <w:pPr>
        <w:ind w:left="640" w:hanging="632"/>
        <w:spacing w:after="0"/>
        <w:tabs>
          <w:tab w:leader="none" w:pos="64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DEFEASANCE AND COVENANT DEFEASANCE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Option to Effect Legal Defeasance or Covenant Defeasance</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may at any time, as evidenced by a resolution duly adopted by the authorized governing body and set forth in an Officer’s Certificate, elect to have either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be 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Legal Defeasance and Discharge</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For this purpose, Legal Defeasance means that the Company will be deemed to have paid and discharged the entire Indebtedness represented by all outstanding Notes, which will thereafter be deemed to be “</w:t>
      </w:r>
      <w:r>
        <w:rPr>
          <w:rFonts w:ascii="Times New Roman" w:cs="Times New Roman" w:eastAsia="Times New Roman" w:hAnsi="Times New Roman"/>
          <w:sz w:val="20"/>
          <w:szCs w:val="20"/>
          <w:b w:val="1"/>
          <w:bCs w:val="1"/>
          <w:color w:val="auto"/>
        </w:rPr>
        <w:t>outstanding</w:t>
      </w:r>
      <w:r>
        <w:rPr>
          <w:rFonts w:ascii="Times New Roman" w:cs="Times New Roman" w:eastAsia="Times New Roman" w:hAnsi="Times New Roman"/>
          <w:sz w:val="20"/>
          <w:szCs w:val="20"/>
          <w:color w:val="auto"/>
        </w:rPr>
        <w:t xml:space="preserve">” only for the purposes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the other Sections of this Indenture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8" w:lineRule="exact"/>
        <w:rPr>
          <w:sz w:val="20"/>
          <w:szCs w:val="20"/>
          <w:color w:val="auto"/>
        </w:rPr>
      </w:pPr>
    </w:p>
    <w:p>
      <w:pPr>
        <w:ind w:left="1280" w:hanging="634"/>
        <w:spacing w:after="0" w:line="283" w:lineRule="auto"/>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Noteholders of outstanding Notes to receive payments in respect of the principal of, or interest or premium, if any, on, such Notes when such payments are due from the trust referred to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obligations with respect to such Notes under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Company’s obligations in connection therewith; and</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3" w:right="339" w:bottom="1440" w:gutter="0" w:footer="0" w:header="0"/>
        </w:sectPr>
      </w:pPr>
    </w:p>
    <w:bookmarkStart w:id="108" w:name="page109"/>
    <w:bookmarkEnd w:id="108"/>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Subject to compliance with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the Company may exercise its option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Covenant Defeasance</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be released from each of its obligations under the covenants contained in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with respect to all outstanding Notes on and after the date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are satisfied (hereinafter, “</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and all outstanding Notes will thereafter be deemed not “outstanding” for the purposes of any direction, waiver, consent or declaration or act of Noteholders (and the consequences of any thereof) in connection with such covenants, but will continue to be deemed “outstanding” for all other purposes hereunder (it being understood that such Notes will not be deemed outstanding for accounting purposes).</w:t>
      </w:r>
    </w:p>
    <w:p>
      <w:pPr>
        <w:spacing w:after="0" w:line="16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For this purpose, Covenant Defeasance means that, with respect to all outstanding Notes,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but, except as specified above, the remainder of this Indenture and such Notes will be unaffected thereby. In addition, 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6.1(h)</w:t>
      </w:r>
      <w:r>
        <w:rPr>
          <w:rFonts w:ascii="Times New Roman" w:cs="Times New Roman" w:eastAsia="Times New Roman" w:hAnsi="Times New Roman"/>
          <w:sz w:val="20"/>
          <w:szCs w:val="20"/>
          <w:color w:val="auto"/>
        </w:rPr>
        <w:t xml:space="preserve"> will not constitute Events of Default.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u w:val="single" w:color="auto"/>
          <w:color w:val="auto"/>
        </w:rPr>
        <w:t>Conditions to Legal or Covenant Defeasance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In order to exercise either Legal Defeasance or Covenant Defeasance under either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80" w:hanging="634"/>
        <w:spacing w:after="0" w:line="274" w:lineRule="auto"/>
        <w:tabs>
          <w:tab w:leader="none" w:pos="128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irrevocably deposit with the Trustee, in trust, for the benefit of the Noteholders,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all outstanding Notes on the Maturity Date or on the applicable redemption date, as the case may be, and the Company must specify whether the Notes are being defeased to the Maturity Date or to a particular redemption date;</w:t>
      </w:r>
    </w:p>
    <w:p>
      <w:pPr>
        <w:spacing w:after="0" w:line="143" w:lineRule="exact"/>
        <w:rPr>
          <w:rFonts w:ascii="Times New Roman" w:cs="Times New Roman" w:eastAsia="Times New Roman" w:hAnsi="Times New Roman"/>
          <w:sz w:val="19"/>
          <w:szCs w:val="19"/>
          <w:color w:val="auto"/>
        </w:rPr>
      </w:pPr>
    </w:p>
    <w:p>
      <w:pPr>
        <w:ind w:left="1280" w:hanging="634"/>
        <w:spacing w:after="0" w:line="269" w:lineRule="auto"/>
        <w:tabs>
          <w:tab w:leader="none" w:pos="12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the Company has delivered to the Trustee an Opinion of Counsel confirming that:</w:t>
      </w:r>
    </w:p>
    <w:p>
      <w:pPr>
        <w:spacing w:after="0" w:line="15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received from, or there has been published by, the Internal Revenue Service a ruling; or</w:t>
      </w:r>
    </w:p>
    <w:p>
      <w:pPr>
        <w:spacing w:after="0" w:line="20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Issue Date, there has been a change in the applicable federal income tax law,</w:t>
      </w:r>
    </w:p>
    <w:p>
      <w:pPr>
        <w:spacing w:after="0" w:line="202" w:lineRule="exact"/>
        <w:rPr>
          <w:sz w:val="20"/>
          <w:szCs w:val="20"/>
          <w:color w:val="auto"/>
        </w:rPr>
      </w:pPr>
    </w:p>
    <w:p>
      <w:pPr>
        <w:ind w:left="1280"/>
        <w:spacing w:after="0" w:line="283"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Noteholders of the outstanding Notes will not recognize income,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109" w:name="page110"/>
    <w:bookmarkEnd w:id="109"/>
    <w:p>
      <w:pPr>
        <w:ind w:left="1280"/>
        <w:spacing w:after="0" w:line="283" w:lineRule="auto"/>
        <w:rPr>
          <w:sz w:val="20"/>
          <w:szCs w:val="20"/>
          <w:color w:val="auto"/>
        </w:rPr>
      </w:pPr>
      <w:r>
        <w:rPr>
          <w:rFonts w:ascii="Times New Roman" w:cs="Times New Roman" w:eastAsia="Times New Roman" w:hAnsi="Times New Roman"/>
          <w:sz w:val="20"/>
          <w:szCs w:val="20"/>
          <w:color w:val="auto"/>
        </w:rPr>
        <w:t>federal income tax purposes as a result of such Legal Defeasance and will be subject to federal income tax on the same amounts, in the same manner and at the same times as would have been the case if such Legal Defeasance had not occurred;</w:t>
      </w:r>
    </w:p>
    <w:p>
      <w:pPr>
        <w:spacing w:after="0" w:line="133" w:lineRule="exact"/>
        <w:rPr>
          <w:sz w:val="20"/>
          <w:szCs w:val="20"/>
          <w:color w:val="auto"/>
        </w:rPr>
      </w:pPr>
    </w:p>
    <w:p>
      <w:pPr>
        <w:jc w:val="both"/>
        <w:ind w:left="1280" w:hanging="634"/>
        <w:spacing w:after="0" w:line="258" w:lineRule="auto"/>
        <w:tabs>
          <w:tab w:leader="none" w:pos="1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Company must deliver to the Trustee an Opinion of Counsel confirming that the Noteholders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deposit (other than a Default or Event of Default resulting from the borrowing of funds to be applied to such deposit and the granting of Liens securing such borrowing) and the deposit will not result in a breach or violation of, or constitute a default under, any other instrument to which the Company is a party or by which the Company is bound;</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54" w:lineRule="exact"/>
        <w:rPr>
          <w:rFonts w:ascii="Times New Roman" w:cs="Times New Roman" w:eastAsia="Times New Roman" w:hAnsi="Times New Roman"/>
          <w:sz w:val="20"/>
          <w:szCs w:val="20"/>
          <w:color w:val="auto"/>
        </w:rPr>
      </w:pPr>
    </w:p>
    <w:p>
      <w:pPr>
        <w:jc w:val="both"/>
        <w:ind w:left="1280" w:right="20" w:hanging="634"/>
        <w:spacing w:after="0" w:line="268" w:lineRule="auto"/>
        <w:tabs>
          <w:tab w:leader="none" w:pos="127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stating that the deposit was not made by the Company with the intent of preferring the Noteholders over the other creditors of the Company with the intent of defeating, hindering, delaying or defrauding creditors of the Company or others;</w:t>
      </w:r>
    </w:p>
    <w:p>
      <w:pPr>
        <w:spacing w:after="0" w:line="147"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and</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7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Opinion of Counsel with respect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may be to the knowledge of such counsel.</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u w:val="single" w:color="auto"/>
          <w:color w:val="auto"/>
        </w:rPr>
        <w:t>Deposited Money and Government Securities to Be Held in Trust; Other Miscellaneous Provisions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Noteholders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will pay and indemnify the Trustee against any tax, fee or other charge imposed on or assessed against the cash or non-callable Government Securities deposited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640"/>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the principal and interest received in respect thereof other than any such tax, fee or other charge which by law is for the account of the Noteholders of the outstanding Notes.</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to the contrary, the Trustee will deliver or pay to the Company from time to time upon the request of the Company any money or non-callable Government Securities held by it as provided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are in excess of the amount thereof that would then be required to be deposited to effect an equivalent Legal Defeasance or Covenant Defeasance.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Repayment to Company</w:t>
      </w:r>
    </w:p>
    <w:p>
      <w:pPr>
        <w:spacing w:after="0" w:line="21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Noteholder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days from the date of such notification or publication, any unclaimed balance of such money then remaining will be repaid to the Company.</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Reinstatement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non-callable Government Securities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makes any payment of principal of, premium, if any, or interest on, any Note following the reinstatement of its obligations, the Company will be subrogated to the rights of the Noteholders of such Notes to receive such payment from the money held by the Trustee or Paying Agent.</w:t>
      </w:r>
    </w:p>
    <w:p>
      <w:pPr>
        <w:spacing w:after="0" w:line="164" w:lineRule="exact"/>
        <w:rPr>
          <w:sz w:val="20"/>
          <w:szCs w:val="20"/>
          <w:color w:val="auto"/>
        </w:rPr>
      </w:pPr>
    </w:p>
    <w:p>
      <w:pPr>
        <w:ind w:left="640" w:hanging="632"/>
        <w:spacing w:after="0"/>
        <w:tabs>
          <w:tab w:leader="none" w:pos="64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SUPPLEMENT AND WAIVER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Without Consent of Noteholders</w:t>
      </w:r>
    </w:p>
    <w:p>
      <w:pPr>
        <w:spacing w:after="0" w:line="202"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Company and the Trustee may amend or supplement the Notes and this Indenture without the consent of any Noteholder:</w:t>
      </w:r>
    </w:p>
    <w:p>
      <w:pPr>
        <w:spacing w:after="0" w:line="159" w:lineRule="exact"/>
        <w:rPr>
          <w:sz w:val="20"/>
          <w:szCs w:val="20"/>
          <w:color w:val="auto"/>
        </w:rPr>
      </w:pPr>
    </w:p>
    <w:p>
      <w:pPr>
        <w:ind w:left="1280" w:hanging="634"/>
        <w:spacing w:after="0"/>
        <w:tabs>
          <w:tab w:leader="none" w:pos="1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3" w:right="339" w:bottom="1440" w:gutter="0" w:footer="0" w:header="0"/>
        </w:sectPr>
      </w:pPr>
    </w:p>
    <w:bookmarkStart w:id="111" w:name="page112"/>
    <w:bookmarkEnd w:id="111"/>
    <w:p>
      <w:pPr>
        <w:ind w:left="1280" w:hanging="634"/>
        <w:spacing w:after="0" w:line="283" w:lineRule="auto"/>
        <w:tabs>
          <w:tab w:leader="none" w:pos="12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Noteholders or that does not adversely affect the legal rights hereunder of any Noteholder;</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a successor Trustee in accordance with the provisions of this Indenture;</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of the Company’s obligations to the Noteholders by a successor to the Company pursuant to Article 5;</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27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Additional Notes either pursuant to this Indenture or pursuant to a Supplemental Indenture, subject to compliance with the provisions of this Indenture; or</w:t>
      </w:r>
    </w:p>
    <w:p>
      <w:pPr>
        <w:spacing w:after="0" w:line="132"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add any additional Guarantors or to evidence or effect the release of any Guarantor from its obligations under its Note Guarantee pursuant to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Upon the request of the Company accompanied by a resolution duly adopted by the authorized governing body authorizing the execution of any such amended or supplemental indenture, and 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With Consent of Noteholders</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Except as provided below in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the Company and the Trustee may amend or supplement this Indenture (including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the Notes with the consent of (a) the Noteholders of a majority in aggregate principal amount of the then outstanding Notes (including Additional Notes, if any) voting as a single class, or (b) if such amendment or supplement applies to less than all series of Notes, the Noteholders of a majority in aggregate principal amount of the then outstanding Notes (including Additional Notes, if any) of all series affected by such amendment or supplement, in each case including consents obtained in connection with a tender offer or exchange offer for, or purchase of, the Notes, and, subject to the Common Terms Agreement, the Collateral and Intercreditor Agreement, and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Noteholders of a majority in aggregate principal amount of the then outstanding Notes (including Additional Notes, if any) voting as a single class (including consents obtained in connection with a tender offer or exchange offer for, or purchase of, the Notes).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determine which Notes are considered to be “outstanding” for purposes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For the avoidance of doubt, the Company may issue Additional Notes either pursuant to this Indenture or pursuant to a Supplemental Indenture, in each case, without the consent of any Noteholder, subject to compliance with the provisions of this Indenture.</w:t>
      </w:r>
    </w:p>
    <w:p>
      <w:pPr>
        <w:spacing w:after="0" w:line="18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Upon the request of the Company accompanied by a resolution duly adopted by the authorized governing body of the Company authorizing the execution of any such amended or supplemental indenture, and upon the filing with the Trustee of evidence satisfactory to the Trustee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consent of the Noteholders as aforesaid, and 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5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It is not necessary for the consent of the Noteholders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to approve the particular form of any proposed amendment, supplement or waiver, but it is sufficient if such consent approves the substance thereof.</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consent given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to this Indenture or any other P1 Financing Document that would not have been or would not be so effected or granted but for such consent (and the consents of all other holders of Notes that were acquired under the same or similar conditions) shall be void and of no force or effect except solely as to such holder and except for the purpose of determining whether the Trustee will be protected in relying on any such consent.</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Promptly after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becomes effective, the Company will mail or cause to be mailed to the Noteholders affected thereby a notice briefly describing the amendment, supplement or waiver and executed or true and correct copies of each amendment, waiver or consent effected. Any failure of the Company to mail such notice, or any defect therein, will not, however, in any way impair or affect the validity of any such amended or supplemental indenture or waiver. Subject to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the Noteholders of a majority in aggregate principal amount of the Notes then outstanding voting as a single class may waive compliance in a particular instance by the Company with any provision of this Indenture or the Notes. However, without the consent of each Noteholder of each series of Notes affected and subject to the provisions of the Collateral and Intercreditor Agreement,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may not (with respect to any Notes held by a non-consenting Noteholder):</w:t>
      </w:r>
    </w:p>
    <w:p>
      <w:pPr>
        <w:spacing w:after="0" w:line="162" w:lineRule="exact"/>
        <w:rPr>
          <w:sz w:val="20"/>
          <w:szCs w:val="20"/>
          <w:color w:val="auto"/>
        </w:rPr>
      </w:pPr>
    </w:p>
    <w:p>
      <w:pPr>
        <w:ind w:left="640" w:hanging="634"/>
        <w:spacing w:after="0"/>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Noteholders must consent to an amendment, supplement or waiver;</w:t>
      </w:r>
    </w:p>
    <w:p>
      <w:pPr>
        <w:spacing w:after="0" w:line="215" w:lineRule="exact"/>
        <w:rPr>
          <w:rFonts w:ascii="Times New Roman" w:cs="Times New Roman" w:eastAsia="Times New Roman" w:hAnsi="Times New Roman"/>
          <w:sz w:val="20"/>
          <w:szCs w:val="20"/>
          <w:color w:val="auto"/>
        </w:rPr>
      </w:pPr>
    </w:p>
    <w:p>
      <w:pPr>
        <w:jc w:val="both"/>
        <w:ind w:left="640" w:hanging="634"/>
        <w:spacing w:after="0" w:line="261" w:lineRule="auto"/>
        <w:tabs>
          <w:tab w:leader="none" w:pos="6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change the fixed maturity of any Note or alter or waive any of the provisions with respect to the redemption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shall not be deemed a redemption of the Notes;</w:t>
      </w:r>
    </w:p>
    <w:p>
      <w:pPr>
        <w:spacing w:after="0" w:line="154" w:lineRule="exact"/>
        <w:rPr>
          <w:rFonts w:ascii="Times New Roman" w:cs="Times New Roman" w:eastAsia="Times New Roman" w:hAnsi="Times New Roman"/>
          <w:sz w:val="20"/>
          <w:szCs w:val="20"/>
          <w:color w:val="auto"/>
        </w:rPr>
      </w:pPr>
    </w:p>
    <w:p>
      <w:pPr>
        <w:ind w:left="640" w:hanging="634"/>
        <w:spacing w:after="0"/>
        <w:tabs>
          <w:tab w:leader="none" w:pos="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including default interest, on any Note;</w:t>
      </w:r>
    </w:p>
    <w:p>
      <w:pPr>
        <w:spacing w:after="0" w:line="202" w:lineRule="exact"/>
        <w:rPr>
          <w:rFonts w:ascii="Times New Roman" w:cs="Times New Roman" w:eastAsia="Times New Roman" w:hAnsi="Times New Roman"/>
          <w:sz w:val="20"/>
          <w:szCs w:val="20"/>
          <w:color w:val="auto"/>
        </w:rPr>
      </w:pPr>
    </w:p>
    <w:p>
      <w:pPr>
        <w:jc w:val="both"/>
        <w:ind w:left="640" w:hanging="634"/>
        <w:spacing w:after="0" w:line="261" w:lineRule="auto"/>
        <w:tabs>
          <w:tab w:leader="none" w:pos="6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or interest or premium, if any, on the Notes (except a rescission of acceleration of the Notes by the Noteholders of a majority in aggregate principal amount of the then outstanding Notes and a waiver of the payment default that resulted from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600"/>
          </w:cols>
          <w:pgMar w:left="960" w:top="1413" w:right="339" w:bottom="1440" w:gutter="0" w:footer="0" w:header="0"/>
        </w:sectPr>
      </w:pPr>
    </w:p>
    <w:bookmarkStart w:id="113" w:name="page114"/>
    <w:bookmarkEnd w:id="113"/>
    <w:p>
      <w:pPr>
        <w:ind w:left="1280" w:hanging="634"/>
        <w:spacing w:after="0"/>
        <w:tabs>
          <w:tab w:leader="none" w:pos="12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7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Noteholders to receive payments of principal of, or interest or premium, if any, on the Notes;</w:t>
      </w:r>
    </w:p>
    <w:p>
      <w:pPr>
        <w:spacing w:after="0" w:line="13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 redemption payment with respect to any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shall not be deemed a redemption of the Notes; or</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and waiver provisions.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Decisions under Other Financing Documents</w:t>
      </w:r>
    </w:p>
    <w:p>
      <w:pPr>
        <w:spacing w:after="0" w:line="202" w:lineRule="exact"/>
        <w:rPr>
          <w:sz w:val="20"/>
          <w:szCs w:val="20"/>
          <w:color w:val="auto"/>
        </w:rPr>
      </w:pPr>
    </w:p>
    <w:p>
      <w:pPr>
        <w:jc w:val="both"/>
        <w:ind w:left="1280" w:hanging="634"/>
        <w:spacing w:after="0" w:line="258" w:lineRule="auto"/>
        <w:tabs>
          <w:tab w:leader="none" w:pos="12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Indenture or the Collateral and Intercreditor Agreement to the contrary, each Noteholder shall be deemed to have consented to, and the Trustee shall be deemed, without the requirement of any vote or consent by the Noteholders and without seeking vote, consent or direction by or from the Noteholders with respect to any of the clauses set forth below, to have voted as follows:</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1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proposed Economic Terms Modification applies only to the Notes, the Trustee shall be deemed to have voted in favor of any such Economic Terms Modification if (A) any such Economic Terms Modification is approved by each Senior Secured Bank Debt Holder Representative (if any) in accordance with the Collateral and Intercreditor Agreement and (B) the Company certifies to the Trustee, as set forth in a certificate of an Authorized Officer of the Company, that such Economic Terms Modification could not reasonably be expected to result in a Material Adverse Effect;</w:t>
      </w:r>
    </w:p>
    <w:p>
      <w:pPr>
        <w:spacing w:after="0" w:line="178" w:lineRule="exact"/>
        <w:rPr>
          <w:rFonts w:ascii="Times New Roman" w:cs="Times New Roman" w:eastAsia="Times New Roman" w:hAnsi="Times New Roman"/>
          <w:sz w:val="20"/>
          <w:szCs w:val="20"/>
          <w:color w:val="auto"/>
        </w:rPr>
      </w:pPr>
    </w:p>
    <w:p>
      <w:pPr>
        <w:jc w:val="both"/>
        <w:ind w:left="1920" w:hanging="636"/>
        <w:spacing w:after="0" w:line="250" w:lineRule="auto"/>
        <w:tabs>
          <w:tab w:leader="none" w:pos="191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be deemed to have cast its vote in favor of any amendment, supplement, or waiver of the provisions of the Collateral and Intercreditor Agreement and P1 Accounts Agreement related to the application of Collateral Proceeds, the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ranking of the Senior Secured Debt, or the priority, deposit, and application of funds in the accounts (in each case prior to an enforcement action) if (A) approved by each Senior Secured Bank Debt Holder Representative (if any) in accordance with the Collateral and Intercreditor Agreement and (B) the Company certifies to the Trustee, as set forth in a certificate of an Authorized Officer of the Company, that such amendment, supplement or waiver does not result in (1) the Notes receiving payments that are less than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Senior Secured Bank Debt (other than due to timing differences in when payments are due on the Notes in accordance with their terms) and (2) does not result in a material adverse change (when considered with all other such amendments, supplements, and waivers) in (i) the priority within Section 3.3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and 3.9 (</w:t>
      </w:r>
      <w:r>
        <w:rPr>
          <w:rFonts w:ascii="Times New Roman" w:cs="Times New Roman" w:eastAsia="Times New Roman" w:hAnsi="Times New Roman"/>
          <w:sz w:val="20"/>
          <w:szCs w:val="20"/>
          <w:i w:val="1"/>
          <w:iCs w:val="1"/>
          <w:color w:val="auto"/>
        </w:rPr>
        <w:t>P1 Proceeds Account</w:t>
      </w:r>
      <w:r>
        <w:rPr>
          <w:rFonts w:ascii="Times New Roman" w:cs="Times New Roman" w:eastAsia="Times New Roman" w:hAnsi="Times New Roman"/>
          <w:sz w:val="20"/>
          <w:szCs w:val="20"/>
          <w:color w:val="auto"/>
        </w:rPr>
        <w:t>) of the P1 Accounts Agreement with respect to any payment of principal, interest, or other amounts payable (whether by prepayment or redemption, upon an offer to purchase, upon acceleration, or otherwise) under the Notes or (ii) the funding of the 2024 Senior Notes DSRA;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1274" w:hanging="636"/>
        <w:spacing w:after="0" w:line="253" w:lineRule="auto"/>
        <w:tabs>
          <w:tab w:leader="none" w:pos="127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to provisions of the Collateral and Intercreditor Agreement or the P1 Accounts Agreement related to the application of proceeds of Replacement Debt to the mandatory prepayment of Senior Secured Debt under the CD Credit Agreement if approved by the Senior Secured Bank Debt Holder Representative under the CD Credit Agreement in accordance with the Collateral and Intercreditor Agreement;</w:t>
      </w:r>
    </w:p>
    <w:p>
      <w:pPr>
        <w:spacing w:after="0" w:line="178" w:lineRule="exact"/>
        <w:rPr>
          <w:rFonts w:ascii="Times New Roman" w:cs="Times New Roman" w:eastAsia="Times New Roman" w:hAnsi="Times New Roman"/>
          <w:sz w:val="20"/>
          <w:szCs w:val="20"/>
          <w:color w:val="auto"/>
        </w:rPr>
      </w:pPr>
    </w:p>
    <w:p>
      <w:pPr>
        <w:jc w:val="both"/>
        <w:ind w:left="1274" w:hanging="636"/>
        <w:spacing w:after="0" w:line="253" w:lineRule="auto"/>
        <w:tabs>
          <w:tab w:leader="none" w:pos="127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of any P1 Collateral Document (other than the Collateral and Intercreditor Agreement) if (A) approved by each Senior Secured Bank Debt Holder Representative (if any) in accordance with the Collateral and Intercreditor Agreement and (B) the Company certifies to the Trustee, as set forth in a certificate of an Authorized Officer of the Company, that such Modification is not materially adverse to the Noteholders; and</w:t>
      </w:r>
    </w:p>
    <w:p>
      <w:pPr>
        <w:spacing w:after="0" w:line="164" w:lineRule="exact"/>
        <w:rPr>
          <w:rFonts w:ascii="Times New Roman" w:cs="Times New Roman" w:eastAsia="Times New Roman" w:hAnsi="Times New Roman"/>
          <w:sz w:val="20"/>
          <w:szCs w:val="20"/>
          <w:color w:val="auto"/>
        </w:rPr>
      </w:pPr>
    </w:p>
    <w:p>
      <w:pPr>
        <w:jc w:val="both"/>
        <w:ind w:left="1274" w:hanging="636"/>
        <w:spacing w:after="0" w:line="253" w:lineRule="auto"/>
        <w:tabs>
          <w:tab w:leader="none" w:pos="127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consented to the release of any Lien on any portion of the Collateral (other than a release of Collateral that comprises all or substantially all of the Collateral) or assets owned by any RG Facility Entity if (A) the Company certifies to the Trustee, as set forth in a certificate of an Authorized Officer of the Company, that such release is reasonable and such Collateral or assets are not reasonably required for the operation of the RG Facility Entity in accordance with the RG Facility Agreement and (B) the Independent Engineer concurs with such certification.</w:t>
      </w:r>
    </w:p>
    <w:p>
      <w:pPr>
        <w:spacing w:after="0" w:line="165" w:lineRule="exact"/>
        <w:rPr>
          <w:rFonts w:ascii="Times New Roman" w:cs="Times New Roman" w:eastAsia="Times New Roman" w:hAnsi="Times New Roman"/>
          <w:sz w:val="20"/>
          <w:szCs w:val="20"/>
          <w:color w:val="auto"/>
        </w:rPr>
      </w:pPr>
    </w:p>
    <w:p>
      <w:pPr>
        <w:jc w:val="both"/>
        <w:ind w:left="634" w:hanging="634"/>
        <w:spacing w:after="0" w:line="253" w:lineRule="auto"/>
        <w:tabs>
          <w:tab w:leader="none" w:pos="6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Trustee shall not vote in favor of amendments of, supplements to, or waivers of the Common Terms Agreement (other than Administrative Decisions) unless it first receives the affirmative vote of Noteholders of a majority of the aggregate outstanding principal amount of the Notes voting as a single class. If the Trustee has not received the affirmative vote of Noteholders of a majority in aggregate principal amount of the then-outstanding Notes voting as a single class on or prior to the date by which it must cast its vote in accordance with the Collateral and Intercreditor Agreement, then the Trustee shall vote against the relevant Modification.</w:t>
      </w:r>
    </w:p>
    <w:p>
      <w:pPr>
        <w:spacing w:after="0" w:line="178" w:lineRule="exact"/>
        <w:rPr>
          <w:rFonts w:ascii="Times New Roman" w:cs="Times New Roman" w:eastAsia="Times New Roman" w:hAnsi="Times New Roman"/>
          <w:sz w:val="18"/>
          <w:szCs w:val="18"/>
          <w:color w:val="auto"/>
        </w:rPr>
      </w:pPr>
    </w:p>
    <w:p>
      <w:pPr>
        <w:jc w:val="both"/>
        <w:ind w:left="634" w:hanging="634"/>
        <w:spacing w:after="0" w:line="253" w:lineRule="auto"/>
        <w:tabs>
          <w:tab w:leader="none" w:pos="6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request from the Company to direct the removal of the P1 Intercreditor Agent or the P1 Collateral Agent and direct the appointment of a replacement P1 Intercreditor Agent or P1 Collateral Agent in accordance with the terms of the Collateral and Intercreditor Agreement, the Trustee shall give notice of such request to the Noteholders. Unless Noteholders representing more than 25% of the aggregate outstanding principal amount of the Notes object to such request within thirty days, the Trustee shall provide such direction on the immediately succeeding Business Day after such thirtieth day.</w:t>
      </w:r>
    </w:p>
    <w:p>
      <w:pPr>
        <w:spacing w:after="0" w:line="165" w:lineRule="exact"/>
        <w:rPr>
          <w:rFonts w:ascii="Times New Roman" w:cs="Times New Roman" w:eastAsia="Times New Roman" w:hAnsi="Times New Roman"/>
          <w:sz w:val="20"/>
          <w:szCs w:val="20"/>
          <w:color w:val="auto"/>
        </w:rPr>
      </w:pPr>
    </w:p>
    <w:p>
      <w:pPr>
        <w:jc w:val="both"/>
        <w:ind w:left="634" w:hanging="634"/>
        <w:spacing w:after="0" w:line="261" w:lineRule="auto"/>
        <w:tabs>
          <w:tab w:leader="none" w:pos="63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the Trustee shall not consent to amendments of, supplements to, or waivers of the P1 Collateral Documents (other than Administrative Decisions) unless it first receives the affirmative vote of a majority of the aggregate outstanding principal amount of the Notes voting as a single class.</w:t>
      </w:r>
    </w:p>
    <w:p>
      <w:pPr>
        <w:spacing w:after="0" w:line="154" w:lineRule="exact"/>
        <w:rPr>
          <w:rFonts w:ascii="Times New Roman" w:cs="Times New Roman" w:eastAsia="Times New Roman" w:hAnsi="Times New Roman"/>
          <w:sz w:val="20"/>
          <w:szCs w:val="20"/>
          <w:color w:val="auto"/>
        </w:rPr>
      </w:pPr>
    </w:p>
    <w:p>
      <w:pPr>
        <w:jc w:val="both"/>
        <w:ind w:left="634" w:hanging="634"/>
        <w:spacing w:after="0" w:line="268" w:lineRule="auto"/>
        <w:tabs>
          <w:tab w:leader="none" w:pos="6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certificate of an Authorized Officer of the Company and without the requirement of any vote or consent by the Noteholders, the Trustee shall consent to any Administrative Decisions pursuant to the Collateral and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94"/>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94"/>
          </w:cols>
          <w:pgMar w:left="966" w:top="1413" w:right="339" w:bottom="1440" w:gutter="0" w:footer="0" w:header="0"/>
        </w:sectPr>
      </w:pPr>
    </w:p>
    <w:bookmarkStart w:id="115" w:name="page116"/>
    <w:bookmarkEnd w:id="115"/>
    <w:p>
      <w:pPr>
        <w:jc w:val="both"/>
        <w:ind w:left="1280" w:hanging="634"/>
        <w:spacing w:after="0" w:line="253" w:lineRule="auto"/>
        <w:tabs>
          <w:tab w:leader="none" w:pos="127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voting in accordance with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the Trustee shall have received a certificate from an Authorized Officer of the Company, which certificate shall set forth (1) the vote or consent the Trustee is directed to make as required by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in connection with any vote required by the Trustee as Senior Secured Debt Holder Representative under the Collateral and Intercreditor Agreement or any other P1 Financing Document and (2) the relevant subsection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pursuant to which such vote is required.</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Noteholder is a continuing consent by the Noteholder of a Note and every subsequent Noteholder or portion of a Note that evidences the same debt as the consenting Noteholder’s Note, even if notation of the consent is not made on any Note. However, any such Noteholder or subsequent Noteholder may revoke the consent as to its Note if the Trustee receives written notice of revocation before the date the amendment, supplement or waiver becomes effective. An amendment, supplement or waiver becomes effective in accordance with its terms and thereafter binds every Noteholder.</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48"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Failure to make the appropriate notation or issue a new Note will not affect the validity and effect of such amendment, supplement or waiver.</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sign any amended or supplemental indenture authorized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In executing any amended or supplemental indenture, the Trustee will be entitled to receive and (subject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will be fully protected in relying upon an Officer’s Certificate and an Opinion of Counsel stating that the execution of such amended or supplemental indenture by the Company is authorized or permitted by this Indenture and that such supplemental indenture is the valid and legally binding obligation of the Company, enforceable against the Company in accordance with its terms, subject to customary exceptions.</w:t>
      </w:r>
    </w:p>
    <w:p>
      <w:pPr>
        <w:spacing w:after="0" w:line="161" w:lineRule="exact"/>
        <w:rPr>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COLLATERAL AND SECURITY</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Senior Secured Debt</w:t>
      </w:r>
    </w:p>
    <w:p>
      <w:pPr>
        <w:spacing w:after="0" w:line="216" w:lineRule="exact"/>
        <w:rPr>
          <w:sz w:val="20"/>
          <w:szCs w:val="20"/>
          <w:color w:val="auto"/>
        </w:rPr>
      </w:pPr>
    </w:p>
    <w:p>
      <w:pPr>
        <w:jc w:val="both"/>
        <w:ind w:left="1280" w:hanging="634"/>
        <w:spacing w:after="0" w:line="261" w:lineRule="auto"/>
        <w:tabs>
          <w:tab w:leader="none" w:pos="12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upon issuance, will be Senior Secured Debt for purposes of the Common Terms Agreement and the Senior Security Documents. The Trustee shall be the Senior Secured Debt Holder Representative for the Notes and a Senior Secured Creditor Representative. The Noteholders shall be Senior Secured Debt Holders.</w:t>
      </w:r>
    </w:p>
    <w:p>
      <w:pPr>
        <w:spacing w:after="0" w:line="150" w:lineRule="exact"/>
        <w:rPr>
          <w:rFonts w:ascii="Times New Roman" w:cs="Times New Roman" w:eastAsia="Times New Roman" w:hAnsi="Times New Roman"/>
          <w:sz w:val="20"/>
          <w:szCs w:val="20"/>
          <w:color w:val="auto"/>
        </w:rPr>
      </w:pPr>
    </w:p>
    <w:p>
      <w:pPr>
        <w:ind w:left="1280" w:hanging="634"/>
        <w:spacing w:after="0" w:line="287" w:lineRule="auto"/>
        <w:tabs>
          <w:tab w:leader="none" w:pos="127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Notes will constitute a Senior Secured Debt Instruments, Senior Secured Debt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Senior Secured Debt, and will be secured by the Collateral equally and ratable with all other Senior 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3" w:right="339" w:bottom="1440" w:gutter="0" w:footer="0" w:header="0"/>
        </w:sectPr>
      </w:pPr>
    </w:p>
    <w:bookmarkStart w:id="116" w:name="page117"/>
    <w:bookmarkEnd w:id="116"/>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Release of Collateral</w:t>
      </w:r>
    </w:p>
    <w:p>
      <w:pPr>
        <w:spacing w:after="0" w:line="202" w:lineRule="exact"/>
        <w:rPr>
          <w:sz w:val="20"/>
          <w:szCs w:val="20"/>
          <w:color w:val="auto"/>
        </w:rPr>
      </w:pPr>
    </w:p>
    <w:p>
      <w:pPr>
        <w:jc w:val="both"/>
        <w:ind w:left="1280" w:hanging="634"/>
        <w:spacing w:after="0" w:line="258" w:lineRule="auto"/>
        <w:tabs>
          <w:tab w:leader="none" w:pos="12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Notes or each series of Notes, the P1 Collateral Agent’s Liens upon Collateral will no longer secure the Senior Secured Obligations with respect to the Notes or that series of Notes and the right of the Holders of such Senior Secured Obligations to the benefits and proceeds of the P1 Collateral Agent’s Liens on Collateral will terminate and be discharged:</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15"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upon satisfaction and discharge of this Indenture as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 upon a Legal Defeasance or Covenant Defeasance with respect to that series of Notes as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(C) upon payment in full of the applicable Notes and all other related Senior Secured Obligations that are outstanding, due and payable under this Indenture at the time the Notes are paid in full; or</w:t>
      </w:r>
    </w:p>
    <w:p>
      <w:pPr>
        <w:spacing w:after="0" w:line="158"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Common Terms Agreement, the Collateral and Intercreditor Agreement and the Senior Security Documents.</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66" w:lineRule="auto"/>
        <w:tabs>
          <w:tab w:leader="none" w:pos="127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Company pursuant to an Officer’s Certificate confirming that all applicable conditions under this Indenture for the release of Collateral have been complied with, the Trustee will, based on such Officer’s Certificate, deliver a certificate to the P1 Collateral Agent instructing the P1 Collateral Agent to release the relevant Liens without the further consent of the Noteholders. No certificate by the Trustee, nor any consent by the Noteholders, shall be required in connection with any sale, transfer or other disposition of Collateral if such sale, transfer or other disposition does not constitute an Asset Sale or is otherwise permitted by the terms of the Common Terms Agreement, the Collateral and Intercreditor Agreement and the Senior Security Documents and such documents do not require delivery of such certificate. If the Collateral is then held by the Trustee, the Trustee shall, execute, deliver or acknowledge any necessary or proper instruments of termination, satisfaction or release prepared by the Company and at the expense of the Company to evidence such release.</w:t>
      </w:r>
    </w:p>
    <w:p>
      <w:pPr>
        <w:spacing w:after="0" w:line="156" w:lineRule="exact"/>
        <w:rPr>
          <w:rFonts w:ascii="Times New Roman" w:cs="Times New Roman" w:eastAsia="Times New Roman" w:hAnsi="Times New Roman"/>
          <w:sz w:val="19"/>
          <w:szCs w:val="19"/>
          <w:color w:val="auto"/>
        </w:rPr>
      </w:pPr>
    </w:p>
    <w:p>
      <w:pPr>
        <w:jc w:val="both"/>
        <w:ind w:left="1280" w:hanging="634"/>
        <w:spacing w:after="0" w:line="258" w:lineRule="auto"/>
        <w:tabs>
          <w:tab w:leader="none" w:pos="12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Collateral from the terms of this Indenture, the Common Terms Agreement, the Collateral and Intercreditor Agreement and the Senior Security Documents shall not be deemed to impair the security under this Indenture in contravention of the provisions hereof if and to the extent the Collateral is released pursuant to the terms of the Common Terms Agreement, the Collateral and Intercreditor Agreement and the Senior Security Documents.</w:t>
      </w:r>
    </w:p>
    <w:p>
      <w:pPr>
        <w:spacing w:after="0" w:line="155" w:lineRule="exact"/>
        <w:rPr>
          <w:sz w:val="20"/>
          <w:szCs w:val="20"/>
          <w:color w:val="auto"/>
        </w:rPr>
      </w:pPr>
    </w:p>
    <w:p>
      <w:pPr>
        <w:ind w:left="620" w:hanging="612"/>
        <w:spacing w:after="0"/>
        <w:tabs>
          <w:tab w:leader="none" w:pos="62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SATISFACTION AND DISCHARGE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Satisfaction and Discharge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when:</w:t>
      </w:r>
    </w:p>
    <w:p>
      <w:pPr>
        <w:spacing w:after="0" w:line="202" w:lineRule="exact"/>
        <w:rPr>
          <w:sz w:val="20"/>
          <w:szCs w:val="20"/>
          <w:color w:val="auto"/>
        </w:rPr>
      </w:pPr>
    </w:p>
    <w:p>
      <w:pPr>
        <w:ind w:left="1280" w:hanging="634"/>
        <w:spacing w:after="0"/>
        <w:tabs>
          <w:tab w:leader="none" w:pos="12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5"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3" w:right="339" w:bottom="1440" w:gutter="0" w:footer="0" w:header="0"/>
        </w:sectPr>
      </w:pPr>
    </w:p>
    <w:bookmarkStart w:id="117" w:name="page118"/>
    <w:bookmarkEnd w:id="117"/>
    <w:p>
      <w:pPr>
        <w:jc w:val="both"/>
        <w:ind w:left="1920" w:hanging="636"/>
        <w:spacing w:after="0" w:line="253" w:lineRule="auto"/>
        <w:tabs>
          <w:tab w:leader="none" w:pos="1916"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not been delivered to the Trustee for cancellation have become due and payable by reason of the mailing of a notice of redemption or otherwise or will become due and payable within one year and the Company has irrevocably deposited or caused to be deposited with the Trustee as trust funds in trust solely for the benefit of the Noteholders,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on the date of such deposit (other than a Default or Event of Default resulting from the borrowing of funds to be applied to such deposit and the granting of Liens securing such borrowing);</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(other than a Default or Event of Default resulting from the borrowing of funds to be applied to such deposit and the granting of Liens securing such borrowing), any material agreement or instrument to which the Company is a party or by which the Company is bound;</w:t>
      </w:r>
    </w:p>
    <w:p>
      <w:pPr>
        <w:spacing w:after="0" w:line="16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sums payable by it under this Indenture; and</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irrevocable instructions to the Trustee under this Indenture to apply the deposited money toward the payment of the Notes at maturity or the redemption date, as the case may be.</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addition, the Company must deliver to the Trustee (1)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and (2)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provided, that the Opinion of Counsel with respect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may be to the knowledge of such counsel.</w:t>
      </w:r>
    </w:p>
    <w:p>
      <w:pPr>
        <w:spacing w:after="0" w:line="16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the satisfaction and discharge of this Indenture, if money has been deposited with the Trustee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xml:space="preserve"> will survive. In addition, nothing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will be deemed to discharge those provisions of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that, by their terms, survive the satisfaction and discharge of this Indenture.</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Application of Trust Money</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deposited with the Trustee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interest and premium, if any, for whose payment such money has been deposited with the Trustee;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has made any payment of principal of, premium, if any, or interest on, any Notes because of the reinstatement of its obligations, the Company shall be subrogated to the rights of the Noteholders of such Notes to receive such payment from the money or Government Securities held by the Trustee or Paying Agent.</w:t>
      </w:r>
    </w:p>
    <w:p>
      <w:pPr>
        <w:spacing w:after="0" w:line="162" w:lineRule="exact"/>
        <w:rPr>
          <w:sz w:val="20"/>
          <w:szCs w:val="20"/>
          <w:color w:val="auto"/>
        </w:rPr>
      </w:pPr>
    </w:p>
    <w:p>
      <w:pPr>
        <w:ind w:left="640" w:hanging="632"/>
        <w:spacing w:after="0"/>
        <w:tabs>
          <w:tab w:leader="none" w:pos="64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Notices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Any notice or communication by the Company or the Trustee to the others is duly given if in writing and delivered in Person or by first class mail (registered or certified, return receipt requested), electronic mail or overnight air courier guaranteeing next day delivery, to the others’ address: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57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56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With a copy to (which copy shall be delivered as an accommodation and shall not be required to be delivered in satisfaction of any requirement hereof):</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Address:</w:t>
        <w:tab/>
        <w:t>811 Main Street</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13"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Jason Webber</w:t>
      </w:r>
    </w:p>
    <w:p>
      <w:pPr>
        <w:spacing w:after="0" w:line="6" w:lineRule="exact"/>
        <w:rPr>
          <w:sz w:val="20"/>
          <w:szCs w:val="20"/>
          <w:color w:val="auto"/>
        </w:rPr>
      </w:pPr>
    </w:p>
    <w:p>
      <w:pPr>
        <w:ind w:left="1280"/>
        <w:spacing w:after="0"/>
        <w:tabs>
          <w:tab w:leader="none" w:pos="2380" w:val="left"/>
        </w:tabs>
        <w:rPr>
          <w:sz w:val="20"/>
          <w:szCs w:val="20"/>
          <w:color w:val="auto"/>
        </w:rPr>
      </w:pPr>
      <w:r>
        <w:rPr>
          <w:rFonts w:ascii="Times New Roman" w:cs="Times New Roman" w:eastAsia="Times New Roman" w:hAnsi="Times New Roman"/>
          <w:sz w:val="20"/>
          <w:szCs w:val="20"/>
          <w:color w:val="auto"/>
        </w:rPr>
        <w:t>Telephone:</w:t>
        <w:tab/>
        <w:t>(212) 906-1214</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16"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1100 North Market Street</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 Amedeo Morreale</w:t>
      </w:r>
    </w:p>
    <w:p>
      <w:pPr>
        <w:spacing w:after="0" w:line="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(561) 724-2258</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or the Trustee, by notice to the others, may designate additional or different addresses for subsequent notices or communications.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3" w:right="339" w:bottom="1440" w:gutter="0" w:footer="0" w:header="0"/>
          <w:type w:val="continuous"/>
        </w:sectPr>
      </w:pPr>
    </w:p>
    <w:bookmarkStart w:id="119" w:name="page120"/>
    <w:bookmarkEnd w:id="11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All notices and communications (other than those sent to Noteholders) will be deemed to have been duly given: at the time delivered by hand, if personally delivered; five Business Days after being deposited in the mail, postage prepaid, if mailed; at the time sent, if transmitted by electronic mail; and the next Business Day after timely delivery to the courier, if sent by overnight air courier guaranteeing next day delivery;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notices and communications to the Trustee shall not be deemed received by the Trustee unless actually received by the Trustee at its address or electronic mail address set forth above.</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notice or communication to a Noteholder may be provided electronically (including through posting on Debtdomain or other web site (collectively,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in use to distribute information to Noteholders), mailed by first class mail, or by certified or registered mail, return receipt requested, or by overnight air courier guaranteeing next day delivery to its address shown on the register kept by the Registrar;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request of any holder to receive paper copies of such notice or communication or to receive them by email, the Company will promptly deliver paper copies or email them, as the case may be, to such holder. Failure to mail or deliver a notice or communication to a Noteholder or any defect in it will not affect its sufficiency with respect to other Noteholders.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Trustee from time to time (including, as of the date hereof, a user ID/password authorization system) and the Approved Electronic Platform is secured through a per-deal authorization method whereby each user may access the Approved Electronic Platform only on a deal-by-deal basis, each of the Noteholders acknowledges and agrees that the distribution of material through an electronic medium is not necessarily secure, that the Trustee is not responsible for approving or vetting the representatives or contacts that are added to the Approved Electronic Platform, and that there may be confidentiality and other risks associated with such distribution. The Company hereby approves distribution of the any notice or communication through the Approved Electronic Platform and understands and assumes the risks of such distribution.</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APPROVED ELECTRONIC PLATFORM AND THE NOTICES OR COMMUNICATIONS ARE PROVIDED “AS IS” AND “AS AVAILABLE”. THE COMPANY AND TRUSTEE DO NOT WARRANT THE ACCURACY OR COMPLETENESS OF THE NOTICES OR COMMUNICATIONS, OR THE ADEQUACY OF THE APPROVED ELECTRONIC PLATFORM AND EXPRESSLY DISCLAIM LIABILITY FOR ERRORS OR OMISSIONS IN THE APPROVED ELECTRONIC PLATFORM AND THE NOTICES AND COMMUNICATIONS. NO WARRANTY OF ANY KIND, EXPRESS, IMPLIED OR STATUTORY, INCLUDING ANY WARRANTY OF MERCHANTABILITY, FITNESS FOR A PARTICULAR PURPOSE, NON-INFRINGEMENT OF THIRD PARTY RIGHTS OR FREEDOM FROM VIRUSES OR OTHER CODE DEFECTS, IS MADE BY THE COMPANY OR TRUSTEE IN CONNECTION WITH THE COMMUNICATIONS OR THE APPROVED ELECTRONIC PLATFORM. IN NO EVENT SHALL THE TRUSTEE HAVE ANY LIABILITY TO ANY NOTEHOLDER OR ANY OTHER PERSON OR ENTITY FOR DAMAGES OF ANY KIND, INCLUDING DIRECT OR INDIRECT, SPECIAL, INCIDENTAL OR CONSEQUENTIAL DAMAGES, LOSSES OR EXPENSES (WHETHER IN TORT, CONTRACT OR OTHERWISE) ARISING OUT OF ANY COMPANY OR TRUSTEE’S TRANSMISSION OF NOTICES OR COMMUNICATIONS THROUGH THE INTERNET OR THE APPROVED ELECTRONIC PLATFORM EXCEPT WITH RESPECT TO ACTUAL AND DIRECT DAMAGES TO THE EXTENT DETERMINED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600"/>
          </w:cols>
          <w:pgMar w:left="960" w:top="1413" w:right="339" w:bottom="1440" w:gutter="0" w:footer="0" w:header="0"/>
        </w:sectPr>
      </w:pPr>
    </w:p>
    <w:bookmarkStart w:id="120" w:name="page121"/>
    <w:bookmarkEnd w:id="120"/>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JURISDICTION BY FINAL AND NON-APPEALABLE JUDGMENT TO HAVE RESULTED FROM THE WILLFUL MISCONDUCT OR GROSS NEGLIGENCE OF THE COMPANY OR TRUSTEE; PROVIDED THAT ANY NOTICES OR COMMUNICATION TO NOTEHOLDER OR, TO THE EXTENT SUCH DISCLOSURE IS OTHERWISE PERMITTED, TO ANY OTHER PERSON THROUGH AN APPROVED ELECTRONIC PLATFORM SHALL BE MADE SUBJECT TO THE ACKNOWLEDGEMENT AND ACCEPTANCE BY SUCH PERSON THAT SUCH COMMUNICATION IS BEING DISSEMINATED OR DISCLOSED ON A CONFIDENTIAL BASIS, WHICH SHALL IN ANY EVENT REQUIRE “CLICK THROUGH” OR OTHER AFFIRMATIVE ACTIONS ON THE PART OF THE RECIPIENT TO ACCESS SUCH COMMUNICATION.</w:t>
      </w:r>
    </w:p>
    <w:p>
      <w:pPr>
        <w:spacing w:after="0" w:line="168"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a notice or communication is mailed or delivered in the manner provided above within the time prescribed, it is duly given, whether or not the addressee receives it.</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the Company mails or delivers a notice or communication to Noteholders, it will send a copy to the Trustee and each Agent at the same time by any of the means described above with respect to notice or communication by the Company.</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33" w:lineRule="exact"/>
        <w:rPr>
          <w:sz w:val="20"/>
          <w:szCs w:val="20"/>
          <w:color w:val="auto"/>
        </w:rPr>
      </w:pPr>
    </w:p>
    <w:p>
      <w:pPr>
        <w:jc w:val="both"/>
        <w:ind w:left="1280" w:hanging="634"/>
        <w:spacing w:after="0" w:line="261" w:lineRule="auto"/>
        <w:tabs>
          <w:tab w:leader="none" w:pos="12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stating that, in the opinion of the signers, all conditions precedent and covenants, if any, provided for in this Indenture relating to the proposed action have been complied with; and</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7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stating that, in the opinion of such counsel, all such conditions precedent and covenants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Opinion of Counsel shall be delivered on the date of this Indenture in connection with the original issuance of the initial Notes.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202" w:lineRule="exact"/>
        <w:rPr>
          <w:sz w:val="20"/>
          <w:szCs w:val="20"/>
          <w:color w:val="auto"/>
        </w:rPr>
      </w:pPr>
    </w:p>
    <w:p>
      <w:pPr>
        <w:ind w:left="1280" w:hanging="634"/>
        <w:spacing w:after="0"/>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6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3" w:right="339" w:bottom="1440" w:gutter="0" w:footer="0" w:header="0"/>
        </w:sectPr>
      </w:pPr>
    </w:p>
    <w:bookmarkStart w:id="121" w:name="page122"/>
    <w:bookmarkEnd w:id="121"/>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Rules by Trustee and Agents</w:t>
      </w:r>
    </w:p>
    <w:p>
      <w:pPr>
        <w:spacing w:after="0" w:line="202"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Noteholders. The Registrar or Paying Agent may make reasonable rules and set reasonable requirements for its functions.</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and Stockholders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Applicable Law, Jurisdiction, etc.</w:t>
      </w:r>
    </w:p>
    <w:p>
      <w:pPr>
        <w:spacing w:after="0" w:line="202" w:lineRule="exact"/>
        <w:rPr>
          <w:sz w:val="20"/>
          <w:szCs w:val="20"/>
          <w:color w:val="auto"/>
        </w:rPr>
      </w:pPr>
    </w:p>
    <w:p>
      <w:pPr>
        <w:jc w:val="both"/>
        <w:ind w:left="1280" w:right="20" w:hanging="634"/>
        <w:spacing w:after="0" w:line="261" w:lineRule="auto"/>
        <w:tabs>
          <w:tab w:leader="none" w:pos="12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INDENTURE, AND THE RIGHTS AND OBLIGATIONS OF THE PARTIES HEREUNDER, SHALL BE GOVERNED BY, AND CONSTRUED IN ACCORDANCE WITH, THE LAW OF THE STATE OF NEW YORK, UNITED STATES OF AMERICA.</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48" w:lineRule="auto"/>
        <w:tabs>
          <w:tab w:leader="none" w:pos="127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xml:space="preserve">. TO THE EXTENT PERMITTED BY APPLICABLE LAW, EACH OF THE COMPANY, THE TRUSTEE, AND EACH NOTEHOLDER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P1 FINANCING DOCUMENT, OR FOR RECOGNITION OR ENFORCEMENT OF ANY JUDGMENT, AND EACH OF THE COMPANY, THE TRUSTEE, AND EACH NOTEHOLDER IRREVOCABLY AND UNCONDITIONALLY AGREES THAT ALL CLAIMS IN RESPECT OF ANY SUCH ACTION OR PROCEEDING MAY BE HEARD AND DETERMINED IN SUCH NEW YORK STATE COURT OR, TO THE FULLEST EXTENT PERMITTED BY LAW, IN SUCH FEDERAL COURT. EACH OF THE COMPANY, THE TRUSTEE, AND EACH NOTEHOLDER HERETO AGREES THAT A FINAL JUDGMENT IN ANY SUCH ACTION OR PROCEEDING SHALL BE CONCLUSIVE AND MAY BE ENFORCED IN OTHER JURISDICTIONS BY SUIT ON THE JUDGMENT OR IN ANY OTHER MANNER PROVIDED BY LAW. NOTHING IN THIS AGREEMENT OR IN ANY OTHER P1 FINANCING DOCUMENT SHALL AFFECT ANY RIGHT THAT ANY PARTY HERETO MAY OTHERWISE HAVE TO BRING ANY ACTION OR PROCEEDING RELATING TO THIS AGREEMENT OR ANY OTHER P1 FINANCING DOCUMENT AGAINST THE COMPANY OR ITS PROPERTIES IN THE COURTS OF ANY JURISDICTION IF APPLICABLE LAW DOES NOT PERMIT A CLAIM, ACTION OR PROCEEDING REFERRED TO IN THE FIRST SENTENCE OF THIS </w:t>
      </w:r>
      <w:r>
        <w:rPr>
          <w:rFonts w:ascii="Times New Roman" w:cs="Times New Roman" w:eastAsia="Times New Roman" w:hAnsi="Times New Roman"/>
          <w:sz w:val="20"/>
          <w:szCs w:val="20"/>
          <w:u w:val="single" w:color="auto"/>
          <w:color w:val="auto"/>
        </w:rPr>
        <w:t>SECTION 12.6(b)</w:t>
      </w:r>
      <w:r>
        <w:rPr>
          <w:rFonts w:ascii="Times New Roman" w:cs="Times New Roman" w:eastAsia="Times New Roman" w:hAnsi="Times New Roman"/>
          <w:sz w:val="20"/>
          <w:szCs w:val="20"/>
          <w:color w:val="auto"/>
        </w:rPr>
        <w:t xml:space="preserve"> TO BE FILED, HEARD OR DETERMINED IN OR BY THE COURTS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13" w:right="339" w:bottom="1440" w:gutter="0" w:footer="0" w:header="0"/>
        </w:sectPr>
      </w:pPr>
    </w:p>
    <w:bookmarkStart w:id="122" w:name="page123"/>
    <w:bookmarkEnd w:id="122"/>
    <w:p>
      <w:pPr>
        <w:jc w:val="both"/>
        <w:ind w:left="1280" w:hanging="634"/>
        <w:spacing w:after="0" w:line="269" w:lineRule="auto"/>
        <w:tabs>
          <w:tab w:leader="none" w:pos="12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COMPANY, THE TRUSTEE, AND EACH NOTEHOLDER IRREVOCABLY AND UNCONDITIONALLY WAIVES, TO THE FULLEST EXTENT PERMITTED BY LAW, ANY OBJECTION THAT IT MAY NOW OR HEREAFTER HAVE TO THE LAYING OF VENUE OF ANY ACTION OR PROCEEDING ARISING OUT OF OR RELATING TO THIS AGREEMENT OR ANY OTHER P1 FINANCING DOCUMENT IN ANY COURT REFERRED TO IN </w:t>
      </w:r>
      <w:r>
        <w:rPr>
          <w:rFonts w:ascii="Times New Roman" w:cs="Times New Roman" w:eastAsia="Times New Roman" w:hAnsi="Times New Roman"/>
          <w:sz w:val="19"/>
          <w:szCs w:val="19"/>
          <w:u w:val="single" w:color="auto"/>
          <w:color w:val="auto"/>
        </w:rPr>
        <w:t>SECTION 12.6(b)</w:t>
      </w:r>
      <w:r>
        <w:rPr>
          <w:rFonts w:ascii="Times New Roman" w:cs="Times New Roman" w:eastAsia="Times New Roman" w:hAnsi="Times New Roman"/>
          <w:sz w:val="19"/>
          <w:szCs w:val="19"/>
          <w:color w:val="auto"/>
        </w:rPr>
        <w:t>. THE COMPANY, THE TRUSTEE, AND EACH NOTEHOLDER HEREBY IRREVOCABLY WAIVES, TO THE FULLEST EXTENT PERMITTED BY APPLICABLE LAW, THE DEFENSE OF AN INCONVENIENT FORUM TO THE MAINTENANCE OF SUCH ACTION OR PROCEEDING IN ANY SUCH COURT.</w:t>
      </w:r>
    </w:p>
    <w:p>
      <w:pPr>
        <w:spacing w:after="0" w:line="148" w:lineRule="exact"/>
        <w:rPr>
          <w:rFonts w:ascii="Times New Roman" w:cs="Times New Roman" w:eastAsia="Times New Roman" w:hAnsi="Times New Roman"/>
          <w:sz w:val="19"/>
          <w:szCs w:val="19"/>
          <w:color w:val="auto"/>
        </w:rPr>
      </w:pPr>
    </w:p>
    <w:p>
      <w:pPr>
        <w:ind w:left="1280" w:hanging="634"/>
        <w:spacing w:after="0" w:line="295" w:lineRule="auto"/>
        <w:tabs>
          <w:tab w:leader="none" w:pos="127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The Company irrevocably consents to the service of any and all process in any such action or proceeding by the mailing of copies of such process to such Person at its then effective notice addresses pursuant to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1280" w:hanging="634"/>
        <w:spacing w:after="0" w:line="249" w:lineRule="auto"/>
        <w:tabs>
          <w:tab w:leader="none" w:pos="12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COMPANY, THE TRUSTEE, AND EACH NOTEHOLDER HEREBY IRREVOCABLY WAIVES, TO THE FULLEST EXTENT PERMITTED BY LAW, ANY RIGHT IT MAY HAVE TO A TRIAL BY JURY IN ANY LEGAL PROCEEDING DIRECTLY OR INDIRECTLY ARISING OUT OF OR RELATING TO THIS INDENTURE, ANY OTHER P1 FINANCING DOCUMENT OR THE TRANSACTIONS CONTEMPLATED HEREBY OR THEREBY (WHETHER BASED ON CONTRACT, TORT OR ANY OTHER THEORY). EACH OF THE COMPANY AND THE TRUSTEE (i) CERTIFIES THAT NO REPRESENTATIVE, AGENT OR ATTORNEY OF ANY OTHER PERSON HAS REPRESENTED TO IT, EXPRESSLY OR OTHERWISE, THAT SUCH OTHER PERSON WOULD NOT, IN THE EVENT OF LITIGATION, SEEK TO ENFORCE THE FOREGOING WAIVER AND (ii)</w:t>
      </w:r>
    </w:p>
    <w:p>
      <w:pPr>
        <w:spacing w:after="0" w:line="3" w:lineRule="exact"/>
        <w:rPr>
          <w:rFonts w:ascii="Times New Roman" w:cs="Times New Roman" w:eastAsia="Times New Roman" w:hAnsi="Times New Roman"/>
          <w:sz w:val="20"/>
          <w:szCs w:val="20"/>
          <w:color w:val="auto"/>
        </w:rPr>
      </w:pPr>
    </w:p>
    <w:p>
      <w:pPr>
        <w:jc w:val="both"/>
        <w:ind w:left="128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P1 FINANCING DOCUMENTS BY, AMONG OTHER THINGS, THE MUTUAL WAIVERS AND CERTIFICATIONS IN THIS </w:t>
      </w:r>
      <w:r>
        <w:rPr>
          <w:rFonts w:ascii="Times New Roman" w:cs="Times New Roman" w:eastAsia="Times New Roman" w:hAnsi="Times New Roman"/>
          <w:sz w:val="20"/>
          <w:szCs w:val="20"/>
          <w:u w:val="single" w:color="auto"/>
          <w:color w:val="auto"/>
        </w:rPr>
        <w:t>SECTION 12.6(e)</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of any other Person.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expressly set forth herein, no such other indenture, loan or debt agreement may be used to interpret this Indenture.</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u w:val="single" w:color="auto"/>
          <w:color w:val="auto"/>
        </w:rPr>
        <w:t>Successors</w:t>
      </w:r>
    </w:p>
    <w:p>
      <w:pPr>
        <w:spacing w:after="0" w:line="202"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All agreements of the Company in this Indenture and the Notes will bind its successors. All agreements of the Trustee in this Indenture will bind its successors.</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202"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20"/>
          <w:szCs w:val="20"/>
          <w:color w:val="auto"/>
        </w:rPr>
        <w:t>In case any provision in this Indenture or in the Notes is invalid, illegal or unenforceable, the validity, legality and enforceability of the remaining provisions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13" w:right="339" w:bottom="1440" w:gutter="0" w:footer="0" w:header="0"/>
        </w:sectPr>
      </w:pPr>
    </w:p>
    <w:bookmarkStart w:id="123" w:name="page124"/>
    <w:bookmarkEnd w:id="123"/>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Counterpart Originals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Parties may sign any number of copies of this Indenture. Each signed copy will be an original, but all of them together represent the same agreement. The exchange of copies of this Indenture and of signature pages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transmission shall constitute effective execution and delivery of this Indenture as to the Parties hereto and may be used in lieu of the original Indenture for all purposes. Signatures of the Parties hereto transmitted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shall be deemed to be their original signatures for all purposes.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u w:val="single" w:color="auto"/>
          <w:color w:val="auto"/>
        </w:rPr>
        <w:t>Trustee’s Receipt of Funds to the Extent not Required to be Applied to Payment of the Notes</w:t>
      </w:r>
    </w:p>
    <w:p>
      <w:pPr>
        <w:spacing w:after="0" w:line="202" w:lineRule="exact"/>
        <w:rPr>
          <w:sz w:val="20"/>
          <w:szCs w:val="20"/>
          <w:color w:val="auto"/>
        </w:rPr>
      </w:pPr>
    </w:p>
    <w:p>
      <w:pPr>
        <w:jc w:val="both"/>
        <w:ind w:left="640" w:right="20"/>
        <w:spacing w:after="0" w:line="281" w:lineRule="auto"/>
        <w:rPr>
          <w:sz w:val="20"/>
          <w:szCs w:val="20"/>
          <w:color w:val="auto"/>
        </w:rPr>
      </w:pPr>
      <w:r>
        <w:rPr>
          <w:rFonts w:ascii="Times New Roman" w:cs="Times New Roman" w:eastAsia="Times New Roman" w:hAnsi="Times New Roman"/>
          <w:sz w:val="19"/>
          <w:szCs w:val="19"/>
          <w:color w:val="auto"/>
        </w:rPr>
        <w:t>To the extent the Trustee receives any money from the Company or pursuant to any of the P1 Financing Documents, and such money is not required to be used to redeem or repay the Notes as set forth in the certificate of an Authorized Officer of the Company, such moneys shall be deposited into the P1 Accounts under the P1 Accounts Agreement as specified by the Company in such certificate.</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p>
    <w:p>
      <w:pPr>
        <w:spacing w:after="0" w:line="202"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on following pag</w:t>
      </w:r>
      <w:r>
        <w:rPr>
          <w:rFonts w:ascii="Times New Roman" w:cs="Times New Roman" w:eastAsia="Times New Roman" w:hAnsi="Times New Roman"/>
          <w:sz w:val="20"/>
          <w:szCs w:val="20"/>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124" w:name="page125"/>
    <w:bookmarkEnd w:id="124"/>
    <w:p>
      <w:pPr>
        <w:ind w:left="38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RIO GRANDE LNG, LLC</w:t>
      </w: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Schatzman</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Matthew Schatzman</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80" w:lineRule="exact"/>
        <w:rPr>
          <w:sz w:val="20"/>
          <w:szCs w:val="20"/>
          <w:color w:val="auto"/>
        </w:rPr>
      </w:pPr>
    </w:p>
    <w:p>
      <w:pPr>
        <w:ind w:left="3040" w:right="1259"/>
        <w:spacing w:after="0" w:line="273" w:lineRule="auto"/>
        <w:rPr>
          <w:sz w:val="20"/>
          <w:szCs w:val="20"/>
          <w:color w:val="auto"/>
        </w:rPr>
      </w:pPr>
      <w:r>
        <w:rPr>
          <w:rFonts w:ascii="Times New Roman" w:cs="Times New Roman" w:eastAsia="Times New Roman" w:hAnsi="Times New Roman"/>
          <w:sz w:val="20"/>
          <w:szCs w:val="20"/>
          <w:b w:val="1"/>
          <w:bCs w:val="1"/>
          <w:color w:val="auto"/>
        </w:rPr>
        <w:t>WILMINGTON TRUST,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Amedeo Morreale</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9" w:right="1440" w:bottom="1440" w:gutter="0" w:footer="0" w:header="0"/>
        </w:sectPr>
      </w:pPr>
    </w:p>
    <w:bookmarkStart w:id="125" w:name="page126"/>
    <w:bookmarkEnd w:id="125"/>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PAYMENT SCHEDULE</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218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4540" w:type="dxa"/>
            <w:vAlign w:val="bottom"/>
            <w:tcBorders>
              <w:top w:val="single" w:sz="8" w:color="auto"/>
              <w:bottom w:val="single" w:sz="8" w:color="D9D9D9"/>
              <w:right w:val="single" w:sz="8" w:color="auto"/>
            </w:tcBorders>
            <w:shd w:val="clear" w:color="auto" w:fill="D9D9D9"/>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Principal Repayment (US$ Amount)</w:t>
            </w:r>
          </w:p>
        </w:tc>
        <w:tc>
          <w:tcPr>
            <w:tcW w:w="4540" w:type="dxa"/>
            <w:vAlign w:val="bottom"/>
            <w:tcBorders>
              <w:top w:val="single" w:sz="8" w:color="auto"/>
              <w:bottom w:val="single" w:sz="8" w:color="D9D9D9"/>
              <w:right w:val="single" w:sz="8" w:color="auto"/>
            </w:tcBorders>
            <w:shd w:val="clear" w:color="auto" w:fill="D9D9D9"/>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Outstanding Principal (US$ Amount)</w:t>
            </w:r>
          </w:p>
        </w:tc>
      </w:tr>
      <w:tr>
        <w:trPr>
          <w:trHeight w:val="250"/>
        </w:trPr>
        <w:tc>
          <w:tcPr>
            <w:tcW w:w="2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30-Sep-29</w:t>
            </w:r>
          </w:p>
        </w:tc>
        <w:tc>
          <w:tcPr>
            <w:tcW w:w="45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20,733,047.00</w:t>
            </w:r>
          </w:p>
        </w:tc>
        <w:tc>
          <w:tcPr>
            <w:tcW w:w="45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1,094,266,953.00</w:t>
            </w: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19,617,399.00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1,074,649,554.00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314"/>
        </w:trPr>
        <w:tc>
          <w:tcPr>
            <w:tcW w:w="2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30-Sep-30</w:t>
            </w:r>
          </w:p>
        </w:tc>
        <w:tc>
          <w:tcPr>
            <w:tcW w:w="4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21,391,941.00</w:t>
            </w:r>
          </w:p>
        </w:tc>
        <w:tc>
          <w:tcPr>
            <w:tcW w:w="4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1,053,257,613.00</w:t>
            </w:r>
          </w:p>
        </w:tc>
      </w:tr>
      <w:tr>
        <w:trPr>
          <w:trHeight w:val="318"/>
        </w:trPr>
        <w:tc>
          <w:tcPr>
            <w:tcW w:w="2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30-Mar-31</w:t>
            </w:r>
          </w:p>
        </w:tc>
        <w:tc>
          <w:tcPr>
            <w:tcW w:w="4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20,896,024.00</w:t>
            </w:r>
          </w:p>
        </w:tc>
        <w:tc>
          <w:tcPr>
            <w:tcW w:w="4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1,032,361,589.00</w:t>
            </w:r>
          </w:p>
        </w:tc>
      </w:tr>
      <w:tr>
        <w:trPr>
          <w:trHeight w:val="273"/>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22,372,244.00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1,009,989,345.00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22,198,828.00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987,790,517.00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23,021,494.00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964,769,023.00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23,873,563.00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940,895,460.00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25,635,796.00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915,259,664.00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25,475,125.00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889,784,539.00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27,453,015.00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862,331,524.00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27,237,211.00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835,094,313.00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28,713,955.00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806,380,358.00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28,441,669.00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777,938,689.00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30,226,384.00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747,712,305.00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30,033,929.00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717,678,376.00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30,897,778.00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686,780,598.00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30-Mar-38</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31,692,507.00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655,088,091.00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30-Sep-38</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33,969,177.00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621,118,941.00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30-Mar-39</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33,774,549.00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587,344,365.00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30-Sep-39</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35,564,293.00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551,780,072.00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35,002,062.00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516,778,010.00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37,172,350.00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479,605,660.00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36,681,314.00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442,924,346.00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39,296,647.00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403,627,699.00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38,732,750.00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364,894,949.00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40,250,647.00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324,644,302.00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40,352,192.00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284,292,110.00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38,117,354.00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246,174,756.00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31,425,933.00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214,748,823.00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31,480,155.00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183,268,668.00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30,124,053.00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153,144,615.00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32,351,330.00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120,793,285.00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31,182,157.00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89,611,128.00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33,800,843.00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55,810,285.00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30-Mar-47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32,190,063.00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23,620,222.00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30-Sep-47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23,620,222.00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999" w:orient="portrait"/>
          <w:cols w:equalWidth="0" w:num="1">
            <w:col w:w="11260"/>
          </w:cols>
          <w:pgMar w:left="320" w:top="140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A 1</w:t>
      </w:r>
    </w:p>
    <w:p>
      <w:pPr>
        <w:sectPr>
          <w:pgSz w:w="11900" w:h="16999" w:orient="portrait"/>
          <w:cols w:equalWidth="0" w:num="1">
            <w:col w:w="11260"/>
          </w:cols>
          <w:pgMar w:left="320" w:top="1409" w:right="319" w:bottom="0" w:gutter="0" w:footer="0" w:header="0"/>
          <w:type w:val="continuous"/>
        </w:sectPr>
      </w:pPr>
    </w:p>
    <w:bookmarkStart w:id="126" w:name="page127"/>
    <w:bookmarkEnd w:id="1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0"/>
          <w:szCs w:val="20"/>
          <w:color w:val="auto"/>
        </w:rPr>
        <w:t>The Payment Schedule shall be appropriately adjusted (whereby the amounts set forth in the column headed “Principal Repayment” (the “</w:t>
      </w:r>
      <w:r>
        <w:rPr>
          <w:rFonts w:ascii="Times New Roman" w:cs="Times New Roman" w:eastAsia="Times New Roman" w:hAnsi="Times New Roman"/>
          <w:sz w:val="20"/>
          <w:szCs w:val="20"/>
          <w:b w:val="1"/>
          <w:bCs w:val="1"/>
          <w:color w:val="auto"/>
        </w:rPr>
        <w:t>Principal Repayment amounts</w:t>
      </w:r>
      <w:r>
        <w:rPr>
          <w:rFonts w:ascii="Times New Roman" w:cs="Times New Roman" w:eastAsia="Times New Roman" w:hAnsi="Times New Roman"/>
          <w:sz w:val="20"/>
          <w:szCs w:val="20"/>
          <w:color w:val="auto"/>
        </w:rPr>
        <w:t xml:space="preserve">”) are decreased in the manner set forth below and the amounts set forth in the column headed “Outstanding Principal” are correspondingly adjusted) in any circumstance in which (i) the Company elects or is required to make an Applicable Prepayment (as defined in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of the Indenture) and (ii) less than all outstanding Notes are redeemed, repurchased, repaid (prior to the Maturity Date) or prepaid by the Company.</w:t>
      </w:r>
    </w:p>
    <w:p>
      <w:pPr>
        <w:spacing w:after="0" w:line="215" w:lineRule="exact"/>
        <w:rPr>
          <w:sz w:val="20"/>
          <w:szCs w:val="20"/>
          <w:color w:val="auto"/>
        </w:rPr>
      </w:pPr>
    </w:p>
    <w:p>
      <w:pPr>
        <w:jc w:val="both"/>
        <w:ind w:firstLine="8"/>
        <w:spacing w:after="0" w:line="254" w:lineRule="auto"/>
        <w:tabs>
          <w:tab w:leader="none" w:pos="19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 Redemption</w:t>
      </w:r>
      <w:r>
        <w:rPr>
          <w:rFonts w:ascii="Times New Roman" w:cs="Times New Roman" w:eastAsia="Times New Roman" w:hAnsi="Times New Roman"/>
          <w:sz w:val="20"/>
          <w:szCs w:val="20"/>
          <w:color w:val="auto"/>
        </w:rPr>
        <w:t>. In the case of any optional redemption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Indenture, the aggregate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Notes redeemed shall be applied against subsequent Principal Repayment amounts in the Payment Schedule, in inverse order of maturity,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against all remaining Principal Repayment amounts in the Payment Schedule, or in direct order of maturity, at the Company’s sole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discretion, as set forth in the adjusted Payment Schedule attached to the Officer’s Certificate delivered to the Trustee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2.1(c)</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8"/>
        <w:spacing w:after="0" w:line="263" w:lineRule="auto"/>
        <w:tabs>
          <w:tab w:leader="none" w:pos="19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Loss Proceeds Offer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Asset Sale Offer</w:t>
      </w:r>
      <w:r>
        <w:rPr>
          <w:rFonts w:ascii="Times New Roman" w:cs="Times New Roman" w:eastAsia="Times New Roman" w:hAnsi="Times New Roman"/>
          <w:sz w:val="20"/>
          <w:szCs w:val="20"/>
          <w:color w:val="auto"/>
        </w:rPr>
        <w:t>, or a</w:t>
      </w:r>
      <w:r>
        <w:rPr>
          <w:rFonts w:ascii="Times New Roman" w:cs="Times New Roman" w:eastAsia="Times New Roman" w:hAnsi="Times New Roman"/>
          <w:sz w:val="20"/>
          <w:szCs w:val="20"/>
          <w:b w:val="1"/>
          <w:bCs w:val="1"/>
          <w:color w:val="auto"/>
        </w:rPr>
        <w:t xml:space="preserve"> PLD Proceeds Offer</w:t>
      </w:r>
      <w:r>
        <w:rPr>
          <w:rFonts w:ascii="Times New Roman" w:cs="Times New Roman" w:eastAsia="Times New Roman" w:hAnsi="Times New Roman"/>
          <w:sz w:val="20"/>
          <w:szCs w:val="20"/>
          <w:color w:val="auto"/>
        </w:rPr>
        <w:t>. In the case of any offer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of the Indenture, the aggregate principal amount of all Notes repurchased shall be applied against subsequent Principal Repayment amounts in the Payment Schedule, as follows:</w:t>
      </w:r>
    </w:p>
    <w:p>
      <w:pPr>
        <w:spacing w:after="0" w:line="20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2.1. in inverse order of maturity of the Principal Repayment amounts in the Payment Schedule, in the case of any Loss Proceeds Offer or Asset Sale Offer; and</w:t>
      </w:r>
    </w:p>
    <w:p>
      <w:pPr>
        <w:spacing w:after="0" w:line="196" w:lineRule="exact"/>
        <w:rPr>
          <w:sz w:val="20"/>
          <w:szCs w:val="20"/>
          <w:color w:val="auto"/>
        </w:rPr>
      </w:pPr>
    </w:p>
    <w:p>
      <w:pPr>
        <w:ind w:left="660"/>
        <w:spacing w:after="0" w:line="287"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against all remaining Principal Repayment amounts in the Payment Schedule, in the case of any LNG SPA Termination Offer or PLD Proceeds Offer.</w:t>
      </w:r>
    </w:p>
    <w:p>
      <w:pPr>
        <w:spacing w:after="0" w:line="165" w:lineRule="exact"/>
        <w:rPr>
          <w:sz w:val="20"/>
          <w:szCs w:val="20"/>
          <w:color w:val="auto"/>
        </w:rPr>
      </w:pPr>
    </w:p>
    <w:p>
      <w:pPr>
        <w:jc w:val="both"/>
        <w:ind w:firstLine="8"/>
        <w:spacing w:after="0" w:line="263" w:lineRule="auto"/>
        <w:tabs>
          <w:tab w:leader="none" w:pos="22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of Control Triggering Event</w:t>
      </w:r>
      <w:r>
        <w:rPr>
          <w:rFonts w:ascii="Times New Roman" w:cs="Times New Roman" w:eastAsia="Times New Roman" w:hAnsi="Times New Roman"/>
          <w:sz w:val="20"/>
          <w:szCs w:val="20"/>
          <w:color w:val="auto"/>
        </w:rPr>
        <w:t>. In the case of any offer to purchase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Indenture, the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principal amount of all Notes repurchased shall be applied against subsequent Principal Repayment amounts in the Payment Schedule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against all remaining Principal Repayment amounts in the Payment Schedule.</w:t>
      </w:r>
    </w:p>
    <w:p>
      <w:pPr>
        <w:spacing w:after="0" w:line="202" w:lineRule="exact"/>
        <w:rPr>
          <w:rFonts w:ascii="Times New Roman" w:cs="Times New Roman" w:eastAsia="Times New Roman" w:hAnsi="Times New Roman"/>
          <w:sz w:val="20"/>
          <w:szCs w:val="20"/>
          <w:color w:val="auto"/>
        </w:rPr>
      </w:pPr>
    </w:p>
    <w:p>
      <w:pPr>
        <w:jc w:val="both"/>
        <w:ind w:firstLine="8"/>
        <w:spacing w:after="0" w:line="263" w:lineRule="auto"/>
        <w:tabs>
          <w:tab w:leader="none" w:pos="1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Payment Schedule To Notes Not Subject to any Applicable Prepayment</w:t>
      </w:r>
      <w:r>
        <w:rPr>
          <w:rFonts w:ascii="Times New Roman" w:cs="Times New Roman" w:eastAsia="Times New Roman" w:hAnsi="Times New Roman"/>
          <w:sz w:val="20"/>
          <w:szCs w:val="20"/>
          <w:color w:val="auto"/>
        </w:rPr>
        <w:t>. Notwithstanding any provision in this Annex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to the contrary, any adjustment of the Payment Schedule for Principal Repayments shall not affect, in any way, the amount of any principal or interest payments required to be made under:</w:t>
      </w:r>
    </w:p>
    <w:p>
      <w:pPr>
        <w:spacing w:after="0" w:line="20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4.1. any outstanding Note that is not subject to the Applicable Prepayment (including as a result of any election by the Holder not to accept any offer to purchase or any failure of any Note held by any Holder to be selected for optional redemption), except solely to the extent that any reduction in the amounts set forth in the column headed “Outstanding Principal” (as a result of any Applicable Prepayments of other Notes resulting in adjustments and reductions of the amounts set forth in the column headed “Principal Repayment”) affects the amounts payable under the express terms of any Note; or</w:t>
      </w: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4.2. any Note that (x) is subject to the Applicable Prepayment and (y) is fully redeemed, repurchased, repaid (prior to the Maturity Date) or prepaid by the Company (as to principal, interest, premium, make-whole payment or other amount), in each case, in accordance with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8"/>
        <w:spacing w:after="0" w:line="263" w:lineRule="auto"/>
        <w:tabs>
          <w:tab w:leader="none" w:pos="21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Note Purchases</w:t>
      </w:r>
      <w:r>
        <w:rPr>
          <w:rFonts w:ascii="Times New Roman" w:cs="Times New Roman" w:eastAsia="Times New Roman" w:hAnsi="Times New Roman"/>
          <w:sz w:val="20"/>
          <w:szCs w:val="20"/>
          <w:color w:val="auto"/>
        </w:rPr>
        <w:t>. If the Company at any time or from time to time purchases Notes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Indenture and any such Notes cease to be outstanding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of the Indenture, the Payment Schedule will be appropriately adjusted in the same manner as set forth in the foregoing paragraph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ectPr>
          <w:pgSz w:w="11900" w:h="16838" w:orient="portrait"/>
          <w:cols w:equalWidth="0" w:num="1">
            <w:col w:w="11240"/>
          </w:cols>
          <w:pgMar w:left="320" w:top="1409" w:right="339" w:bottom="1440"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PPN: 76711* AD2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6.580% Senior Secured Notes due 2047</w:t>
      </w:r>
    </w:p>
    <w:p>
      <w:pPr>
        <w:sectPr>
          <w:pgSz w:w="11900" w:h="16838" w:orient="portrait"/>
          <w:cols w:equalWidth="0" w:num="1">
            <w:col w:w="11240"/>
          </w:cols>
          <w:pgMar w:left="320" w:top="1409"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95" w:lineRule="exact"/>
        <w:rPr>
          <w:sz w:val="20"/>
          <w:szCs w:val="20"/>
          <w:color w:val="auto"/>
        </w:rPr>
      </w:pPr>
    </w:p>
    <w:p>
      <w:pPr>
        <w:sectPr>
          <w:pgSz w:w="11900" w:h="16838" w:orient="portrait"/>
          <w:cols w:equalWidth="0" w:num="2">
            <w:col w:w="9500" w:space="720"/>
            <w:col w:w="1020"/>
          </w:cols>
          <w:pgMar w:left="320" w:top="140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409"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in</w:t>
      </w:r>
    </w:p>
    <w:p>
      <w:pPr>
        <w:spacing w:after="0" w:line="241" w:lineRule="exact"/>
        <w:rPr>
          <w:sz w:val="20"/>
          <w:szCs w:val="20"/>
          <w:color w:val="auto"/>
        </w:rPr>
      </w:pPr>
    </w:p>
    <w:p>
      <w:pPr>
        <w:jc w:val="both"/>
        <w:spacing w:after="0" w:line="479" w:lineRule="auto"/>
        <w:rPr>
          <w:sz w:val="20"/>
          <w:szCs w:val="20"/>
          <w:color w:val="auto"/>
        </w:rPr>
      </w:pPr>
      <w:r>
        <w:rPr>
          <w:rFonts w:ascii="Times New Roman" w:cs="Times New Roman" w:eastAsia="Times New Roman" w:hAnsi="Times New Roman"/>
          <w:sz w:val="20"/>
          <w:szCs w:val="20"/>
          <w:color w:val="auto"/>
        </w:rPr>
        <w:t xml:space="preserve">the amounts and on each of the dates set forth in the Payment Schedule provided under Annex A of the Indenture, with each such principal payment equal in amount to the </w:t>
      </w:r>
      <w:r>
        <w:rPr>
          <w:rFonts w:ascii="Times New Roman" w:cs="Times New Roman" w:eastAsia="Times New Roman" w:hAnsi="Times New Roman"/>
          <w:sz w:val="20"/>
          <w:szCs w:val="20"/>
          <w:i w:val="1"/>
          <w:iCs w:val="1"/>
          <w:color w:val="auto"/>
        </w:rPr>
        <w:t>product of</w:t>
      </w:r>
      <w:r>
        <w:rPr>
          <w:rFonts w:ascii="Times New Roman" w:cs="Times New Roman" w:eastAsia="Times New Roman" w:hAnsi="Times New Roman"/>
          <w:sz w:val="20"/>
          <w:szCs w:val="20"/>
          <w:color w:val="auto"/>
        </w:rPr>
        <w:t xml:space="preserve"> (x) the amount set forth in the column headed “Principal Repayment” set forth in the Payment Schedule for any such date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(y) a fraction, the numerator of which is the aggregate unpaid principal amount outstanding under this Note as of such date and the denominator of which is the amount shown in the column headed “Outstanding Principal” set forth in the Payment Schedule for any such date, in each case, after giving effect to any adjustment of the Payment Schedule made in accordance with the Indenture and Annex A. Accrued and unpaid interest on the outstanding principal amount of this Note shall be payable at the rate(s)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and otherwise as set forth in the reverse of this Note.</w:t>
      </w:r>
    </w:p>
    <w:p>
      <w:pPr>
        <w:spacing w:after="0"/>
        <w:rPr>
          <w:sz w:val="20"/>
          <w:szCs w:val="20"/>
          <w:color w:val="auto"/>
        </w:rPr>
      </w:pPr>
      <w:r>
        <w:rPr>
          <w:rFonts w:ascii="Times New Roman" w:cs="Times New Roman" w:eastAsia="Times New Roman" w:hAnsi="Times New Roman"/>
          <w:sz w:val="20"/>
          <w:szCs w:val="20"/>
          <w:color w:val="auto"/>
        </w:rPr>
        <w:t>Interest Payment Dates: March 30 and September 30, commencing September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March 15 and September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9" w:right="339" w:bottom="1440" w:gutter="0" w:footer="0" w:header="0"/>
          <w:type w:val="continuous"/>
        </w:sectPr>
      </w:pPr>
    </w:p>
    <w:bookmarkStart w:id="131" w:name="page132"/>
    <w:bookmarkEnd w:id="131"/>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139"/>
          </w:cols>
          <w:pgMar w:left="320" w:top="1440"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6.580% Senior Secured Notes due 2047</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CONSENT OF THE COMPANY (TO THE EXTENT SET FORTH IN THE INDENTURE) AND THE RESTRICTIONS CONTAINED IN SECTIONS 2.3 AND 2.6 OF THE INDENTURE AMONG THE PARTIES THERETO.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98" w:lineRule="exact"/>
        <w:rPr>
          <w:sz w:val="20"/>
          <w:szCs w:val="20"/>
          <w:color w:val="auto"/>
        </w:rPr>
      </w:pPr>
    </w:p>
    <w:p>
      <w:pPr>
        <w:jc w:val="both"/>
        <w:ind w:left="920" w:hanging="1943"/>
        <w:spacing w:after="0" w:line="245"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6.580% per annum from June 28, 2024</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until maturity. The Company will pay interest semi-annually in arrears on March 30 and September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September 30, 2024.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13" w:lineRule="exact"/>
        <w:rPr>
          <w:sz w:val="20"/>
          <w:szCs w:val="20"/>
          <w:color w:val="auto"/>
        </w:rPr>
      </w:pPr>
    </w:p>
    <w:p>
      <w:pPr>
        <w:jc w:val="both"/>
        <w:ind w:left="1860" w:hanging="1943"/>
        <w:spacing w:after="0" w:line="258"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March 15 or September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2" w:lineRule="exact"/>
        <w:rPr>
          <w:sz w:val="20"/>
          <w:szCs w:val="20"/>
          <w:color w:val="auto"/>
        </w:rPr>
      </w:pPr>
    </w:p>
    <w:p>
      <w:pPr>
        <w:ind w:left="300" w:hanging="292"/>
        <w:spacing w:after="0"/>
        <w:tabs>
          <w:tab w:leader="none" w:pos="300" w:val="left"/>
        </w:tabs>
        <w:numPr>
          <w:ilvl w:val="0"/>
          <w:numId w:val="1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future issuances of Notes, if interest has already been paid, this date will be adjusted to the immediately preceding Interest Payment Date.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1960"/>
        <w:spacing w:after="0" w:line="251" w:lineRule="auto"/>
        <w:rPr>
          <w:sz w:val="20"/>
          <w:szCs w:val="20"/>
          <w:color w:val="auto"/>
        </w:rPr>
      </w:pPr>
      <w:r>
        <w:rPr>
          <w:rFonts w:ascii="Times New Roman" w:cs="Times New Roman" w:eastAsia="Times New Roman" w:hAnsi="Times New Roman"/>
          <w:sz w:val="20"/>
          <w:szCs w:val="20"/>
          <w:color w:val="auto"/>
        </w:rPr>
        <w:t xml:space="preserve">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32" w:lineRule="exact"/>
        <w:rPr>
          <w:sz w:val="20"/>
          <w:szCs w:val="20"/>
          <w:color w:val="auto"/>
        </w:rPr>
      </w:pPr>
    </w:p>
    <w:p>
      <w:pPr>
        <w:jc w:val="both"/>
        <w:ind w:left="1440" w:hanging="1943"/>
        <w:spacing w:after="0" w:line="253"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 Paying Agent or Registrar without notice to any Noteholder. The Company may act in any such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13" w:lineRule="exact"/>
        <w:rPr>
          <w:sz w:val="20"/>
          <w:szCs w:val="20"/>
          <w:color w:val="auto"/>
        </w:rPr>
      </w:pPr>
    </w:p>
    <w:p>
      <w:pPr>
        <w:jc w:val="both"/>
        <w:ind w:left="1200" w:hanging="1943"/>
        <w:spacing w:after="0" w:line="239" w:lineRule="auto"/>
        <w:tabs>
          <w:tab w:leader="none" w:pos="118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June 28,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260" w:hanging="1943"/>
        <w:spacing w:after="0" w:line="253" w:lineRule="auto"/>
        <w:tabs>
          <w:tab w:leader="none" w:pos="12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“Make-Whole Price” shall mean the greater of:</w:t>
      </w:r>
    </w:p>
    <w:p>
      <w:pPr>
        <w:spacing w:after="0" w:line="202" w:lineRule="exact"/>
        <w:rPr>
          <w:sz w:val="20"/>
          <w:szCs w:val="20"/>
          <w:color w:val="auto"/>
        </w:rPr>
      </w:pPr>
    </w:p>
    <w:p>
      <w:pPr>
        <w:jc w:val="both"/>
        <w:ind w:left="3260" w:hanging="648"/>
        <w:spacing w:after="0" w:line="257" w:lineRule="auto"/>
        <w:tabs>
          <w:tab w:leader="none" w:pos="325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interest accrued to, but excluding, the redemption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left="220" w:hanging="212"/>
        <w:spacing w:after="0"/>
        <w:tabs>
          <w:tab w:leader="none" w:pos="220" w:val="left"/>
        </w:tabs>
        <w:numPr>
          <w:ilvl w:val="0"/>
          <w:numId w:val="1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13" w:right="339" w:bottom="1440" w:gutter="0" w:footer="0" w:header="0"/>
        </w:sectPr>
      </w:pPr>
    </w:p>
    <w:bookmarkStart w:id="134" w:name="page135"/>
    <w:bookmarkEnd w:id="134"/>
    <w:p>
      <w:pPr>
        <w:ind w:left="3240" w:hanging="628"/>
        <w:spacing w:after="0"/>
        <w:tabs>
          <w:tab w:leader="none" w:pos="32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plus, in either case, accrued and unpaid interest thereon to, but excluding, the redemption date.</w:t>
      </w:r>
    </w:p>
    <w:p>
      <w:pPr>
        <w:spacing w:after="0" w:line="216" w:lineRule="exact"/>
        <w:rPr>
          <w:sz w:val="20"/>
          <w:szCs w:val="20"/>
          <w:color w:val="auto"/>
        </w:rPr>
      </w:pPr>
    </w:p>
    <w:p>
      <w:pPr>
        <w:jc w:val="both"/>
        <w:ind w:left="1960"/>
        <w:spacing w:after="0" w:line="254" w:lineRule="auto"/>
        <w:rPr>
          <w:sz w:val="20"/>
          <w:szCs w:val="20"/>
          <w:color w:val="auto"/>
        </w:rPr>
      </w:pPr>
      <w:r>
        <w:rPr>
          <w:rFonts w:ascii="Times New Roman" w:cs="Times New Roman" w:eastAsia="Times New Roman" w:hAnsi="Times New Roman"/>
          <w:sz w:val="20"/>
          <w:szCs w:val="20"/>
          <w:color w:val="auto"/>
        </w:rPr>
        <w:t>On or after June 30, 2047 (three months prior to the Maturity Date) (the “Par Call Date”),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74"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3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$100,000 and integral multiples of $1,000 in excess thereof) of that Noteholder’s Notes at a purchase price in cash equal to not less than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200" w:lineRule="exact"/>
        <w:rPr>
          <w:sz w:val="20"/>
          <w:szCs w:val="20"/>
          <w:color w:val="auto"/>
        </w:rPr>
      </w:pPr>
    </w:p>
    <w:p>
      <w:pPr>
        <w:spacing w:after="0" w:line="204" w:lineRule="exact"/>
        <w:rPr>
          <w:sz w:val="20"/>
          <w:szCs w:val="20"/>
          <w:color w:val="auto"/>
        </w:rPr>
      </w:pPr>
    </w:p>
    <w:p>
      <w:pPr>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00" w:hanging="1943"/>
        <w:spacing w:after="0" w:line="249"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fifteen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$100,000 may be redeemed in part but only in whole multiples of $1,000 in excess thereof, unless all of the Notes held by a Noteholder are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1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180" w:hanging="1943"/>
        <w:spacing w:after="0" w:line="248" w:lineRule="auto"/>
        <w:tabs>
          <w:tab w:leader="none" w:pos="116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$100,000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fifteen days before a selection of Notes to be redeemed or during the period between a record date and the corresponding Interest Payment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67"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51"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w:t>
      </w:r>
    </w:p>
    <w:p>
      <w:pPr>
        <w:spacing w:after="0" w:line="162" w:lineRule="exact"/>
        <w:rPr>
          <w:sz w:val="20"/>
          <w:szCs w:val="20"/>
          <w:color w:val="auto"/>
        </w:rPr>
      </w:pPr>
    </w:p>
    <w:p>
      <w:pPr>
        <w:jc w:val="both"/>
        <w:ind w:left="1540" w:hanging="1943"/>
        <w:spacing w:after="0" w:line="283"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33"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CUSIP Numbers /</w:t>
      </w:r>
    </w:p>
    <w:p>
      <w:pPr>
        <w:spacing w:after="0" w:line="32" w:lineRule="exact"/>
        <w:rPr>
          <w:sz w:val="20"/>
          <w:szCs w:val="20"/>
          <w:color w:val="auto"/>
        </w:rPr>
      </w:pPr>
    </w:p>
    <w:p>
      <w:pPr>
        <w:jc w:val="both"/>
        <w:ind w:left="840" w:hanging="1943"/>
        <w:spacing w:after="0" w:line="249" w:lineRule="auto"/>
        <w:tabs>
          <w:tab w:leader="none" w:pos="820" w:val="left"/>
        </w:tabs>
        <w:rPr>
          <w:sz w:val="20"/>
          <w:szCs w:val="20"/>
          <w:color w:val="auto"/>
        </w:rPr>
      </w:pPr>
      <w:r>
        <w:rPr>
          <w:rFonts w:ascii="Times New Roman" w:cs="Times New Roman" w:eastAsia="Times New Roman" w:hAnsi="Times New Roman"/>
          <w:sz w:val="20"/>
          <w:szCs w:val="20"/>
          <w:i w:val="1"/>
          <w:iCs w:val="1"/>
          <w:color w:val="auto"/>
        </w:rPr>
        <w:t>PPNs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private placement numbers (“PPNs”) to be printed on the Notes, and the Trustee may use CUSIP numbers or PPNs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09" w:right="339" w:bottom="1440" w:gutter="0" w:footer="0" w:header="0"/>
        </w:sectPr>
      </w:pPr>
    </w:p>
    <w:bookmarkStart w:id="136" w:name="page137"/>
    <w:bookmarkEnd w:id="136"/>
    <w:p>
      <w:pPr>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9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vdegyarfas@next-decade.com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9" w:right="339" w:bottom="1440" w:gutter="0" w:footer="0" w:header="0"/>
        </w:sectPr>
      </w:pPr>
    </w:p>
    <w:bookmarkStart w:id="137" w:name="page138"/>
    <w:bookmarkEnd w:id="137"/>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5915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177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7890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wp:posOffset>
            </wp:positionV>
            <wp:extent cx="2674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ind w:left="300" w:hanging="292"/>
        <w:spacing w:after="0"/>
        <w:tabs>
          <w:tab w:leader="none" w:pos="30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6" w:lineRule="exact"/>
        <w:rPr>
          <w:rFonts w:ascii="Times New Roman" w:cs="Times New Roman" w:eastAsia="Times New Roman" w:hAnsi="Times New Roman"/>
          <w:sz w:val="19"/>
          <w:szCs w:val="19"/>
          <w:color w:val="auto"/>
        </w:rPr>
      </w:pPr>
    </w:p>
    <w:p>
      <w:pPr>
        <w:ind w:left="5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A-8</w:t>
      </w:r>
    </w:p>
    <w:p>
      <w:pPr>
        <w:sectPr>
          <w:pgSz w:w="11900" w:h="16838" w:orient="portrait"/>
          <w:cols w:equalWidth="0" w:num="1">
            <w:col w:w="10140"/>
          </w:cols>
          <w:pgMar w:left="320" w:top="1440" w:right="1439" w:bottom="1440" w:gutter="0" w:footer="0" w:header="0"/>
        </w:sectPr>
      </w:pPr>
    </w:p>
    <w:bookmarkStart w:id="138" w:name="page139"/>
    <w:bookmarkEnd w:id="138"/>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3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wp:posOffset>
            </wp:positionV>
            <wp:extent cx="44316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wp:posOffset>
            </wp:positionV>
            <wp:extent cx="2177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wp:posOffset>
            </wp:positionV>
            <wp:extent cx="2665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ind w:left="300" w:hanging="292"/>
        <w:spacing w:after="0"/>
        <w:tabs>
          <w:tab w:leader="none" w:pos="3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60"/>
          </w:cols>
          <w:pgMar w:left="320" w:top="1440" w:right="4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FORM OF CERTIFICATE OF TRANSFER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30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 (the “</w:t>
      </w:r>
      <w:r>
        <w:rPr>
          <w:rFonts w:ascii="Times New Roman" w:cs="Times New Roman" w:eastAsia="Times New Roman" w:hAnsi="Times New Roman"/>
          <w:sz w:val="19"/>
          <w:szCs w:val="19"/>
          <w:b w:val="1"/>
          <w:bCs w:val="1"/>
          <w:color w:val="auto"/>
        </w:rPr>
        <w:t>Transferor</w:t>
      </w:r>
      <w:r>
        <w:rPr>
          <w:rFonts w:ascii="Times New Roman" w:cs="Times New Roman" w:eastAsia="Times New Roman" w:hAnsi="Times New Roman"/>
          <w:sz w:val="19"/>
          <w:szCs w:val="19"/>
          <w:color w:val="auto"/>
        </w:rPr>
        <w:t xml:space="preserve">”) owns and proposes to transfer the Note[s] or interest in such Note[s] specified in </w:t>
      </w:r>
      <w:r>
        <w:rPr>
          <w:rFonts w:ascii="Times New Roman" w:cs="Times New Roman" w:eastAsia="Times New Roman" w:hAnsi="Times New Roman"/>
          <w:sz w:val="19"/>
          <w:szCs w:val="19"/>
          <w:u w:val="single" w:color="auto"/>
          <w:color w:val="auto"/>
        </w:rPr>
        <w:t>Annex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in the principal amount of $___________ in such Note[s] or interests (the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to (the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as further specified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connection with the Transfer, the Transferor hereby certifies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198" w:lineRule="exact"/>
        <w:rPr>
          <w:sz w:val="20"/>
          <w:szCs w:val="20"/>
          <w:color w:val="auto"/>
        </w:rPr>
      </w:pPr>
    </w:p>
    <w:p>
      <w:pPr>
        <w:ind w:left="640" w:hanging="632"/>
        <w:spacing w:after="0" w:line="252" w:lineRule="auto"/>
        <w:tabs>
          <w:tab w:leader="none" w:pos="229" w:val="left"/>
        </w:tabs>
        <w:numPr>
          <w:ilvl w:val="0"/>
          <w:numId w:val="13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Restricted Definitive Note pursuant to Rule 144A</w:t>
      </w:r>
      <w:r>
        <w:rPr>
          <w:rFonts w:ascii="Times New Roman" w:cs="Times New Roman" w:eastAsia="Times New Roman" w:hAnsi="Times New Roman"/>
          <w:sz w:val="20"/>
          <w:szCs w:val="20"/>
          <w:color w:val="auto"/>
        </w:rPr>
        <w:t>. The Transfer is being effected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and in accordance with Rule 144A (“</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accordingly, the Transferor hereby further certifies that Definitive Note is being transferred to a Person that the Transferor reasonably believes is purchasing the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62" w:lineRule="exact"/>
        <w:rPr>
          <w:rFonts w:ascii="MS PGothic" w:cs="MS PGothic" w:eastAsia="MS PGothic" w:hAnsi="MS PGothic"/>
          <w:sz w:val="20"/>
          <w:szCs w:val="20"/>
          <w:color w:val="auto"/>
        </w:rPr>
      </w:pPr>
    </w:p>
    <w:p>
      <w:pPr>
        <w:jc w:val="right"/>
        <w:ind w:left="640" w:hanging="632"/>
        <w:spacing w:after="0" w:line="267" w:lineRule="auto"/>
        <w:tabs>
          <w:tab w:leader="none" w:pos="256" w:val="left"/>
        </w:tabs>
        <w:numPr>
          <w:ilvl w:val="0"/>
          <w:numId w:val="139"/>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u w:val="single" w:color="auto"/>
          <w:color w:val="auto"/>
        </w:rPr>
        <w:t>Check if Transferee will take delivery of a Restricted Definitive Note pursuant to Regulation S</w:t>
      </w:r>
      <w:r>
        <w:rPr>
          <w:rFonts w:ascii="Times New Roman" w:cs="Times New Roman" w:eastAsia="Times New Roman" w:hAnsi="Times New Roman"/>
          <w:sz w:val="19"/>
          <w:szCs w:val="19"/>
          <w:color w:val="auto"/>
        </w:rPr>
        <w:t>. The Transfer is being effected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and in accordance with Rule 903 or Rule 904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09" w:right="339" w:bottom="1440" w:gutter="0" w:footer="0" w:header="0"/>
        </w:sectPr>
      </w:pPr>
    </w:p>
    <w:bookmarkStart w:id="140" w:name="page141"/>
    <w:bookmarkEnd w:id="140"/>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Securities Act and (iv) if the proposed transfer is being made prior to the expiration of the Restricted Period, the transfer is not being made to a United States Person or for the account or benefit of a United States Person.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55" w:lineRule="exact"/>
        <w:rPr>
          <w:sz w:val="20"/>
          <w:szCs w:val="20"/>
          <w:color w:val="auto"/>
        </w:rPr>
      </w:pPr>
    </w:p>
    <w:p>
      <w:pPr>
        <w:ind w:left="640" w:hanging="632"/>
        <w:spacing w:after="0" w:line="260" w:lineRule="auto"/>
        <w:tabs>
          <w:tab w:leader="none" w:pos="229" w:val="left"/>
        </w:tabs>
        <w:numPr>
          <w:ilvl w:val="0"/>
          <w:numId w:val="14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and complete if Transferee will take delivery of a Restricted 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 compliance with the transfer restrictions applicable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Definitive Notes and pursuant to and in accordance with the Securities Act and any applicable blue sky securities laws of any state of the United States, and accordingly the Transferor hereby further certifies that (check one):</w:t>
      </w:r>
    </w:p>
    <w:p>
      <w:pPr>
        <w:spacing w:after="0" w:line="109" w:lineRule="exact"/>
        <w:rPr>
          <w:rFonts w:ascii="MS PGothic" w:cs="MS PGothic" w:eastAsia="MS PGothic" w:hAnsi="MS PGothic"/>
          <w:sz w:val="20"/>
          <w:szCs w:val="20"/>
          <w:color w:val="auto"/>
        </w:rPr>
      </w:pPr>
    </w:p>
    <w:p>
      <w:pPr>
        <w:ind w:left="64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such Transfer is being effected pursuant to and in accordance with Rule 144 under the Securities Act;</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16" w:lineRule="exact"/>
        <w:rPr>
          <w:sz w:val="20"/>
          <w:szCs w:val="20"/>
          <w:color w:val="auto"/>
        </w:rPr>
      </w:pPr>
    </w:p>
    <w:p>
      <w:pPr>
        <w:ind w:left="1280" w:right="6580" w:hanging="637"/>
        <w:spacing w:after="0" w:line="427" w:lineRule="auto"/>
        <w:tabs>
          <w:tab w:leader="none" w:pos="864" w:val="left"/>
        </w:tabs>
        <w:numPr>
          <w:ilvl w:val="0"/>
          <w:numId w:val="1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to the Company; or</w:t>
      </w:r>
    </w:p>
    <w:p>
      <w:pPr>
        <w:spacing w:after="0" w:line="45" w:lineRule="exact"/>
        <w:rPr>
          <w:rFonts w:ascii="MS PGothic" w:cs="MS PGothic" w:eastAsia="MS PGothic" w:hAnsi="MS PGothic"/>
          <w:sz w:val="20"/>
          <w:szCs w:val="20"/>
          <w:color w:val="auto"/>
        </w:rPr>
      </w:pPr>
    </w:p>
    <w:p>
      <w:pPr>
        <w:ind w:left="1280" w:hanging="637"/>
        <w:spacing w:after="0" w:line="283" w:lineRule="auto"/>
        <w:tabs>
          <w:tab w:leader="none" w:pos="877" w:val="left"/>
        </w:tabs>
        <w:numPr>
          <w:ilvl w:val="0"/>
          <w:numId w:val="1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52" w:lineRule="auto"/>
        <w:tabs>
          <w:tab w:leader="none" w:pos="916" w:val="left"/>
        </w:tabs>
        <w:numPr>
          <w:ilvl w:val="1"/>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Definitive Note will be subject to the restrictions on transfer enumerated in the Private Placement Legend printed on the Restricted Definitive Notes and in the Indenture and the Securities Act.</w:t>
      </w:r>
    </w:p>
    <w:p>
      <w:pPr>
        <w:spacing w:after="0" w:line="159" w:lineRule="exact"/>
        <w:rPr>
          <w:rFonts w:ascii="MS PGothic" w:cs="MS PGothic" w:eastAsia="MS PGothic" w:hAnsi="MS PGothic"/>
          <w:sz w:val="20"/>
          <w:szCs w:val="20"/>
          <w:color w:val="auto"/>
        </w:rPr>
      </w:pPr>
    </w:p>
    <w:p>
      <w:pPr>
        <w:ind w:left="240" w:hanging="232"/>
        <w:spacing w:after="0"/>
        <w:tabs>
          <w:tab w:leader="none" w:pos="240"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an Unrestricted Definitive Note</w:t>
      </w:r>
      <w:r>
        <w:rPr>
          <w:rFonts w:ascii="Times New Roman" w:cs="Times New Roman" w:eastAsia="Times New Roman" w:hAnsi="Times New Roman"/>
          <w:sz w:val="20"/>
          <w:szCs w:val="20"/>
          <w:color w:val="auto"/>
        </w:rPr>
        <w:t>.</w:t>
      </w:r>
    </w:p>
    <w:p>
      <w:pPr>
        <w:spacing w:after="0" w:line="202" w:lineRule="exact"/>
        <w:rPr>
          <w:rFonts w:ascii="MS PGothic" w:cs="MS PGothic" w:eastAsia="MS PGothic" w:hAnsi="MS PGothic"/>
          <w:sz w:val="20"/>
          <w:szCs w:val="20"/>
          <w:color w:val="auto"/>
        </w:rPr>
      </w:pPr>
    </w:p>
    <w:p>
      <w:pPr>
        <w:ind w:left="1280" w:hanging="637"/>
        <w:spacing w:after="0" w:line="260" w:lineRule="auto"/>
        <w:tabs>
          <w:tab w:leader="none" w:pos="870" w:val="left"/>
        </w:tabs>
        <w:numPr>
          <w:ilvl w:val="1"/>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Rule 144</w:t>
      </w:r>
      <w:r>
        <w:rPr>
          <w:rFonts w:ascii="Times New Roman" w:cs="Times New Roman" w:eastAsia="Times New Roman" w:hAnsi="Times New Roman"/>
          <w:sz w:val="20"/>
          <w:szCs w:val="20"/>
          <w:color w:val="auto"/>
        </w:rPr>
        <w:t>. (i) The Transfer is being effected pursuant to and in accordance with Rule 144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13" w:right="339" w:bottom="1440" w:gutter="0" w:footer="0" w:header="0"/>
        </w:sectPr>
      </w:pPr>
    </w:p>
    <w:bookmarkStart w:id="141" w:name="page142"/>
    <w:bookmarkEnd w:id="141"/>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0" w:lineRule="exact"/>
        <w:rPr>
          <w:sz w:val="20"/>
          <w:szCs w:val="20"/>
          <w:color w:val="auto"/>
        </w:rPr>
      </w:pPr>
    </w:p>
    <w:p>
      <w:pPr>
        <w:ind w:left="1280" w:hanging="637"/>
        <w:spacing w:after="0" w:line="254" w:lineRule="auto"/>
        <w:tabs>
          <w:tab w:leader="none" w:pos="870" w:val="left"/>
        </w:tabs>
        <w:numPr>
          <w:ilvl w:val="0"/>
          <w:numId w:val="14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Regulation S</w:t>
      </w:r>
      <w:r>
        <w:rPr>
          <w:rFonts w:ascii="Times New Roman" w:cs="Times New Roman" w:eastAsia="Times New Roman" w:hAnsi="Times New Roman"/>
          <w:sz w:val="20"/>
          <w:szCs w:val="20"/>
          <w:color w:val="auto"/>
        </w:rPr>
        <w:t>. (i) The Transfer is being effected pursuant to and in accordance with Rule 903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9" w:lineRule="exact"/>
        <w:rPr>
          <w:rFonts w:ascii="MS PGothic" w:cs="MS PGothic" w:eastAsia="MS PGothic" w:hAnsi="MS PGothic"/>
          <w:sz w:val="20"/>
          <w:szCs w:val="20"/>
          <w:color w:val="auto"/>
        </w:rPr>
      </w:pPr>
    </w:p>
    <w:p>
      <w:pPr>
        <w:ind w:left="1280" w:hanging="637"/>
        <w:spacing w:after="0" w:line="254" w:lineRule="auto"/>
        <w:tabs>
          <w:tab w:leader="none" w:pos="884" w:val="left"/>
        </w:tabs>
        <w:numPr>
          <w:ilvl w:val="0"/>
          <w:numId w:val="14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Other Exemption</w:t>
      </w:r>
      <w:r>
        <w:rPr>
          <w:rFonts w:ascii="Times New Roman" w:cs="Times New Roman" w:eastAsia="Times New Roman" w:hAnsi="Times New Roman"/>
          <w:sz w:val="20"/>
          <w:szCs w:val="20"/>
          <w:color w:val="auto"/>
        </w:rPr>
        <w:t>. (i) The Transfer is being effected pursuant to and in compliance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not be subject to the restrictions on transfer enumerated in the Private Placement Legend printed on the Restricted Definitive Notes and in the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262890</wp:posOffset>
            </wp:positionV>
            <wp:extent cx="125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5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13" w:right="339" w:bottom="1440" w:gutter="0" w:footer="0" w:header="0"/>
        </w:sectPr>
      </w:pPr>
    </w:p>
    <w:bookmarkStart w:id="142" w:name="page143"/>
    <w:bookmarkEnd w:id="142"/>
    <w:p>
      <w:pPr>
        <w:ind w:right="2479" w:firstLine="3587"/>
        <w:spacing w:after="0" w:line="484" w:lineRule="auto"/>
        <w:rPr>
          <w:sz w:val="20"/>
          <w:szCs w:val="20"/>
          <w:color w:val="auto"/>
        </w:rPr>
      </w:pPr>
      <w:r>
        <w:rPr>
          <w:rFonts w:ascii="Times New Roman" w:cs="Times New Roman" w:eastAsia="Times New Roman" w:hAnsi="Times New Roman"/>
          <w:sz w:val="20"/>
          <w:szCs w:val="20"/>
          <w:b w:val="1"/>
          <w:bCs w:val="1"/>
          <w:color w:val="auto"/>
        </w:rPr>
        <w:t xml:space="preserve">ANNEX A TO CERTIFICATE OF TRANSFER </w:t>
      </w:r>
      <w:r>
        <w:rPr>
          <w:rFonts w:ascii="Times New Roman" w:cs="Times New Roman" w:eastAsia="Times New Roman" w:hAnsi="Times New Roman"/>
          <w:sz w:val="20"/>
          <w:szCs w:val="20"/>
          <w:color w:val="auto"/>
        </w:rPr>
        <w:t>The Transferor owns and proposes to transfer a Restricted Definitive Note.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[CHECK ONE]</w:t>
      </w:r>
    </w:p>
    <w:p>
      <w:pPr>
        <w:spacing w:after="0" w:line="216" w:lineRule="exact"/>
        <w:rPr>
          <w:sz w:val="20"/>
          <w:szCs w:val="20"/>
          <w:color w:val="auto"/>
        </w:rPr>
      </w:pPr>
    </w:p>
    <w:p>
      <w:pPr>
        <w:ind w:left="860" w:hanging="217"/>
        <w:spacing w:after="0"/>
        <w:tabs>
          <w:tab w:leader="none" w:pos="860" w:val="left"/>
        </w:tabs>
        <w:numPr>
          <w:ilvl w:val="0"/>
          <w:numId w:val="14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Restricted Definitive Note; or</w:t>
      </w:r>
    </w:p>
    <w:p>
      <w:pPr>
        <w:spacing w:after="0" w:line="202" w:lineRule="exact"/>
        <w:rPr>
          <w:rFonts w:ascii="MS PGothic" w:cs="MS PGothic" w:eastAsia="MS PGothic" w:hAnsi="MS PGothic"/>
          <w:sz w:val="20"/>
          <w:szCs w:val="20"/>
          <w:color w:val="auto"/>
        </w:rPr>
      </w:pPr>
    </w:p>
    <w:p>
      <w:pPr>
        <w:ind w:left="860" w:hanging="217"/>
        <w:spacing w:after="0"/>
        <w:tabs>
          <w:tab w:leader="none" w:pos="860" w:val="left"/>
        </w:tabs>
        <w:numPr>
          <w:ilvl w:val="0"/>
          <w:numId w:val="14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 Unrestricted Definitive Note,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139"/>
          </w:cols>
          <w:pgMar w:left="320" w:top="1409"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FORM OF CERTIFICATE OF EXCHANGE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9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(CUSIP / PPN __________)</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0"/>
          <w:szCs w:val="20"/>
          <w:b w:val="1"/>
          <w:bCs w:val="1"/>
          <w:color w:val="auto"/>
        </w:rPr>
        <w:t>Owner</w:t>
      </w:r>
      <w:r>
        <w:rPr>
          <w:rFonts w:ascii="Times New Roman" w:cs="Times New Roman" w:eastAsia="Times New Roman" w:hAnsi="Times New Roman"/>
          <w:sz w:val="20"/>
          <w:szCs w:val="20"/>
          <w:color w:val="auto"/>
        </w:rPr>
        <w:t>”) owns and proposes to exchange the Note[s] or interest in such Note[s] specified herein,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amount of $___________ in such Note[s] or interests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In connection with the Exchange, the Owner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w:t>
      </w:r>
    </w:p>
    <w:p>
      <w:pPr>
        <w:spacing w:after="0" w:line="202" w:lineRule="exact"/>
        <w:rPr>
          <w:sz w:val="20"/>
          <w:szCs w:val="20"/>
          <w:color w:val="auto"/>
        </w:rPr>
      </w:pPr>
    </w:p>
    <w:p>
      <w:pPr>
        <w:ind w:left="1280" w:hanging="637"/>
        <w:spacing w:after="0" w:line="254" w:lineRule="auto"/>
        <w:tabs>
          <w:tab w:leader="none" w:pos="897" w:val="left"/>
        </w:tabs>
        <w:numPr>
          <w:ilvl w:val="0"/>
          <w:numId w:val="145"/>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Exchange is from Restricted Definitive Note to Unrestricted Definitive Note</w:t>
      </w:r>
      <w:r>
        <w:rPr>
          <w:rFonts w:ascii="Times New Roman" w:cs="Times New Roman" w:eastAsia="Times New Roman" w:hAnsi="Times New Roman"/>
          <w:sz w:val="20"/>
          <w:szCs w:val="20"/>
          <w:color w:val="auto"/>
        </w:rPr>
        <w:t>. In connection with the Owner’s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40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269875</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139"/>
          </w:cols>
          <w:pgMar w:left="320" w:top="1413"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Notes and Supplemental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Indentures for Additional Notes</w:t>
      </w:r>
    </w:p>
    <w:p>
      <w:pPr>
        <w:spacing w:after="0" w:line="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Indenture dated as of June 28,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right="40" w:hanging="652"/>
        <w:spacing w:after="0" w:line="253" w:lineRule="auto"/>
        <w:tabs>
          <w:tab w:leader="none" w:pos="65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Issue Date, subject to compliance with the Indenture, including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thereof and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Company may issue Additional Notes, in one or more series, under this Indenture or under one or more Supplemental Indentures that comply with the provisions of this Indenture. Additional Notes may be issued as a separate series or the same series as the Initial Notes or other Additional Notes, as shall be specified in the form of the Additional Note or in any Supplemental Indenture governing the terms of the Additional Notes permitted to be issued by this Indenture. Additional Notes may be issued in accordance with the following provisions, which are deemed to be part of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of the Indenture:</w:t>
      </w:r>
    </w:p>
    <w:p>
      <w:pPr>
        <w:spacing w:after="0" w:line="178"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and not otherwise defined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are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 Sections of the Indenture have the meanings set forth therein and the following terms have the meanings set forth below:</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Authorizing Resolution</w:t>
      </w:r>
      <w:r>
        <w:rPr>
          <w:rFonts w:ascii="Times New Roman" w:cs="Times New Roman" w:eastAsia="Times New Roman" w:hAnsi="Times New Roman"/>
          <w:sz w:val="20"/>
          <w:szCs w:val="20"/>
          <w:color w:val="auto"/>
        </w:rPr>
        <w:t>” means a resolution duly adopted by (1) the authorized governing body of the Company or (2) any pricing or other committee of the authorized governing body of the Company duly authorized to act for it hereunder, a copy of which is delivered to the Trustee, accompanied by an Officer’s Certificate that such resolution has been duly adopted, has not been amended, modified, supplemented or rescinded and is in full force and effect.</w:t>
      </w:r>
    </w:p>
    <w:p>
      <w:pPr>
        <w:spacing w:after="0" w:line="15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Registered Additional Note</w:t>
      </w:r>
      <w:r>
        <w:rPr>
          <w:rFonts w:ascii="Times New Roman" w:cs="Times New Roman" w:eastAsia="Times New Roman" w:hAnsi="Times New Roman"/>
          <w:sz w:val="20"/>
          <w:szCs w:val="20"/>
          <w:color w:val="auto"/>
        </w:rPr>
        <w:t xml:space="preserve">” means any Additional Note registered on the Additional Note Register maintained by the Company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220"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2"/>
          <w:szCs w:val="22"/>
          <w:b w:val="1"/>
          <w:bCs w:val="1"/>
          <w:color w:val="auto"/>
        </w:rPr>
        <w:t>Terms of Additional Notes</w:t>
      </w:r>
      <w:r>
        <w:rPr>
          <w:rFonts w:ascii="Times New Roman" w:cs="Times New Roman" w:eastAsia="Times New Roman" w:hAnsi="Times New Roman"/>
          <w:sz w:val="19"/>
          <w:szCs w:val="19"/>
          <w:color w:val="auto"/>
        </w:rPr>
        <w:t>. (a) The terms and conditions of any Additional Notes shall be established in or pursuant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Authorizing Resolution, and set forth in an Officer’s Certificate, or established in one or more Supplemental Indentures approved pursuant to an Authorizing Resolution, and as set forth in an Officer’s Certificate, prior to the issuance of Additional Notes of any series, which shall include, as applicable:</w:t>
      </w:r>
    </w:p>
    <w:p>
      <w:pPr>
        <w:spacing w:after="0" w:line="160" w:lineRule="exact"/>
        <w:rPr>
          <w:sz w:val="20"/>
          <w:szCs w:val="20"/>
          <w:color w:val="auto"/>
        </w:rPr>
      </w:pPr>
    </w:p>
    <w:p>
      <w:pPr>
        <w:ind w:left="1960" w:right="440" w:hanging="656"/>
        <w:spacing w:after="0" w:line="283" w:lineRule="auto"/>
        <w:tabs>
          <w:tab w:leader="none" w:pos="195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Additional Notes of the series (which shall distinguish the Additional Notes of the series from all other Notes, except if issued as the same series as the Initial Notes or other Additional Notes);</w:t>
      </w:r>
    </w:p>
    <w:p>
      <w:pPr>
        <w:spacing w:after="0" w:line="159" w:lineRule="exact"/>
        <w:rPr>
          <w:rFonts w:ascii="Times New Roman" w:cs="Times New Roman" w:eastAsia="Times New Roman" w:hAnsi="Times New Roman"/>
          <w:sz w:val="20"/>
          <w:szCs w:val="20"/>
          <w:color w:val="auto"/>
        </w:rPr>
      </w:pPr>
    </w:p>
    <w:p>
      <w:pPr>
        <w:jc w:val="both"/>
        <w:ind w:left="1960" w:right="120" w:hanging="656"/>
        <w:spacing w:after="0" w:line="261" w:lineRule="auto"/>
        <w:tabs>
          <w:tab w:leader="none" w:pos="195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upon the aggregate principal amount of the Additional Notes of the series which may be authenticated and delivered under the Indenture (except for Additional Notes authenticated and delivered upon registration of transfer of, or in exchange for, or in lieu of, other Additional Notes of the series);</w:t>
      </w:r>
    </w:p>
    <w:p>
      <w:pPr>
        <w:spacing w:after="0" w:line="167" w:lineRule="exact"/>
        <w:rPr>
          <w:rFonts w:ascii="Times New Roman" w:cs="Times New Roman" w:eastAsia="Times New Roman" w:hAnsi="Times New Roman"/>
          <w:sz w:val="20"/>
          <w:szCs w:val="20"/>
          <w:color w:val="auto"/>
        </w:rPr>
      </w:pPr>
    </w:p>
    <w:p>
      <w:pPr>
        <w:ind w:left="1960" w:hanging="656"/>
        <w:spacing w:after="0" w:line="283" w:lineRule="auto"/>
        <w:tabs>
          <w:tab w:leader="none" w:pos="19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(or the manner of determining the same) on which the principal of the Additional Notes of the series is payable (which, if so provided in or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40"/>
          </w:cols>
          <w:pgMar w:left="320" w:top="1409" w:right="339" w:bottom="1440" w:gutter="0" w:footer="0" w:header="0"/>
        </w:sectPr>
      </w:pPr>
    </w:p>
    <w:bookmarkStart w:id="146" w:name="page147"/>
    <w:bookmarkEnd w:id="146"/>
    <w:p>
      <w:pPr>
        <w:ind w:left="840" w:right="380"/>
        <w:spacing w:after="0" w:line="283" w:lineRule="auto"/>
        <w:rPr>
          <w:sz w:val="20"/>
          <w:szCs w:val="20"/>
          <w:color w:val="auto"/>
        </w:rPr>
      </w:pPr>
      <w:r>
        <w:rPr>
          <w:rFonts w:ascii="Times New Roman" w:cs="Times New Roman" w:eastAsia="Times New Roman" w:hAnsi="Times New Roman"/>
          <w:sz w:val="20"/>
          <w:szCs w:val="20"/>
          <w:color w:val="auto"/>
        </w:rPr>
        <w:t>pursuant to such Authorizing Resolution or in any Supplemental Indenture, may be determined by the Company from time to time and set forth in the Additional Notes of the series issued from time to time);</w:t>
      </w:r>
    </w:p>
    <w:p>
      <w:pPr>
        <w:spacing w:after="0" w:line="146" w:lineRule="exact"/>
        <w:rPr>
          <w:sz w:val="20"/>
          <w:szCs w:val="20"/>
          <w:color w:val="auto"/>
        </w:rPr>
      </w:pPr>
    </w:p>
    <w:p>
      <w:pPr>
        <w:ind w:left="840" w:right="40" w:hanging="656"/>
        <w:spacing w:after="0" w:line="253" w:lineRule="auto"/>
        <w:tabs>
          <w:tab w:leader="none" w:pos="82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(or the method of determining the same) at which the Additional Notes of the series shall bear interest, if any, and the date or dates from which such interest shall accrue (which, in the case of either or both, if so provided in or pursuant to such Authorizing Resolution or in any Supplemental Indenture, may be determined by the Company from time to time and set forth in the Additional Notes of the series issued from time to time), the Interest Payment Dates (or the manner of determining the same) on which such interest, if any, shall be payable, the record dates (or the manner of determining the same), if any, for the determination of Holders to whom interest is payable on any Interest Payment Date;</w:t>
      </w:r>
    </w:p>
    <w:p>
      <w:pPr>
        <w:spacing w:after="0" w:line="179" w:lineRule="exact"/>
        <w:rPr>
          <w:rFonts w:ascii="Times New Roman" w:cs="Times New Roman" w:eastAsia="Times New Roman" w:hAnsi="Times New Roman"/>
          <w:sz w:val="20"/>
          <w:szCs w:val="20"/>
          <w:color w:val="auto"/>
        </w:rPr>
      </w:pPr>
    </w:p>
    <w:p>
      <w:pPr>
        <w:ind w:left="840" w:right="220" w:hanging="656"/>
        <w:spacing w:after="0" w:line="276" w:lineRule="auto"/>
        <w:tabs>
          <w:tab w:leader="none" w:pos="82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where, subject to the Indenture, the principal of (and premium, if any) and interest, if any, on Additional Notes of the series shall be payable, any Additional Notes of the series may be surrendered for registration of transfer and Additional Notes of the series may be surrendered for exchange and the place or places where notices or demands to or upon the Company in respect of the Additional Notes of the series may be served;</w:t>
      </w:r>
    </w:p>
    <w:p>
      <w:pPr>
        <w:spacing w:after="0" w:line="169" w:lineRule="exact"/>
        <w:rPr>
          <w:rFonts w:ascii="Times New Roman" w:cs="Times New Roman" w:eastAsia="Times New Roman" w:hAnsi="Times New Roman"/>
          <w:sz w:val="19"/>
          <w:szCs w:val="19"/>
          <w:color w:val="auto"/>
        </w:rPr>
      </w:pPr>
    </w:p>
    <w:p>
      <w:pPr>
        <w:jc w:val="both"/>
        <w:ind w:left="840" w:right="40" w:hanging="656"/>
        <w:spacing w:after="0" w:line="261" w:lineRule="auto"/>
        <w:tabs>
          <w:tab w:leader="none" w:pos="82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or periods within which, the price or prices at which, and the terms and conditions upon which Additional Notes of the series may be redeemed, in whole or in part, at the option of the Company, pursuant to any sinking fund or otherwise;</w:t>
      </w:r>
    </w:p>
    <w:p>
      <w:pPr>
        <w:spacing w:after="0" w:line="181" w:lineRule="exact"/>
        <w:rPr>
          <w:rFonts w:ascii="Times New Roman" w:cs="Times New Roman" w:eastAsia="Times New Roman" w:hAnsi="Times New Roman"/>
          <w:sz w:val="20"/>
          <w:szCs w:val="20"/>
          <w:color w:val="auto"/>
        </w:rPr>
      </w:pPr>
    </w:p>
    <w:p>
      <w:pPr>
        <w:ind w:left="840" w:right="20" w:hanging="656"/>
        <w:spacing w:after="0" w:line="253" w:lineRule="auto"/>
        <w:tabs>
          <w:tab w:leader="none" w:pos="82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if any, of the Company to redeem, repay, prepay or purchase Additional Notes of the series pursuant to any mandatory prepayment, purchase or redemption provision, sinking fund or analogous provisions or at the option of a Holder thereof and the period or periods within which, the price or prices at which, and the terms and conditions upon which Additional Notes of the series shall be redeemed, repaid, prepaid or purchased, in whole or in part, pursuant to such obligation, or at the option of a Holder thereof;</w:t>
      </w:r>
    </w:p>
    <w:p>
      <w:pPr>
        <w:spacing w:after="0" w:line="178" w:lineRule="exact"/>
        <w:rPr>
          <w:rFonts w:ascii="Times New Roman" w:cs="Times New Roman" w:eastAsia="Times New Roman" w:hAnsi="Times New Roman"/>
          <w:sz w:val="20"/>
          <w:szCs w:val="20"/>
          <w:color w:val="auto"/>
        </w:rPr>
      </w:pPr>
    </w:p>
    <w:p>
      <w:pPr>
        <w:ind w:left="840" w:right="1080" w:hanging="656"/>
        <w:spacing w:after="0" w:line="283" w:lineRule="auto"/>
        <w:tabs>
          <w:tab w:leader="none" w:pos="83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denominations of U.S. $100,000 and any integral multiple of $ 1,000 in excess thereof, the denominations in which Additional Notes of the series shall be issuable;</w:t>
      </w:r>
    </w:p>
    <w:p>
      <w:pPr>
        <w:spacing w:after="0" w:line="159" w:lineRule="exact"/>
        <w:rPr>
          <w:rFonts w:ascii="Times New Roman" w:cs="Times New Roman" w:eastAsia="Times New Roman" w:hAnsi="Times New Roman"/>
          <w:sz w:val="20"/>
          <w:szCs w:val="20"/>
          <w:color w:val="auto"/>
        </w:rPr>
      </w:pPr>
    </w:p>
    <w:p>
      <w:pPr>
        <w:ind w:left="840" w:hanging="656"/>
        <w:spacing w:after="0" w:line="261" w:lineRule="auto"/>
        <w:tabs>
          <w:tab w:leader="none" w:pos="82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the principal amount thereof, the portion of the principal amount of Additional Notes of the series which shall be payable upon declaration of acceleration of the maturity thereof or the method by which such portion shall be determined;</w:t>
      </w:r>
    </w:p>
    <w:p>
      <w:pPr>
        <w:spacing w:after="0" w:line="167" w:lineRule="exact"/>
        <w:rPr>
          <w:rFonts w:ascii="Times New Roman" w:cs="Times New Roman" w:eastAsia="Times New Roman" w:hAnsi="Times New Roman"/>
          <w:sz w:val="20"/>
          <w:szCs w:val="20"/>
          <w:color w:val="auto"/>
        </w:rPr>
      </w:pPr>
    </w:p>
    <w:p>
      <w:pPr>
        <w:ind w:left="840" w:right="60" w:hanging="656"/>
        <w:spacing w:after="0" w:line="283" w:lineRule="auto"/>
        <w:tabs>
          <w:tab w:leader="none" w:pos="82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amount of payments of principal of (or any premium) or any interest on the Additional Notes of the series may be determined with reference to an index, the manner in which such amounts shall be determined;</w:t>
      </w:r>
    </w:p>
    <w:p>
      <w:pPr>
        <w:spacing w:after="0" w:line="159" w:lineRule="exact"/>
        <w:rPr>
          <w:rFonts w:ascii="Times New Roman" w:cs="Times New Roman" w:eastAsia="Times New Roman" w:hAnsi="Times New Roman"/>
          <w:sz w:val="20"/>
          <w:szCs w:val="20"/>
          <w:color w:val="auto"/>
        </w:rPr>
      </w:pPr>
    </w:p>
    <w:p>
      <w:pPr>
        <w:ind w:left="840" w:right="360" w:hanging="656"/>
        <w:spacing w:after="0" w:line="269" w:lineRule="auto"/>
        <w:tabs>
          <w:tab w:leader="none" w:pos="82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under what circumstances, and the terms and conditions on which, the Company will pay additional amounts on the Additional Notes of the series in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0100"/>
          </w:cols>
          <w:pgMar w:left="1440" w:top="1413" w:right="359" w:bottom="1440" w:gutter="0" w:footer="0" w:header="0"/>
        </w:sectPr>
      </w:pPr>
    </w:p>
    <w:bookmarkStart w:id="147" w:name="page148"/>
    <w:bookmarkEnd w:id="147"/>
    <w:p>
      <w:pPr>
        <w:jc w:val="both"/>
        <w:ind w:left="1940" w:right="60"/>
        <w:spacing w:after="0" w:line="276" w:lineRule="auto"/>
        <w:rPr>
          <w:sz w:val="20"/>
          <w:szCs w:val="20"/>
          <w:color w:val="auto"/>
        </w:rPr>
      </w:pPr>
      <w:r>
        <w:rPr>
          <w:rFonts w:ascii="Times New Roman" w:cs="Times New Roman" w:eastAsia="Times New Roman" w:hAnsi="Times New Roman"/>
          <w:sz w:val="19"/>
          <w:szCs w:val="19"/>
          <w:color w:val="auto"/>
        </w:rPr>
        <w:t>respect of any tax, assessment or governmental charge withheld or deducted and whether the Company will have the option to redeem such Additional Notes rather than pay such additional amounts or to redeem such Additional Notes in the event of the imposition of any certification, documentation, information or other reporting requirement and, if so, under what circumstances and the terms and conditions on which the Company may exercise such option; and</w:t>
      </w:r>
    </w:p>
    <w:p>
      <w:pPr>
        <w:spacing w:after="0" w:line="156" w:lineRule="exact"/>
        <w:rPr>
          <w:sz w:val="20"/>
          <w:szCs w:val="20"/>
          <w:color w:val="auto"/>
        </w:rPr>
      </w:pPr>
    </w:p>
    <w:p>
      <w:pPr>
        <w:ind w:left="1940" w:right="20" w:hanging="656"/>
        <w:spacing w:after="0" w:line="258" w:lineRule="auto"/>
        <w:tabs>
          <w:tab w:leader="none" w:pos="1929"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terms of the series of Additional Notes which terms must be consistent with the provisions of the Indenture and, with respect to the matters set forth in </w:t>
      </w:r>
      <w:r>
        <w:rPr>
          <w:rFonts w:ascii="Times New Roman" w:cs="Times New Roman" w:eastAsia="Times New Roman" w:hAnsi="Times New Roman"/>
          <w:sz w:val="20"/>
          <w:szCs w:val="20"/>
          <w:u w:val="single" w:color="auto"/>
          <w:color w:val="auto"/>
        </w:rPr>
        <w:t>Articles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(if any Additional Note is secured by any Collateral) (and any defined terms used therein) must be the same as those provisions (and any defined terms used therein).</w:t>
      </w:r>
    </w:p>
    <w:p>
      <w:pPr>
        <w:spacing w:after="0" w:line="185" w:lineRule="exact"/>
        <w:rPr>
          <w:rFonts w:ascii="Times New Roman" w:cs="Times New Roman" w:eastAsia="Times New Roman" w:hAnsi="Times New Roman"/>
          <w:sz w:val="20"/>
          <w:szCs w:val="20"/>
          <w:color w:val="auto"/>
        </w:rPr>
      </w:pPr>
    </w:p>
    <w:p>
      <w:pPr>
        <w:ind w:left="1280" w:right="40" w:hanging="644"/>
        <w:spacing w:after="0" w:line="253" w:lineRule="auto"/>
        <w:tabs>
          <w:tab w:leader="none" w:pos="127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Notes of any one series shall be substantially identical except that such Additional Notes may differ as to date of issue and the date from which interest, if any, shall accrue. The terms of such Additional Notes, as set forth above, may be determined by the Company from time to time if so provided in or pursuant to such Authorizing Resolution or in any Supplemental Indenture for Additional Notes. All Additional Notes of any one series need not, but may, be issued at the same time.</w:t>
      </w:r>
    </w:p>
    <w:p>
      <w:pPr>
        <w:spacing w:after="0" w:line="191" w:lineRule="exact"/>
        <w:rPr>
          <w:rFonts w:ascii="Times New Roman" w:cs="Times New Roman" w:eastAsia="Times New Roman" w:hAnsi="Times New Roman"/>
          <w:sz w:val="20"/>
          <w:szCs w:val="20"/>
          <w:color w:val="auto"/>
        </w:rPr>
      </w:pPr>
    </w:p>
    <w:p>
      <w:pPr>
        <w:ind w:left="1280" w:right="140" w:hanging="644"/>
        <w:spacing w:after="0" w:line="261" w:lineRule="auto"/>
        <w:tabs>
          <w:tab w:leader="none" w:pos="126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terms of any series of Additional Notes are established by action taken pursuant to an Authorizing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6" w:lineRule="exact"/>
        <w:rPr>
          <w:sz w:val="20"/>
          <w:szCs w:val="20"/>
          <w:color w:val="auto"/>
        </w:rPr>
      </w:pPr>
    </w:p>
    <w:p>
      <w:pPr>
        <w:jc w:val="both"/>
        <w:ind w:left="620" w:hanging="647"/>
        <w:spacing w:after="0" w:line="272" w:lineRule="auto"/>
        <w:tabs>
          <w:tab w:leader="none" w:pos="60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2"/>
          <w:szCs w:val="22"/>
          <w:b w:val="1"/>
          <w:bCs w:val="1"/>
          <w:color w:val="auto"/>
        </w:rPr>
        <w:t>Issuance of Additional Notes</w:t>
      </w:r>
      <w:r>
        <w:rPr>
          <w:rFonts w:ascii="Times New Roman" w:cs="Times New Roman" w:eastAsia="Times New Roman" w:hAnsi="Times New Roman"/>
          <w:sz w:val="19"/>
          <w:szCs w:val="19"/>
          <w:color w:val="auto"/>
        </w:rPr>
        <w:t>. (a) When authorized by an Authorizing Resolution, Additional Notes may be issued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pursuant to the Indenture or pursuant to a Supplemental Indenture, in each case, without the consent of the Holders of any Notes, subject to compliance with the provisions of this Indenture.</w:t>
      </w:r>
    </w:p>
    <w:p>
      <w:pPr>
        <w:spacing w:after="0" w:line="145" w:lineRule="exact"/>
        <w:rPr>
          <w:sz w:val="20"/>
          <w:szCs w:val="20"/>
          <w:color w:val="auto"/>
        </w:rPr>
      </w:pPr>
    </w:p>
    <w:p>
      <w:pPr>
        <w:ind w:left="1280" w:right="20" w:hanging="644"/>
        <w:spacing w:after="0" w:line="258" w:lineRule="auto"/>
        <w:tabs>
          <w:tab w:leader="none" w:pos="127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authenticating or delivering any Additional Notes under the Indenture, or in executing, or accepting the additional trusts created by, any Supplemental Indenture for Additional Notes permitted by the Indenture, the Trustee shall be entitled to receive, and shall be fully protected in relying upon, and the Company shall cause to be provided, an Opinion of Counsel that (subject to customary exceptions and assumptions):</w:t>
      </w:r>
    </w:p>
    <w:p>
      <w:pPr>
        <w:spacing w:after="0" w:line="172" w:lineRule="exact"/>
        <w:rPr>
          <w:rFonts w:ascii="Times New Roman" w:cs="Times New Roman" w:eastAsia="Times New Roman" w:hAnsi="Times New Roman"/>
          <w:sz w:val="20"/>
          <w:szCs w:val="20"/>
          <w:color w:val="auto"/>
        </w:rPr>
      </w:pPr>
    </w:p>
    <w:p>
      <w:pPr>
        <w:ind w:left="1940" w:right="100" w:hanging="656"/>
        <w:spacing w:after="0" w:line="257" w:lineRule="auto"/>
        <w:tabs>
          <w:tab w:leader="none" w:pos="193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Notes, when authenticated and delivered by the Trustee and issued by the Company and paid for by the purchaser(s) thereof, in each case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172" w:lineRule="exact"/>
        <w:rPr>
          <w:rFonts w:ascii="Times New Roman" w:cs="Times New Roman" w:eastAsia="Times New Roman" w:hAnsi="Times New Roman"/>
          <w:sz w:val="20"/>
          <w:szCs w:val="20"/>
          <w:color w:val="auto"/>
        </w:rPr>
      </w:pPr>
    </w:p>
    <w:p>
      <w:pPr>
        <w:ind w:left="1940" w:right="20" w:hanging="656"/>
        <w:spacing w:after="0" w:line="261" w:lineRule="auto"/>
        <w:tabs>
          <w:tab w:leader="none" w:pos="1939"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Company of such Additional Notes and any Supplemental Indenture for Additional Notes (A) have been duly authorized by all necessary limited liability company, managing member or other action on the part of the Company or its members and (B) will not violate the limited liability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220"/>
          </w:cols>
          <w:pgMar w:left="340" w:top="1413" w:right="339" w:bottom="1440" w:gutter="0" w:footer="0" w:header="0"/>
        </w:sectPr>
      </w:pPr>
    </w:p>
    <w:bookmarkStart w:id="148" w:name="page149"/>
    <w:bookmarkEnd w:id="148"/>
    <w:p>
      <w:pPr>
        <w:ind w:left="1960" w:right="60"/>
        <w:spacing w:after="0" w:line="283" w:lineRule="auto"/>
        <w:rPr>
          <w:sz w:val="20"/>
          <w:szCs w:val="20"/>
          <w:color w:val="auto"/>
        </w:rPr>
      </w:pPr>
      <w:r>
        <w:rPr>
          <w:rFonts w:ascii="Times New Roman" w:cs="Times New Roman" w:eastAsia="Times New Roman" w:hAnsi="Times New Roman"/>
          <w:sz w:val="20"/>
          <w:szCs w:val="20"/>
          <w:color w:val="auto"/>
        </w:rPr>
        <w:t>company agreement, certificate of formation or other organizational documents of the Company, any law binding on the Company, or the Indenture and the other P1 Financing Documents.</w:t>
      </w:r>
    </w:p>
    <w:p>
      <w:pPr>
        <w:spacing w:after="0" w:line="146"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In executing any amendment, modification or supplement of any Additional Notes or any Supplemental Indenture for Additional Notes, the Trustee shall be entitled to receive, and shall be fully protected in relying upon, and the Company shall cause to be provided, an Opinion of Counsel (subject to customary exceptions and assumptions) stating that the amendment, modification or supplement of any Additional Notes or Supplemental Indenture for Additional Notes is authorized or permitted by the Indenture and that such supplemental indenture is the valid and legally binding obligation of the Company, enforceable against the Company in accordance with its terms.</w:t>
      </w:r>
    </w:p>
    <w:p>
      <w:pPr>
        <w:spacing w:after="0" w:line="165" w:lineRule="exact"/>
        <w:rPr>
          <w:sz w:val="20"/>
          <w:szCs w:val="20"/>
          <w:color w:val="auto"/>
        </w:rPr>
      </w:pPr>
    </w:p>
    <w:p>
      <w:pPr>
        <w:ind w:left="1300" w:right="220" w:hanging="644"/>
        <w:spacing w:after="0" w:line="253" w:lineRule="auto"/>
        <w:tabs>
          <w:tab w:leader="none" w:pos="128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and the Company, at any time and from time to time, may enter into one or more Supplemental Indentures, in form satisfactory to the Trustee and the Company, (i) to establish the forms or terms of Additional Notes of any series permitted by this Indenture or (ii) to amend such forms or terms in any manner, solely to the extent such amendment is permitted by the terms of this Indenture. The Trustee may, but shall not be obligated to, enter into any such Supplemental Indenture for Additional Notes which materially and adversely affects the Trustee’s own rights, duties or immunities under this Indenture or otherwise.</w:t>
      </w:r>
    </w:p>
    <w:p>
      <w:pPr>
        <w:spacing w:after="0" w:line="192" w:lineRule="exact"/>
        <w:rPr>
          <w:rFonts w:ascii="Times New Roman" w:cs="Times New Roman" w:eastAsia="Times New Roman" w:hAnsi="Times New Roman"/>
          <w:sz w:val="20"/>
          <w:szCs w:val="20"/>
          <w:color w:val="auto"/>
        </w:rPr>
      </w:pPr>
    </w:p>
    <w:p>
      <w:pPr>
        <w:ind w:left="1300" w:right="20" w:hanging="644"/>
        <w:spacing w:after="0" w:line="276" w:lineRule="auto"/>
        <w:tabs>
          <w:tab w:leader="none" w:pos="129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execution of any Supplemental Indenture for Additional Notes, any such Supplemental Indenture shall form a part of this Indenture for purposes of such Additional Notes and upon the execution of any amendment, modification or supplement of any Supplemental Indenture for Additional Notes in accordance with this Indenture, the Holders of Additional Notes of any series affected thereby theretofore or thereafter authenticated and delivered hereunder shall be bound thereby.</w:t>
      </w:r>
    </w:p>
    <w:p>
      <w:pPr>
        <w:spacing w:after="0" w:line="156" w:lineRule="exact"/>
        <w:rPr>
          <w:rFonts w:ascii="Times New Roman" w:cs="Times New Roman" w:eastAsia="Times New Roman" w:hAnsi="Times New Roman"/>
          <w:sz w:val="19"/>
          <w:szCs w:val="19"/>
          <w:color w:val="auto"/>
        </w:rPr>
      </w:pPr>
    </w:p>
    <w:p>
      <w:pPr>
        <w:ind w:left="1300" w:right="20" w:hanging="644"/>
        <w:spacing w:after="0" w:line="253" w:lineRule="auto"/>
        <w:tabs>
          <w:tab w:leader="none" w:pos="128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of any series authenticated and delivered after the execution of any Supplemental Indenture for Additional Notes may, and shall if required by the Trustee, bear a notation in form approved by the Trustee as to any matter provided for in such Supplemental Indentures. If the Company shall so determine, new Additional Notes of any series, so modified as to conform, in the opinion of the Trustee and the authorized governing body of the Company, to any such Supplemental Indenture for Additional Notes may be prepared and executed by the Company and authenticated and delivered by the Trustee in exchange for outstanding Additional Notes of such series.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220" w:lineRule="exact"/>
        <w:rPr>
          <w:sz w:val="20"/>
          <w:szCs w:val="20"/>
          <w:color w:val="auto"/>
        </w:rPr>
      </w:pPr>
    </w:p>
    <w:p>
      <w:pPr>
        <w:ind w:left="640" w:right="20" w:hanging="647"/>
        <w:spacing w:after="0" w:line="29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2"/>
          <w:szCs w:val="22"/>
          <w:b w:val="1"/>
          <w:bCs w:val="1"/>
          <w:color w:val="auto"/>
        </w:rPr>
        <w:t>Form of Additional Notes</w:t>
      </w:r>
      <w:r>
        <w:rPr>
          <w:rFonts w:ascii="Times New Roman" w:cs="Times New Roman" w:eastAsia="Times New Roman" w:hAnsi="Times New Roman"/>
          <w:sz w:val="19"/>
          <w:szCs w:val="19"/>
          <w:color w:val="auto"/>
        </w:rPr>
        <w:t>. (a) Any Additional Notes of the same series as the Initial Notes will be in the form or forms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in </w:t>
      </w:r>
      <w:r>
        <w:rPr>
          <w:rFonts w:ascii="Times New Roman" w:cs="Times New Roman" w:eastAsia="Times New Roman" w:hAnsi="Times New Roman"/>
          <w:sz w:val="19"/>
          <w:szCs w:val="19"/>
          <w:u w:val="single" w:color="auto"/>
          <w:color w:val="auto"/>
        </w:rPr>
        <w:t>Sections 2.1(a)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of the Indenture.</w:t>
      </w:r>
    </w:p>
    <w:p>
      <w:pPr>
        <w:spacing w:after="0" w:line="114" w:lineRule="exact"/>
        <w:rPr>
          <w:sz w:val="20"/>
          <w:szCs w:val="20"/>
          <w:color w:val="auto"/>
        </w:rPr>
      </w:pPr>
    </w:p>
    <w:p>
      <w:pPr>
        <w:ind w:left="1300" w:right="40" w:hanging="644"/>
        <w:spacing w:after="0" w:line="258" w:lineRule="auto"/>
        <w:tabs>
          <w:tab w:leader="none" w:pos="129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Notes of a separate series from the Initial Notes will be in such form or forms, subject to the compliance with all other provisions of the Indenture, as shall be established in or pursuant to an Authorizing Resolution (and set forth in an Authorizing Resolution or, to the extent established pursuant to (rather than as set forth in) such Authorizing Resolution, in an Officer’s Certificate as to such establishment) or in one 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240"/>
          </w:cols>
          <w:pgMar w:left="320" w:top="1413" w:right="339" w:bottom="1440" w:gutter="0" w:footer="0" w:header="0"/>
        </w:sectPr>
      </w:pPr>
    </w:p>
    <w:bookmarkStart w:id="149" w:name="page150"/>
    <w:bookmarkEnd w:id="149"/>
    <w:p>
      <w:pPr>
        <w:ind w:left="1300" w:right="400"/>
        <w:spacing w:after="0" w:line="283" w:lineRule="auto"/>
        <w:rPr>
          <w:sz w:val="20"/>
          <w:szCs w:val="20"/>
          <w:color w:val="auto"/>
        </w:rPr>
      </w:pPr>
      <w:r>
        <w:rPr>
          <w:rFonts w:ascii="Times New Roman" w:cs="Times New Roman" w:eastAsia="Times New Roman" w:hAnsi="Times New Roman"/>
          <w:sz w:val="20"/>
          <w:szCs w:val="20"/>
          <w:color w:val="auto"/>
        </w:rPr>
        <w:t>more Supplemental Indentures for the Additional Notes permitted to be issued by this Indenture approved pursuant to an Authorizing Resolution.</w:t>
      </w:r>
    </w:p>
    <w:p>
      <w:pPr>
        <w:spacing w:after="0" w:line="146" w:lineRule="exact"/>
        <w:rPr>
          <w:sz w:val="20"/>
          <w:szCs w:val="20"/>
          <w:color w:val="auto"/>
        </w:rPr>
      </w:pPr>
    </w:p>
    <w:p>
      <w:pPr>
        <w:ind w:left="1300" w:right="460" w:hanging="644"/>
        <w:spacing w:after="0" w:line="283" w:lineRule="auto"/>
        <w:tabs>
          <w:tab w:leader="none" w:pos="128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above, the Additional Notes of each series shall be issued as Registered Additional Notes.</w:t>
      </w:r>
    </w:p>
    <w:p>
      <w:pPr>
        <w:spacing w:after="0" w:line="146" w:lineRule="exact"/>
        <w:rPr>
          <w:rFonts w:ascii="Times New Roman" w:cs="Times New Roman" w:eastAsia="Times New Roman" w:hAnsi="Times New Roman"/>
          <w:sz w:val="20"/>
          <w:szCs w:val="20"/>
          <w:color w:val="auto"/>
        </w:rPr>
      </w:pPr>
    </w:p>
    <w:p>
      <w:pPr>
        <w:ind w:left="1300" w:right="40" w:hanging="644"/>
        <w:spacing w:after="0" w:line="253" w:lineRule="auto"/>
        <w:tabs>
          <w:tab w:leader="none" w:pos="129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may be issued, in each case, with such appropriate insertions, omissions, substitutions and other variations as are required or permitted by the Indenture or any Supplemental Indenture for Additional Notes, shall have such legends as may be required by applicable law, and may have such letters, numbers or other marks of identification and such other legends or endorsements placed thereon as may be required to comply with the rules of any securities exchange, clearing organization, or to conform to usage, as may, consistently herewith, be determined by the officers of the Company executing such Additional Notes, as evidenced by their execution of such Additional Notes.</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Additional Note shall be dated the date of its authentication.</w:t>
      </w:r>
    </w:p>
    <w:p>
      <w:pPr>
        <w:spacing w:after="0" w:line="229" w:lineRule="exact"/>
        <w:rPr>
          <w:rFonts w:ascii="Times New Roman" w:cs="Times New Roman" w:eastAsia="Times New Roman" w:hAnsi="Times New Roman"/>
          <w:sz w:val="20"/>
          <w:szCs w:val="20"/>
          <w:color w:val="auto"/>
        </w:rPr>
      </w:pPr>
    </w:p>
    <w:p>
      <w:pPr>
        <w:ind w:left="1300" w:right="120" w:hanging="644"/>
        <w:spacing w:after="0" w:line="251" w:lineRule="auto"/>
        <w:tabs>
          <w:tab w:leader="none" w:pos="129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in issuing the Additional Notes may use “CUSIP,” “CINS,” “ISIN,” “PPN” and other reference numbers (if then generally in use), and, if so, the Trustee shall use “CUSIP,” “CINS,” “ISIN,” “PPN” and other such reference numbers in notices as a convenience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Additional Notes or as contained in any notice of a redemption and that reliance may be placed only on the other identification numbers printed on the Additional Notes, and any such redemption shall not be affected by any defect in or omission of such numbers. The Company will promptly notify the Trustee of any changes in the “CUSIP,” “CINS,” “ISIN,” “PPN” or the other such reference numbers.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Form of Trustee Authentication for Additional Notes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right="1240" w:firstLine="16"/>
        <w:spacing w:after="0" w:line="489" w:lineRule="auto"/>
        <w:tabs>
          <w:tab w:leader="none" w:pos="1291"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certificate of authentication on all Additional Notes shall be in substantially the following form: “This is one of the Additional Notes of the series designated therein referred to in the within-mentioned Indenture.”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ò</w:t>
      </w:r>
      <w:r>
        <w:rPr>
          <w:rFonts w:ascii="Times New Roman" w:cs="Times New Roman" w:eastAsia="Times New Roman" w:hAnsi="Times New Roman"/>
          <w:sz w:val="20"/>
          <w:szCs w:val="20"/>
          <w:color w:val="auto"/>
        </w:rPr>
        <w:t xml:space="preserve"> ],</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as Trustee</w:t>
      </w:r>
    </w:p>
    <w:p>
      <w:pPr>
        <w:spacing w:after="0" w:line="194"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33"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19"/>
          <w:szCs w:val="19"/>
          <w:color w:val="auto"/>
        </w:rPr>
        <w:t>. The Company, the Trustee and any paying agent, the Additional Note registrar and any other agent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or the Trustee in respect of the Additional Notes of any series may treat the Person in whose name any Registered Additional Note of such series is registered as the owner of such Registered Additional Note for the purpose of receiving payment of principal of (and premium, if any) and interest, if any, on such Registered Additional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61" w:lineRule="auto"/>
        <w:rPr>
          <w:sz w:val="20"/>
          <w:szCs w:val="20"/>
          <w:color w:val="auto"/>
        </w:rPr>
      </w:pPr>
      <w:r>
        <w:rPr>
          <w:rFonts w:ascii="Times New Roman" w:cs="Times New Roman" w:eastAsia="Times New Roman" w:hAnsi="Times New Roman"/>
          <w:sz w:val="20"/>
          <w:szCs w:val="20"/>
          <w:color w:val="auto"/>
        </w:rPr>
        <w:t>Note and for all other purposes whatsoever, whether or not such Registered Additional Note be overdue, and neither the Company nor the Trustee nor any paying agent, Additional Note registrar or other agent of the Company or the Trustee in respect of the Registered Additional Notes of such series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0580"/>
          </w:cols>
          <w:pgMar w:left="980" w:top="141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CERTIFICATE FROM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ACQUIRING INSTITUTIONAL ACCREDITED INVESTOR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22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our proposed purchase of $ _______ aggregate principal amount of a Definitive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confirm that:</w:t>
      </w:r>
    </w:p>
    <w:p>
      <w:pPr>
        <w:spacing w:after="0" w:line="216" w:lineRule="exact"/>
        <w:rPr>
          <w:sz w:val="20"/>
          <w:szCs w:val="20"/>
          <w:color w:val="auto"/>
        </w:rPr>
      </w:pPr>
    </w:p>
    <w:p>
      <w:pPr>
        <w:jc w:val="both"/>
        <w:ind w:left="640" w:hanging="634"/>
        <w:spacing w:after="0" w:line="281" w:lineRule="auto"/>
        <w:rPr>
          <w:sz w:val="20"/>
          <w:szCs w:val="20"/>
          <w:color w:val="auto"/>
        </w:rPr>
      </w:pPr>
      <w:r>
        <w:rPr>
          <w:rFonts w:ascii="Times New Roman" w:cs="Times New Roman" w:eastAsia="Times New Roman" w:hAnsi="Times New Roman"/>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jc w:val="both"/>
        <w:ind w:left="640" w:hanging="634"/>
        <w:spacing w:after="0" w:line="254" w:lineRule="auto"/>
        <w:rPr>
          <w:sz w:val="20"/>
          <w:szCs w:val="20"/>
          <w:color w:val="auto"/>
        </w:rPr>
      </w:pPr>
      <w:r>
        <w:rPr>
          <w:rFonts w:ascii="Times New Roman" w:cs="Times New Roman" w:eastAsia="Times New Roman" w:hAnsi="Times New Roman"/>
          <w:sz w:val="20"/>
          <w:szCs w:val="20"/>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w:t>
      </w:r>
    </w:p>
    <w:p>
      <w:pPr>
        <w:spacing w:after="0" w:line="1" w:lineRule="exact"/>
        <w:rPr>
          <w:sz w:val="20"/>
          <w:szCs w:val="20"/>
          <w:color w:val="auto"/>
        </w:rPr>
      </w:pPr>
    </w:p>
    <w:p>
      <w:pPr>
        <w:jc w:val="both"/>
        <w:ind w:left="640" w:firstLine="3"/>
        <w:spacing w:after="0" w:line="248" w:lineRule="auto"/>
        <w:tabs>
          <w:tab w:leader="none" w:pos="99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w:t>
      </w:r>
    </w:p>
    <w:p>
      <w:pPr>
        <w:spacing w:after="0" w:line="1" w:lineRule="exact"/>
        <w:rPr>
          <w:rFonts w:ascii="Times New Roman" w:cs="Times New Roman" w:eastAsia="Times New Roman" w:hAnsi="Times New Roman"/>
          <w:sz w:val="20"/>
          <w:szCs w:val="20"/>
          <w:color w:val="auto"/>
        </w:rPr>
      </w:pPr>
    </w:p>
    <w:p>
      <w:pPr>
        <w:jc w:val="both"/>
        <w:ind w:left="640" w:firstLine="3"/>
        <w:spacing w:after="0" w:line="259" w:lineRule="auto"/>
        <w:tabs>
          <w:tab w:leader="none" w:pos="967"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from us in a transaction meeting the requirements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1" w:lineRule="exact"/>
        <w:rPr>
          <w:rFonts w:ascii="Times New Roman" w:cs="Times New Roman" w:eastAsia="Times New Roman" w:hAnsi="Times New Roman"/>
          <w:sz w:val="19"/>
          <w:szCs w:val="19"/>
          <w:color w:val="auto"/>
        </w:rPr>
      </w:pPr>
    </w:p>
    <w:p>
      <w:pPr>
        <w:ind w:left="940" w:hanging="297"/>
        <w:spacing w:after="0"/>
        <w:tabs>
          <w:tab w:leader="none" w:pos="940" w:val="left"/>
        </w:tabs>
        <w:numPr>
          <w:ilvl w:val="0"/>
          <w:numId w:val="1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paragraph a notice advising such purchaser that resales thereof are restricted as stated herein.</w:t>
      </w:r>
    </w:p>
    <w:p>
      <w:pPr>
        <w:spacing w:after="0" w:line="187" w:lineRule="exact"/>
        <w:rPr>
          <w:sz w:val="20"/>
          <w:szCs w:val="20"/>
          <w:color w:val="auto"/>
        </w:rPr>
      </w:pPr>
    </w:p>
    <w:p>
      <w:pPr>
        <w:jc w:val="both"/>
        <w:ind w:left="640" w:hanging="634"/>
        <w:spacing w:after="0" w:line="261" w:lineRule="auto"/>
        <w:rPr>
          <w:sz w:val="20"/>
          <w:szCs w:val="20"/>
          <w:color w:val="auto"/>
        </w:rPr>
      </w:pPr>
      <w:r>
        <w:rPr>
          <w:rFonts w:ascii="Times New Roman" w:cs="Times New Roman" w:eastAsia="Times New Roman" w:hAnsi="Times New Roman"/>
          <w:sz w:val="20"/>
          <w:szCs w:val="20"/>
          <w:color w:val="auto"/>
        </w:rPr>
        <w:t>We understand that, on any proposed resale of the Notes,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ectPr>
          <w:pgSz w:w="11900" w:h="16838" w:orient="portrait"/>
          <w:cols w:equalWidth="0" w:num="1">
            <w:col w:w="11240"/>
          </w:cols>
          <w:pgMar w:left="320" w:top="1409" w:right="339" w:bottom="1440" w:gutter="0" w:footer="0" w:header="0"/>
        </w:sectPr>
      </w:pPr>
    </w:p>
    <w:bookmarkStart w:id="152" w:name="page153"/>
    <w:bookmarkEnd w:id="152"/>
    <w:p>
      <w:pPr>
        <w:jc w:val="both"/>
        <w:ind w:left="640" w:hanging="634"/>
        <w:spacing w:after="0" w:line="258" w:lineRule="auto"/>
        <w:rPr>
          <w:sz w:val="20"/>
          <w:szCs w:val="20"/>
          <w:color w:val="auto"/>
        </w:rPr>
      </w:pPr>
      <w:r>
        <w:rPr>
          <w:rFonts w:ascii="Times New Roman" w:cs="Times New Roman" w:eastAsia="Times New Roman" w:hAnsi="Times New Roman"/>
          <w:sz w:val="20"/>
          <w:szCs w:val="20"/>
          <w:color w:val="auto"/>
        </w:rPr>
        <w:t>We are an institutional “accredited investor” (as defined in Rule 501(a)(1), (2), (3), (7) or (9)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59" w:lineRule="exact"/>
        <w:rPr>
          <w:sz w:val="20"/>
          <w:szCs w:val="20"/>
          <w:color w:val="auto"/>
        </w:rPr>
      </w:pPr>
    </w:p>
    <w:p>
      <w:pPr>
        <w:jc w:val="both"/>
        <w:ind w:left="640" w:right="20" w:hanging="634"/>
        <w:spacing w:after="0" w:line="283" w:lineRule="auto"/>
        <w:rPr>
          <w:sz w:val="20"/>
          <w:szCs w:val="20"/>
          <w:color w:val="auto"/>
        </w:rPr>
      </w:pPr>
      <w:r>
        <w:rPr>
          <w:rFonts w:ascii="Times New Roman" w:cs="Times New Roman" w:eastAsia="Times New Roman" w:hAnsi="Times New Roman"/>
          <w:sz w:val="20"/>
          <w:szCs w:val="20"/>
          <w:color w:val="auto"/>
        </w:rPr>
        <w:t>We are acquiring the Notes purchased by us for our own account or for one or more accounts (each of which is an institutional “accredited investor”) as to each of which we exercise sole investment discretion.</w:t>
      </w:r>
    </w:p>
    <w:p>
      <w:pPr>
        <w:spacing w:after="0" w:line="1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235585</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[Insert Name of Accredited Investor]</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ectPr>
          <w:pgSz w:w="11900" w:h="16838" w:orient="portrait"/>
          <w:cols w:equalWidth="0" w:num="1">
            <w:col w:w="11240"/>
          </w:cols>
          <w:pgMar w:left="320" w:top="141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b w:val="1"/>
          <w:bCs w:val="1"/>
          <w:color w:val="auto"/>
        </w:rPr>
        <w:t>EXHIBIT 2.15-A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9"/>
          <w:szCs w:val="19"/>
          <w:color w:val="auto"/>
        </w:rPr>
        <w:t>Pursuant to the provisions of Section 2.15 of the Indenture, the undersigned hereby certifies that (i) it is the sole record and beneficial owner of the Notes in respect of which it is providing this certificate, (ii) it is not a “bank” within the meaning of Section 881(c)(3)</w:t>
      </w:r>
    </w:p>
    <w:p>
      <w:pPr>
        <w:spacing w:after="0" w:line="1" w:lineRule="exact"/>
        <w:rPr>
          <w:sz w:val="20"/>
          <w:szCs w:val="20"/>
          <w:color w:val="auto"/>
        </w:rPr>
      </w:pPr>
    </w:p>
    <w:p>
      <w:pPr>
        <w:ind w:firstLine="8"/>
        <w:spacing w:after="0" w:line="253" w:lineRule="auto"/>
        <w:tabs>
          <w:tab w:leader="none" w:pos="32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(iii) it is not a “ten percent shareholder” of the Company within the meaning of Section 871(h)(3)(B) of the Code, and (iv) it is not a “controlled foreign corporation” related to the Company as described in Section 881(c)(3)(C) of the Code.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a certificate of its non-U.S. Person status on IRS Form W-8BEN or IRS Form W-8BEN-E, as applicable.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w:t>
      </w:r>
    </w:p>
    <w:p>
      <w:pPr>
        <w:sectPr>
          <w:pgSz w:w="11900" w:h="16838" w:orient="portrait"/>
          <w:cols w:equalWidth="0" w:num="1">
            <w:col w:w="11240"/>
          </w:cols>
          <w:pgMar w:left="320" w:top="1409" w:right="339" w:bottom="1440" w:gutter="0" w:footer="0" w:header="0"/>
        </w:sectPr>
      </w:pPr>
    </w:p>
    <w:bookmarkStart w:id="154" w:name="page155"/>
    <w:bookmarkEnd w:id="154"/>
    <w:p>
      <w:pPr>
        <w:spacing w:after="0" w:line="283" w:lineRule="auto"/>
        <w:rPr>
          <w:sz w:val="20"/>
          <w:szCs w:val="20"/>
          <w:color w:val="auto"/>
        </w:rPr>
      </w:pPr>
      <w:r>
        <w:rPr>
          <w:rFonts w:ascii="Times New Roman" w:cs="Times New Roman" w:eastAsia="Times New Roman" w:hAnsi="Times New Roman"/>
          <w:sz w:val="20"/>
          <w:szCs w:val="20"/>
          <w:color w:val="auto"/>
        </w:rPr>
        <w:t>certificate in either the calendar year in which each payment is to be made to the undersigned, or in either of the two calendar years preceding such payments.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55" w:name="page156"/>
    <w:bookmarkEnd w:id="155"/>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09"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EXHIBIT 2.15-B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and beneficial owner of the participation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a certificate of its non-U.S. Person status on IRS Form W-8BEN or IRS Form W-8BEN-E, as applicable. By executing this certificate, the undersigned agrees that (1) if the information provided in this certificate changes, the undersigned shall promptly so inform such Noteholder in writing, and (2) the undersigned shall have at all times furnished such Noteholder with a properly completed and currently effective certificate in either the</w:t>
      </w:r>
    </w:p>
    <w:p>
      <w:pPr>
        <w:sectPr>
          <w:pgSz w:w="11900" w:h="16838" w:orient="portrait"/>
          <w:cols w:equalWidth="0" w:num="1">
            <w:col w:w="11240"/>
          </w:cols>
          <w:pgMar w:left="320" w:top="140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calendar year in which each payment is to be made to the undersigned, or in either of the two calendar years preceding such payments.</w:t>
      </w:r>
    </w:p>
    <w:p>
      <w:pPr>
        <w:sectPr>
          <w:pgSz w:w="11900" w:h="16838" w:orient="portrait"/>
          <w:cols w:equalWidth="0" w:num="1">
            <w:col w:w="10660"/>
          </w:cols>
          <w:pgMar w:left="320" w:top="1413" w:right="919" w:bottom="1440" w:gutter="0" w:footer="0" w:header="0"/>
        </w:sectPr>
      </w:pPr>
    </w:p>
    <w:p>
      <w:pPr>
        <w:spacing w:after="0" w:line="2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blank. Signature page follows.</w:t>
      </w:r>
      <w:r>
        <w:rPr>
          <w:rFonts w:ascii="Times New Roman" w:cs="Times New Roman" w:eastAsia="Times New Roman" w:hAnsi="Times New Roman"/>
          <w:sz w:val="19"/>
          <w:szCs w:val="19"/>
          <w:color w:val="auto"/>
        </w:rPr>
        <w:t>]</w:t>
      </w:r>
    </w:p>
    <w:p>
      <w:pPr>
        <w:sectPr>
          <w:pgSz w:w="11900" w:h="16838" w:orient="portrait"/>
          <w:cols w:equalWidth="0" w:num="1">
            <w:col w:w="10660"/>
          </w:cols>
          <w:pgMar w:left="320" w:top="1413" w:right="919" w:bottom="1440" w:gutter="0" w:footer="0" w:header="0"/>
          <w:type w:val="continuous"/>
        </w:sectPr>
      </w:pPr>
    </w:p>
    <w:bookmarkStart w:id="158" w:name="page159"/>
    <w:bookmarkEnd w:id="158"/>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09"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color w:val="auto"/>
        </w:rPr>
        <w:t>EXHIBIT 2.15-C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IRS Form W-8IMY accompanied by one of the following forms from each of its partners/members that is claiming the portfolio interest exemption: (i) an IRS Form W-8BEN or an IRS Form W-8BEN-E, as applicable, or</w:t>
      </w:r>
    </w:p>
    <w:p>
      <w:pPr>
        <w:sectPr>
          <w:pgSz w:w="11900" w:h="16838" w:orient="portrait"/>
          <w:cols w:equalWidth="0" w:num="1">
            <w:col w:w="11240"/>
          </w:cols>
          <w:pgMar w:left="320" w:top="1409" w:right="339" w:bottom="1440" w:gutter="0" w:footer="0" w:header="0"/>
        </w:sectPr>
      </w:pPr>
    </w:p>
    <w:bookmarkStart w:id="160" w:name="page161"/>
    <w:bookmarkEnd w:id="160"/>
    <w:p>
      <w:pPr>
        <w:jc w:val="both"/>
        <w:ind w:left="-8" w:firstLine="8"/>
        <w:spacing w:after="0" w:line="253" w:lineRule="auto"/>
        <w:tabs>
          <w:tab w:leader="none" w:pos="33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such Noteholder and (2) the undersigned shall have at all times furnished such Noteholder with a properly completed and currently effective certificate in either the calendar year in which each payment is to be made to the undersigned, or in either of the two calendar years preceding such payments.</w:t>
      </w:r>
    </w:p>
    <w:p>
      <w:pPr>
        <w:spacing w:after="0" w:line="1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ectPr>
          <w:pgSz w:w="11900" w:h="16838" w:orient="portrait"/>
          <w:cols w:equalWidth="0" w:num="1">
            <w:col w:w="11232"/>
          </w:cols>
          <w:pgMar w:left="328" w:top="1413" w:right="339" w:bottom="1440" w:gutter="0" w:footer="0" w:header="0"/>
        </w:sectPr>
      </w:pPr>
    </w:p>
    <w:bookmarkStart w:id="161" w:name="page162"/>
    <w:bookmarkEnd w:id="161"/>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09"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EXHIBIT 2.15-D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June 28,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Notes in respect of which it is providing this certificate, (ii) its direct or indirect partners/members are the sole beneficial owners of such Notes, (iii) with respect to the extension of indebtedness pursuant to the Indenture or any other P1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IRS Form W-8IMY accompanied by one of the following forms from each of its partners/members that is claiming the</w:t>
      </w:r>
    </w:p>
    <w:p>
      <w:pPr>
        <w:sectPr>
          <w:pgSz w:w="11900" w:h="16838" w:orient="portrait"/>
          <w:cols w:equalWidth="0" w:num="1">
            <w:col w:w="11240"/>
          </w:cols>
          <w:pgMar w:left="320" w:top="1409"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0"/>
          <w:szCs w:val="20"/>
          <w:color w:val="auto"/>
        </w:rPr>
        <w:t>portfolio interest exemption: (i) an IRS Form W-8BEN or an IRS Form W-8BEN-E, as applicable, or (ii) 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 certificate in either the calendar year in which each payment is to be made to the undersigned, or in either of the two calendar years preceding such payments.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64" w:name="page165"/>
    <w:bookmarkEnd w:id="164"/>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40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BX1 CREDIT AGREEMENT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AMENDMENT NO. 1 TO BX1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April 5, 2024, amends that certain Credit Agreement, dated as of September 15, 2023 (as amended, amended and restated, supplemented or otherwise modified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as it may be further amended, amended and restated, supplemented or otherwise modified from time to time, the “</w:t>
      </w:r>
      <w:r>
        <w:rPr>
          <w:rFonts w:ascii="Times New Roman" w:cs="Times New Roman" w:eastAsia="Times New Roman" w:hAnsi="Times New Roman"/>
          <w:sz w:val="22"/>
          <w:szCs w:val="22"/>
          <w:u w:val="single" w:color="auto"/>
          <w:color w:val="auto"/>
        </w:rPr>
        <w:t>BX1 Credit Agreement</w:t>
      </w:r>
      <w:r>
        <w:rPr>
          <w:rFonts w:ascii="Times New Roman" w:cs="Times New Roman" w:eastAsia="Times New Roman" w:hAnsi="Times New Roman"/>
          <w:sz w:val="22"/>
          <w:szCs w:val="22"/>
          <w:color w:val="auto"/>
        </w:rPr>
        <w:t>”) by and among RIO GRANDE LNG, LLC, a limited liability company formed under the laws of the State of Texas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SENIOR LENDERS from time to time party thereto, WILMINGTON TRUST, NATIONAL ASSOCIATION, in its capacity as the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MIZUHO BANK (USA), as the P1 Collateral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to this Amendment desire to amend the Existing Credit Agreement as provided herein.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premises and the agreements and undertakings set forth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to this Amendment agree as follows:</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 Principles of Interpretation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Capitalized terms used, but not otherwise defined, in this Amendment shall have the respective meanings given to them in the BX1 Credit Agreement. The principles of interpretation and construction applicable to the BX1 Credit Agreement pursuant to Section 1.2 (</w:t>
      </w:r>
      <w:r>
        <w:rPr>
          <w:rFonts w:ascii="Times New Roman" w:cs="Times New Roman" w:eastAsia="Times New Roman" w:hAnsi="Times New Roman"/>
          <w:sz w:val="21"/>
          <w:szCs w:val="21"/>
          <w:i w:val="1"/>
          <w:iCs w:val="1"/>
          <w:color w:val="auto"/>
        </w:rPr>
        <w:t>Principles of Interpretation</w:t>
      </w:r>
      <w:r>
        <w:rPr>
          <w:rFonts w:ascii="Times New Roman" w:cs="Times New Roman" w:eastAsia="Times New Roman" w:hAnsi="Times New Roman"/>
          <w:sz w:val="21"/>
          <w:szCs w:val="21"/>
          <w:color w:val="auto"/>
        </w:rPr>
        <w:t xml:space="preserve">) of the BX1 Credit Agreement shall apply to this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 to BX1 Credit Agreement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Effective as of the Amendment Effective Date (as defined below) the Existing Credit Agreement is hereby amended to delete the stricken text (indicated in the same manner as the following example: </w:t>
      </w:r>
      <w:r>
        <w:rPr>
          <w:rFonts w:ascii="Times New Roman" w:cs="Times New Roman" w:eastAsia="Times New Roman" w:hAnsi="Times New Roman"/>
          <w:sz w:val="21"/>
          <w:szCs w:val="21"/>
          <w:b w:val="1"/>
          <w:bCs w:val="1"/>
          <w:color w:val="auto"/>
          <w:strike w:val="1"/>
        </w:rPr>
        <w:t>stricken text</w:t>
      </w:r>
      <w:r>
        <w:rPr>
          <w:rFonts w:ascii="Times New Roman" w:cs="Times New Roman" w:eastAsia="Times New Roman" w:hAnsi="Times New Roman"/>
          <w:sz w:val="21"/>
          <w:szCs w:val="21"/>
          <w:color w:val="auto"/>
        </w:rPr>
        <w:t xml:space="preserve">) and to add the double-underlined text (indicated in the same manner as the following example: </w:t>
      </w:r>
      <w:r>
        <w:rPr>
          <w:rFonts w:ascii="Times New Roman" w:cs="Times New Roman" w:eastAsia="Times New Roman" w:hAnsi="Times New Roman"/>
          <w:sz w:val="21"/>
          <w:szCs w:val="21"/>
          <w:b w:val="1"/>
          <w:bCs w:val="1"/>
          <w:u w:val="single" w:color="auto"/>
          <w:color w:val="auto"/>
        </w:rPr>
        <w:t>double-underlined text</w:t>
      </w:r>
      <w:r>
        <w:rPr>
          <w:rFonts w:ascii="Times New Roman" w:cs="Times New Roman" w:eastAsia="Times New Roman" w:hAnsi="Times New Roman"/>
          <w:sz w:val="21"/>
          <w:szCs w:val="21"/>
          <w:color w:val="auto"/>
        </w:rPr>
        <w:t xml:space="preserve">)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Effectiveness of Amendment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amendment set forth in Section 2 shall be effective upon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the Administrative Agent has received duly executed counterparts of this Amendment from Borrower, the Administrative Agent, the P1 Collateral Agent and the Majority Senior Lenders.</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represents and warrants for the benefit of the Administrative Agent and the Senior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|US-DOCS\147927247.10||</w:t>
      </w:r>
    </w:p>
    <w:p>
      <w:pPr>
        <w:sectPr>
          <w:pgSz w:w="11900" w:h="16838" w:orient="portrait"/>
          <w:cols w:equalWidth="0" w:num="1">
            <w:col w:w="11240"/>
          </w:cols>
          <w:pgMar w:left="320" w:top="117" w:right="339" w:bottom="1440" w:gutter="0" w:footer="0" w:header="0"/>
        </w:sectPr>
      </w:pPr>
    </w:p>
    <w:bookmarkStart w:id="166" w:name="page167"/>
    <w:bookmarkEnd w:id="166"/>
    <w:p>
      <w:pPr>
        <w:spacing w:after="0" w:line="9" w:lineRule="exact"/>
        <w:rPr>
          <w:sz w:val="20"/>
          <w:szCs w:val="20"/>
          <w:color w:val="auto"/>
        </w:rPr>
      </w:pPr>
    </w:p>
    <w:p>
      <w:pPr>
        <w:ind w:firstLine="1304"/>
        <w:spacing w:after="0" w:line="284" w:lineRule="auto"/>
        <w:tabs>
          <w:tab w:leader="none" w:pos="193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Default or Event of Default has occurred and is continuing or will occur upon giving effect to the transactions and agreements contemplated under this Amendment;</w:t>
      </w:r>
    </w:p>
    <w:p>
      <w:pPr>
        <w:spacing w:after="0" w:line="143"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Borrower has the power and authority to execute and deliver, and to perform its obligations under this Amendment and the execution, delivery, and performance of its obligations under this Amendment do not conflict with its Organic Documents; and</w:t>
      </w:r>
    </w:p>
    <w:p>
      <w:pPr>
        <w:spacing w:after="0" w:line="186" w:lineRule="exact"/>
        <w:rPr>
          <w:rFonts w:ascii="Times New Roman" w:cs="Times New Roman" w:eastAsia="Times New Roman" w:hAnsi="Times New Roman"/>
          <w:sz w:val="20"/>
          <w:szCs w:val="20"/>
          <w:color w:val="auto"/>
        </w:rPr>
      </w:pPr>
    </w:p>
    <w:p>
      <w:pPr>
        <w:jc w:val="both"/>
        <w:ind w:firstLine="1304"/>
        <w:spacing w:after="0" w:line="275" w:lineRule="auto"/>
        <w:tabs>
          <w:tab w:leader="none" w:pos="1934"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Amendment has been duly executed by the Borrower and (assuming the due execution and delivery by the counterparties hereto) constitutes the legal, valid, and binding obligation of the Borrower, enforceable against the Borrower in accordance with its terms, except as limited by general principles of equity and bankruptcy, insolvency and similar laws.</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Limited Effect on BX1 Credit Agreement and P1 Financing Documents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3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expressly provided for herein, the terms and conditions of the Existing Credit Agreement shall continue unchanged and shall remain in full force and effect. The amendment agreed to herein shall apply solely to the matters set forth herein and such amendment shall not be deemed or construed as a consent to or an amendment of any other matters.</w:t>
      </w:r>
    </w:p>
    <w:p>
      <w:pPr>
        <w:spacing w:after="0" w:line="167"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3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Amendment shall constitute a P1 Financing Document. Upon the effectiveness hereof, each reference to the BX1 Credit Agreement in the BX1 Credit Agreement or in any other P1 Financing Document shall mean and be a reference to the BX1 Credit Agreement as amended hereby (and as it may be further amended, amended and restated, supplemented or otherwise modified from time to time).</w:t>
      </w:r>
    </w:p>
    <w:p>
      <w:pPr>
        <w:spacing w:after="0" w:line="176" w:lineRule="exact"/>
        <w:rPr>
          <w:rFonts w:ascii="Times New Roman" w:cs="Times New Roman" w:eastAsia="Times New Roman" w:hAnsi="Times New Roman"/>
          <w:sz w:val="20"/>
          <w:szCs w:val="20"/>
          <w:color w:val="auto"/>
        </w:rPr>
      </w:pPr>
    </w:p>
    <w:p>
      <w:pPr>
        <w:jc w:val="both"/>
        <w:ind w:firstLine="1304"/>
        <w:spacing w:after="0" w:line="265" w:lineRule="auto"/>
        <w:tabs>
          <w:tab w:leader="none" w:pos="1934"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Neither the execution and delivery of this Amendment nor any of the terms, covenants, conditions or other provisions set forth herein are intended, nor shall they be deemed or construed, to effect a novation of any Liens or Senior Secured Obligations under the BX1 Credit Agreement or to pay, extinguish, release, satisfy or discharge (i) the Senior Secured Obligations under the BX1 Credit Agreement, (ii) the liability of the Borrower under the BX1 Credit Agreement or the other P1 Financing Documents or any Senior Secured Obligations or other obligations evidenced thereby, or (iii) any mortgages, deeds of trust, liens, security interests or contractual or legal rights securing all or any part of such Senior Secured Obligations.</w:t>
      </w:r>
    </w:p>
    <w:p>
      <w:pPr>
        <w:spacing w:after="0" w:line="168" w:lineRule="exact"/>
        <w:rPr>
          <w:rFonts w:ascii="Times New Roman" w:cs="Times New Roman" w:eastAsia="Times New Roman" w:hAnsi="Times New Roman"/>
          <w:sz w:val="19"/>
          <w:szCs w:val="19"/>
          <w:color w:val="auto"/>
        </w:rPr>
      </w:pPr>
    </w:p>
    <w:p>
      <w:pPr>
        <w:jc w:val="both"/>
        <w:ind w:firstLine="1304"/>
        <w:spacing w:after="0" w:line="256" w:lineRule="auto"/>
        <w:tabs>
          <w:tab w:leader="none" w:pos="193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Borrower hereby (i) agrees that this Amendment and the transactions contemplated hereby shall not limit or diminish the Borrower’s obligations arising under or pursuant to the P1 Financing Documents to which it is a party, (ii) reaffirms all of the Borrower’s obligations under the BX1 Credit Agreement and the other P1 Financing Documents to which it is a party, and (iii) acknowledges and agrees that the BX1 Credit Agreement and each other P1 Financing Document executed by each Loan Party remains in full force and effect and is hereby reaffirmed, ratified and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|US-DOCS\147927247.10||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any provision of this Amendment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AGREEMENT, AND THE RIGHTS AND OBLIGATIONS OF THE PARTIES HEREUNDER, SHALL BE GOVERNED BY, AND CONSTRUED IN ACCORDANCE WITH, THE LAW OF THE STATE OF NEW YORK, UNITED STATES OF AMERICA.</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Binding Nature and Benefit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Amendment shall be binding upon and inure to the benefit of each party hereto and their respective successors and permitted assigns.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Amendment may be executed in counterparts (and by different parties hereto in different counterparts), each of which shall constitute an original, but all of which when taken together shall constitute a single contract. This Amendment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Amendment by facsimile or portable document format (“pdf”) shall be effective as delivery of a manually executed counterpart of this Amendment. The words “execution,” “signed,” “signature,” and words of like import in this Amendment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Direction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Senior Lenders, by their execution of this Amendment, hereby direct and authorize the Administrative Agent to execute and deliver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|US-DOCS\147927247.10||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5"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|US-DOCS\147927247.10||</w:t>
      </w:r>
    </w:p>
    <w:p>
      <w:pPr>
        <w:sectPr>
          <w:pgSz w:w="11900" w:h="16838" w:orient="portrait"/>
          <w:cols w:equalWidth="0" w:num="1">
            <w:col w:w="10139"/>
          </w:cols>
          <w:pgMar w:left="320" w:top="1440" w:right="1440" w:bottom="1440" w:gutter="0" w:footer="0" w:header="0"/>
        </w:sectPr>
      </w:pPr>
    </w:p>
    <w:bookmarkStart w:id="169" w:name="page170"/>
    <w:bookmarkEnd w:id="169"/>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their duly authorized officers to execute and deliver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as of the date first above written.</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RIO GRANDE LNG, LLC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9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Brent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-13970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 Brent Wahl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BX1 Credit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320" w:top="1440" w:right="879" w:bottom="1440" w:gutter="0" w:footer="0" w:header="0"/>
        </w:sectPr>
      </w:pPr>
    </w:p>
    <w:bookmarkStart w:id="170" w:name="page171"/>
    <w:bookmarkEnd w:id="170"/>
    <w:p>
      <w:pPr>
        <w:spacing w:after="0" w:line="200" w:lineRule="exact"/>
        <w:rPr>
          <w:sz w:val="20"/>
          <w:szCs w:val="20"/>
          <w:color w:val="auto"/>
        </w:rPr>
      </w:pPr>
    </w:p>
    <w:p>
      <w:pPr>
        <w:spacing w:after="0" w:line="264" w:lineRule="exact"/>
        <w:rPr>
          <w:sz w:val="20"/>
          <w:szCs w:val="20"/>
          <w:color w:val="auto"/>
        </w:rPr>
      </w:pPr>
    </w:p>
    <w:p>
      <w:pPr>
        <w:ind w:left="2780" w:right="1099"/>
        <w:spacing w:after="0" w:line="275"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Administrative Agent</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Jessica A. Jankiewicz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4928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Jessica A. Jankiewicz</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1" w:name="page172"/>
    <w:bookmarkEnd w:id="171"/>
    <w:p>
      <w:pPr>
        <w:spacing w:after="0" w:line="2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MIZUHO BANK (USA)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the P1 Collateral Agent</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Dominick D’Ascoli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868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Dominick D’Ascoli</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2" w:name="page173"/>
    <w:bookmarkEnd w:id="17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ALLIANZ LIFE INSURANCE COMPANY OF NORTH</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AMERICA</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-13970</wp:posOffset>
            </wp:positionV>
            <wp:extent cx="1600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259"/>
          </w:cols>
          <w:pgMar w:left="1200" w:top="1440" w:right="1440" w:bottom="1440" w:gutter="0" w:footer="0" w:header="0"/>
        </w:sectPr>
      </w:pPr>
    </w:p>
    <w:bookmarkStart w:id="173" w:name="page174"/>
    <w:bookmarkEnd w:id="173"/>
    <w:p>
      <w:pPr>
        <w:spacing w:after="0" w:line="5" w:lineRule="exact"/>
        <w:rPr>
          <w:sz w:val="20"/>
          <w:szCs w:val="20"/>
          <w:color w:val="auto"/>
        </w:rPr>
      </w:pPr>
    </w:p>
    <w:p>
      <w:pPr>
        <w:ind w:left="2780" w:right="799"/>
        <w:spacing w:after="0" w:line="480" w:lineRule="auto"/>
        <w:rPr>
          <w:sz w:val="20"/>
          <w:szCs w:val="20"/>
          <w:color w:val="auto"/>
        </w:rPr>
      </w:pPr>
      <w:r>
        <w:rPr>
          <w:rFonts w:ascii="Times New Roman" w:cs="Times New Roman" w:eastAsia="Times New Roman" w:hAnsi="Times New Roman"/>
          <w:sz w:val="22"/>
          <w:szCs w:val="22"/>
          <w:b w:val="1"/>
          <w:bCs w:val="1"/>
          <w:color w:val="auto"/>
        </w:rPr>
        <w:t>AMERICAN GENERAL LIFE INSURANCE 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Senior Lender</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25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4" w:name="page175"/>
    <w:bookmarkEnd w:id="174"/>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EVERLAKE LIFE INSURANCE</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25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FIDELITY &amp; GUARANTY LIFE</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INSURANCE COMPANY</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25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6" w:name="page177"/>
    <w:bookmarkEnd w:id="176"/>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SECURITY LIFE OF DENVER</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INSURANCE COMPANY</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25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7" w:name="page178"/>
    <w:bookmarkEnd w:id="177"/>
    <w:p>
      <w:pPr>
        <w:spacing w:after="0" w:line="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SYMETRA LIFE INSURANCE COMPANY</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-13970</wp:posOffset>
            </wp:positionV>
            <wp:extent cx="17373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73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BX1 Credit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b w:val="1"/>
          <w:bCs w:val="1"/>
          <w:color w:val="auto"/>
        </w:rPr>
        <w:t>Conformed Copy of Amended BX1 Credit Agreement</w:t>
      </w: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|US-DOCS\147927247.10||</w:t>
      </w:r>
    </w:p>
    <w:p>
      <w:pPr>
        <w:sectPr>
          <w:pgSz w:w="11900" w:h="16838" w:orient="portrait"/>
          <w:cols w:equalWidth="0" w:num="1">
            <w:col w:w="10139"/>
          </w:cols>
          <w:pgMar w:left="320" w:top="1440"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Conformed to include: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No. 1, dated as of April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19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dated as of September 15, 2023</w:t>
      </w:r>
    </w:p>
    <w:p>
      <w:pPr>
        <w:spacing w:after="0" w:line="20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RIO GRANDE LNG,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7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1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MIZUHO BANK (USA)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P1 Collateral Agent,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SENIOR LENDERS PARTY TO THIS AGREEMENT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26" w:right="339" w:bottom="1440" w:gutter="0" w:footer="0" w:header="0"/>
        </w:sectPr>
      </w:pPr>
    </w:p>
    <w:bookmarkStart w:id="180" w:name="page181"/>
    <w:bookmarkEnd w:id="18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3"/>
          </w:tcPr>
          <w:p>
            <w:pPr>
              <w:jc w:val="right"/>
              <w:ind w:right="2452"/>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Page</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3"/>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1.1.</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Defined Terms xxxx</w:t>
            </w:r>
          </w:p>
        </w:tc>
        <w:tc>
          <w:tcPr>
            <w:tcW w:w="50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Principles of Interpretation</w:t>
            </w:r>
          </w:p>
        </w:tc>
        <w:tc>
          <w:tcPr>
            <w:tcW w:w="5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1.3.</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UCC Terms</w:t>
            </w: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1.4.</w:t>
            </w:r>
          </w:p>
        </w:tc>
        <w:tc>
          <w:tcPr>
            <w:tcW w:w="366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7"/>
              </w:rPr>
              <w:t>Accounting and Financial Determinations</w:t>
            </w:r>
          </w:p>
        </w:tc>
        <w:tc>
          <w:tcPr>
            <w:tcW w:w="9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3</w:t>
            </w:r>
          </w:p>
        </w:tc>
        <w:tc>
          <w:tcPr>
            <w:tcW w:w="362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1.5.</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Divisions  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78"/>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546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LOAN COMMITMENTS AND BORROWING  4</w:t>
            </w:r>
          </w:p>
        </w:tc>
        <w:tc>
          <w:tcPr>
            <w:tcW w:w="362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2.1.</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Senior Loan Commitments</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2.2.</w:t>
            </w:r>
          </w:p>
        </w:tc>
        <w:tc>
          <w:tcPr>
            <w:tcW w:w="30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Notice of Senior Loan Borrowing</w:t>
            </w:r>
          </w:p>
        </w:tc>
        <w:tc>
          <w:tcPr>
            <w:tcW w:w="58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4</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2.3.</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Borrowing of Senior Loans</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2.4.</w:t>
            </w:r>
          </w:p>
        </w:tc>
        <w:tc>
          <w:tcPr>
            <w:tcW w:w="82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Termination, Reduction, and Reallocation of Senior Loan Commitments  5</w:t>
            </w: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2.5.</w:t>
            </w:r>
          </w:p>
        </w:tc>
        <w:tc>
          <w:tcPr>
            <w:tcW w:w="30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8"/>
              </w:rPr>
              <w:t>Account of Senior Loans; Register</w:t>
            </w:r>
          </w:p>
        </w:tc>
        <w:tc>
          <w:tcPr>
            <w:tcW w:w="160" w:type="dxa"/>
            <w:vAlign w:val="bottom"/>
          </w:tcPr>
          <w:p>
            <w:pPr>
              <w:spacing w:after="0"/>
              <w:rPr>
                <w:sz w:val="24"/>
                <w:szCs w:val="24"/>
                <w:color w:val="auto"/>
              </w:rPr>
            </w:pP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5</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78"/>
        </w:trPr>
        <w:tc>
          <w:tcPr>
            <w:tcW w:w="57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3.  REPAYMENTS, PREPAYMENTS, INTEREST AND FEES</w:t>
            </w:r>
          </w:p>
        </w:tc>
        <w:tc>
          <w:tcPr>
            <w:tcW w:w="3620" w:type="dxa"/>
            <w:vAlign w:val="bottom"/>
          </w:tcPr>
          <w:p>
            <w:pPr>
              <w:jc w:val="right"/>
              <w:ind w:right="3312"/>
              <w:spacing w:after="0"/>
              <w:rPr>
                <w:sz w:val="20"/>
                <w:szCs w:val="20"/>
                <w:color w:val="auto"/>
              </w:rPr>
            </w:pPr>
            <w:r>
              <w:rPr>
                <w:rFonts w:ascii="Times New Roman" w:cs="Times New Roman" w:eastAsia="Times New Roman" w:hAnsi="Times New Roman"/>
                <w:sz w:val="22"/>
                <w:szCs w:val="22"/>
                <w:color w:val="auto"/>
              </w:rPr>
              <w:t>6</w:t>
            </w:r>
          </w:p>
        </w:tc>
      </w:tr>
      <w:tr>
        <w:trPr>
          <w:trHeight w:val="365"/>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w:t>
            </w:r>
          </w:p>
        </w:tc>
        <w:tc>
          <w:tcPr>
            <w:tcW w:w="366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Repayment of Senior Loan Borrowings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72"/>
              </w:rPr>
              <w:t>6</w:t>
            </w: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3.2.</w:t>
            </w: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8"/>
              </w:rPr>
              <w:t>Interest Payment Dates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3.3.</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Interest Rate</w:t>
            </w: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3.4.</w:t>
            </w:r>
          </w:p>
        </w:tc>
        <w:tc>
          <w:tcPr>
            <w:tcW w:w="458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Post-Maturity Interest Rates; Default Interest Rates</w:t>
            </w:r>
          </w:p>
        </w:tc>
        <w:tc>
          <w:tcPr>
            <w:tcW w:w="362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7</w:t>
            </w: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3.5.</w:t>
            </w:r>
          </w:p>
        </w:tc>
        <w:tc>
          <w:tcPr>
            <w:tcW w:w="308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3.6.</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Optional Prepayment</w:t>
            </w:r>
          </w:p>
        </w:tc>
        <w:tc>
          <w:tcPr>
            <w:tcW w:w="80" w:type="dxa"/>
            <w:vAlign w:val="bottom"/>
          </w:tcPr>
          <w:p>
            <w:pPr>
              <w:spacing w:after="0"/>
              <w:rPr>
                <w:sz w:val="24"/>
                <w:szCs w:val="24"/>
                <w:color w:val="auto"/>
              </w:rPr>
            </w:pP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3.7.</w:t>
            </w: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Mandatory Prepayment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3.8.</w:t>
            </w:r>
          </w:p>
        </w:tc>
        <w:tc>
          <w:tcPr>
            <w:tcW w:w="82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w w:val="99"/>
              </w:rPr>
              <w:t>Time and Place of Payments; Notice of Mandatory Prepayment Events; Declined Proceeds  9</w:t>
            </w: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3.9.</w:t>
            </w:r>
          </w:p>
        </w:tc>
        <w:tc>
          <w:tcPr>
            <w:tcW w:w="324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w w:val="97"/>
              </w:rPr>
              <w:t>Borrowings and Payments 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3.10.</w:t>
            </w:r>
          </w:p>
        </w:tc>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Fees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11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3.11.</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Pro Rata Treatment</w:t>
            </w:r>
          </w:p>
        </w:tc>
        <w:tc>
          <w:tcPr>
            <w:tcW w:w="5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3.12.</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Sharing of Payments</w:t>
            </w:r>
          </w:p>
        </w:tc>
        <w:tc>
          <w:tcPr>
            <w:tcW w:w="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6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TAX PROVISIONS</w:t>
            </w:r>
          </w:p>
        </w:tc>
        <w:tc>
          <w:tcPr>
            <w:tcW w:w="8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4.1.</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Obligation to Mitigate</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4.2.</w:t>
            </w:r>
          </w:p>
        </w:tc>
        <w:tc>
          <w:tcPr>
            <w:tcW w:w="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14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78"/>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412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w w:val="98"/>
              </w:rPr>
              <w:t>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5.1.</w:t>
            </w:r>
          </w:p>
        </w:tc>
        <w:tc>
          <w:tcPr>
            <w:tcW w:w="7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General</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5.2.</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Disclosure</w:t>
            </w: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w w:val="99"/>
              </w:rPr>
              <w:t>19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5.3.</w:t>
            </w:r>
          </w:p>
        </w:tc>
        <w:tc>
          <w:tcPr>
            <w:tcW w:w="82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Good Standing of the Borrower; Power and Authority  19</w:t>
            </w:r>
          </w:p>
        </w:tc>
      </w:tr>
      <w:tr>
        <w:trPr>
          <w:trHeight w:val="310"/>
        </w:trPr>
        <w:tc>
          <w:tcPr>
            <w:tcW w:w="260" w:type="dxa"/>
            <w:vAlign w:val="bottom"/>
          </w:tcPr>
          <w:p>
            <w:pPr>
              <w:spacing w:after="0"/>
              <w:rPr>
                <w:sz w:val="24"/>
                <w:szCs w:val="2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5.4.</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Subsidiaries</w:t>
            </w: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20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39"/>
          </w:cols>
          <w:pgMar w:left="320" w:top="1440" w:right="1440"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0139"/>
          </w:cols>
          <w:pgMar w:left="320" w:top="1440" w:right="1440" w:bottom="1440" w:gutter="0" w:footer="0" w:header="0"/>
          <w:type w:val="continuous"/>
        </w:sectPr>
      </w:pPr>
    </w:p>
    <w:bookmarkStart w:id="181" w:name="page182"/>
    <w:bookmarkEnd w:id="181"/>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5.5.</w:t>
            </w:r>
          </w:p>
        </w:tc>
        <w:tc>
          <w:tcPr>
            <w:tcW w:w="652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Corporate Structure; Ownership of Shares of Subsidiaries  20</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5.6.</w:t>
            </w:r>
          </w:p>
        </w:tc>
        <w:tc>
          <w:tcPr>
            <w:tcW w:w="25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Authorization of Agreement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5.7.</w:t>
            </w:r>
          </w:p>
        </w:tc>
        <w:tc>
          <w:tcPr>
            <w:tcW w:w="3920" w:type="dxa"/>
            <w:vAlign w:val="bottom"/>
            <w:gridSpan w:val="13"/>
          </w:tcPr>
          <w:p>
            <w:pPr>
              <w:ind w:left="40"/>
              <w:spacing w:after="0"/>
              <w:rPr>
                <w:sz w:val="20"/>
                <w:szCs w:val="20"/>
                <w:color w:val="auto"/>
              </w:rPr>
            </w:pPr>
            <w:r>
              <w:rPr>
                <w:rFonts w:ascii="Times New Roman" w:cs="Times New Roman" w:eastAsia="Times New Roman" w:hAnsi="Times New Roman"/>
                <w:sz w:val="22"/>
                <w:szCs w:val="22"/>
                <w:color w:val="auto"/>
              </w:rPr>
              <w:t>Absence of Further Requirements  20</w:t>
            </w: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5.8.</w:t>
            </w:r>
          </w:p>
        </w:tc>
        <w:tc>
          <w:tcPr>
            <w:tcW w:w="15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w w:val="98"/>
              </w:rPr>
              <w:t>Title to Property</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5.9.</w:t>
            </w:r>
          </w:p>
        </w:tc>
        <w:tc>
          <w:tcPr>
            <w:tcW w:w="6520" w:type="dxa"/>
            <w:vAlign w:val="bottom"/>
            <w:gridSpan w:val="15"/>
          </w:tcPr>
          <w:p>
            <w:pPr>
              <w:ind w:left="40"/>
              <w:spacing w:after="0"/>
              <w:rPr>
                <w:sz w:val="20"/>
                <w:szCs w:val="20"/>
                <w:color w:val="auto"/>
              </w:rPr>
            </w:pPr>
            <w:r>
              <w:rPr>
                <w:rFonts w:ascii="Times New Roman" w:cs="Times New Roman" w:eastAsia="Times New Roman" w:hAnsi="Times New Roman"/>
                <w:sz w:val="22"/>
                <w:szCs w:val="22"/>
                <w:color w:val="auto"/>
              </w:rPr>
              <w:t>Absence of Defaults and Conflicts Resulting from Transaction  21</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140" w:type="dxa"/>
            <w:vAlign w:val="bottom"/>
          </w:tcPr>
          <w:p>
            <w:pPr>
              <w:spacing w:after="0"/>
              <w:rPr>
                <w:sz w:val="24"/>
                <w:szCs w:val="24"/>
                <w:color w:val="auto"/>
              </w:rPr>
            </w:pPr>
          </w:p>
        </w:tc>
        <w:tc>
          <w:tcPr>
            <w:tcW w:w="3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8"/>
              </w:rPr>
              <w:t>Absence of Existing Defaults and Conflicts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rPr>
              <w:t>22</w:t>
            </w:r>
          </w:p>
        </w:tc>
        <w:tc>
          <w:tcPr>
            <w:tcW w:w="2200" w:type="dxa"/>
            <w:vAlign w:val="bottom"/>
          </w:tcPr>
          <w:p>
            <w:pPr>
              <w:jc w:val="right"/>
              <w:ind w:right="1872"/>
              <w:spacing w:after="0"/>
              <w:rPr>
                <w:sz w:val="20"/>
                <w:szCs w:val="20"/>
                <w:color w:val="auto"/>
              </w:rPr>
            </w:pPr>
            <w:r>
              <w:rPr>
                <w:rFonts w:ascii="Times New Roman" w:cs="Times New Roman" w:eastAsia="Times New Roman" w:hAnsi="Times New Roman"/>
                <w:sz w:val="22"/>
                <w:szCs w:val="22"/>
                <w:color w:val="auto"/>
                <w:w w:val="90"/>
              </w:rPr>
              <w:t>21</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3300" w:type="dxa"/>
            <w:vAlign w:val="bottom"/>
            <w:gridSpan w:val="10"/>
          </w:tcPr>
          <w:p>
            <w:pPr>
              <w:ind w:left="140"/>
              <w:spacing w:after="0"/>
              <w:rPr>
                <w:sz w:val="20"/>
                <w:szCs w:val="20"/>
                <w:color w:val="auto"/>
              </w:rPr>
            </w:pPr>
            <w:r>
              <w:rPr>
                <w:rFonts w:ascii="Times New Roman" w:cs="Times New Roman" w:eastAsia="Times New Roman" w:hAnsi="Times New Roman"/>
                <w:sz w:val="22"/>
                <w:szCs w:val="22"/>
                <w:color w:val="auto"/>
              </w:rPr>
              <w:t>Possession of Licenses and Permits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5.12.</w:t>
            </w:r>
          </w:p>
        </w:tc>
        <w:tc>
          <w:tcPr>
            <w:tcW w:w="14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Absence of Labor Dispute</w:t>
            </w:r>
          </w:p>
        </w:tc>
        <w:tc>
          <w:tcPr>
            <w:tcW w:w="4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5.13.</w:t>
            </w:r>
          </w:p>
        </w:tc>
        <w:tc>
          <w:tcPr>
            <w:tcW w:w="140" w:type="dxa"/>
            <w:vAlign w:val="bottom"/>
          </w:tcPr>
          <w:p>
            <w:pPr>
              <w:spacing w:after="0"/>
              <w:rPr>
                <w:sz w:val="24"/>
                <w:szCs w:val="24"/>
                <w:color w:val="auto"/>
              </w:rPr>
            </w:pPr>
          </w:p>
        </w:tc>
        <w:tc>
          <w:tcPr>
            <w:tcW w:w="3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Possession of 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rPr>
              <w:t>23</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w w:val="81"/>
              </w:rPr>
              <w:t>22</w:t>
            </w: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5.14.</w:t>
            </w:r>
          </w:p>
        </w:tc>
        <w:tc>
          <w:tcPr>
            <w:tcW w:w="14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Environmental Laws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5.15.</w:t>
            </w:r>
          </w:p>
        </w:tc>
        <w:tc>
          <w:tcPr>
            <w:tcW w:w="140" w:type="dxa"/>
            <w:vAlign w:val="bottom"/>
          </w:tcPr>
          <w:p>
            <w:pPr>
              <w:spacing w:after="0"/>
              <w:rPr>
                <w:sz w:val="24"/>
                <w:szCs w:val="24"/>
                <w:color w:val="auto"/>
              </w:rPr>
            </w:pPr>
          </w:p>
        </w:tc>
        <w:tc>
          <w:tcPr>
            <w:tcW w:w="316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9"/>
              </w:rPr>
              <w:t>Statistical and Market-Related Data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strike w:val="1"/>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23</w:t>
            </w: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5.16.</w:t>
            </w: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Litigation</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24</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5.17.</w:t>
            </w:r>
          </w:p>
        </w:tc>
        <w:tc>
          <w:tcPr>
            <w:tcW w:w="140" w:type="dxa"/>
            <w:vAlign w:val="bottom"/>
          </w:tcPr>
          <w:p>
            <w:pPr>
              <w:spacing w:after="0"/>
              <w:rPr>
                <w:sz w:val="24"/>
                <w:szCs w:val="24"/>
                <w:color w:val="auto"/>
              </w:rPr>
            </w:pPr>
          </w:p>
        </w:tc>
        <w:tc>
          <w:tcPr>
            <w:tcW w:w="3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Financial Statements; Material Liabilities</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24</w:t>
            </w: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5.18.</w:t>
            </w:r>
          </w:p>
        </w:tc>
        <w:tc>
          <w:tcPr>
            <w:tcW w:w="140" w:type="dxa"/>
            <w:vAlign w:val="bottom"/>
          </w:tcPr>
          <w:p>
            <w:pPr>
              <w:spacing w:after="0"/>
              <w:rPr>
                <w:sz w:val="24"/>
                <w:szCs w:val="24"/>
                <w:color w:val="auto"/>
              </w:rPr>
            </w:pPr>
          </w:p>
        </w:tc>
        <w:tc>
          <w:tcPr>
            <w:tcW w:w="378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No Material Adverse Change in Business</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24</w:t>
            </w:r>
          </w:p>
        </w:tc>
        <w:tc>
          <w:tcPr>
            <w:tcW w:w="220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5.19.</w:t>
            </w:r>
          </w:p>
        </w:tc>
        <w:tc>
          <w:tcPr>
            <w:tcW w:w="14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Investment Company Act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w w:val="90"/>
              </w:rPr>
              <w:t>25</w:t>
            </w:r>
          </w:p>
        </w:tc>
        <w:tc>
          <w:tcPr>
            <w:tcW w:w="5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24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5.20.</w:t>
            </w:r>
          </w:p>
        </w:tc>
        <w:tc>
          <w:tcPr>
            <w:tcW w:w="14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Regulations T, U, X</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9"/>
              </w:rPr>
              <w:t>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5.21.</w:t>
            </w:r>
          </w:p>
        </w:tc>
        <w:tc>
          <w:tcPr>
            <w:tcW w:w="140" w:type="dxa"/>
            <w:vAlign w:val="bottom"/>
          </w:tcPr>
          <w:p>
            <w:pPr>
              <w:spacing w:after="0"/>
              <w:rPr>
                <w:sz w:val="24"/>
                <w:szCs w:val="24"/>
                <w:color w:val="auto"/>
              </w:rPr>
            </w:pPr>
          </w:p>
        </w:tc>
        <w:tc>
          <w:tcPr>
            <w:tcW w:w="6380" w:type="dxa"/>
            <w:vAlign w:val="bottom"/>
            <w:gridSpan w:val="14"/>
          </w:tcPr>
          <w:p>
            <w:pPr>
              <w:spacing w:after="0"/>
              <w:rPr>
                <w:sz w:val="20"/>
                <w:szCs w:val="20"/>
                <w:color w:val="auto"/>
              </w:rPr>
            </w:pPr>
            <w:r>
              <w:rPr>
                <w:rFonts w:ascii="Times New Roman" w:cs="Times New Roman" w:eastAsia="Times New Roman" w:hAnsi="Times New Roman"/>
                <w:sz w:val="22"/>
                <w:szCs w:val="22"/>
                <w:color w:val="auto"/>
                <w:w w:val="99"/>
              </w:rPr>
              <w:t>Anti-Corruption Laws, Anti-Terrorism and Money Laundering Laws  25</w:t>
            </w: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5.22.</w:t>
            </w: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Sanctions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25</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5.23.</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5.24.</w:t>
            </w: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Insurance</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26</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5.25.</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ERISA</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26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5.26.</w:t>
            </w:r>
          </w:p>
        </w:tc>
        <w:tc>
          <w:tcPr>
            <w:tcW w:w="14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Material Project Documents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strike w:val="1"/>
              </w:rPr>
              <w:t>27</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5.27.</w:t>
            </w:r>
          </w:p>
        </w:tc>
        <w:tc>
          <w:tcPr>
            <w:tcW w:w="1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Solvency</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27</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5.28.</w:t>
            </w:r>
          </w:p>
        </w:tc>
        <w:tc>
          <w:tcPr>
            <w:tcW w:w="140" w:type="dxa"/>
            <w:vAlign w:val="bottom"/>
          </w:tcPr>
          <w:p>
            <w:pPr>
              <w:spacing w:after="0"/>
              <w:rPr>
                <w:sz w:val="24"/>
                <w:szCs w:val="24"/>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9"/>
              </w:rPr>
              <w:t>Senior Security Documents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5.29.</w:t>
            </w:r>
          </w:p>
        </w:tc>
        <w:tc>
          <w:tcPr>
            <w:tcW w:w="14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Secured Debt</w:t>
            </w: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9"/>
              </w:rPr>
              <w:t>28</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5.30.</w:t>
            </w:r>
          </w:p>
        </w:tc>
        <w:tc>
          <w:tcPr>
            <w:tcW w:w="14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Indebtedness; Liens</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9"/>
              </w:rPr>
              <w:t>28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4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5.31.</w:t>
            </w:r>
          </w:p>
        </w:tc>
        <w:tc>
          <w:tcPr>
            <w:tcW w:w="14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Financing Documents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5.32.</w:t>
            </w:r>
          </w:p>
        </w:tc>
        <w:tc>
          <w:tcPr>
            <w:tcW w:w="14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Accounting Controls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5.33.</w:t>
            </w:r>
          </w:p>
        </w:tc>
        <w:tc>
          <w:tcPr>
            <w:tcW w:w="14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Accountants  29</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82" w:lineRule="exact"/>
        <w:rPr>
          <w:sz w:val="20"/>
          <w:szCs w:val="20"/>
          <w:color w:val="auto"/>
        </w:rPr>
      </w:pPr>
    </w:p>
    <w:p>
      <w:pPr>
        <w:spacing w:after="0"/>
        <w:tabs>
          <w:tab w:leader="none" w:pos="340" w:val="left"/>
          <w:tab w:leader="none" w:pos="3180" w:val="left"/>
        </w:tabs>
        <w:rPr>
          <w:sz w:val="20"/>
          <w:szCs w:val="20"/>
          <w:color w:val="auto"/>
        </w:rPr>
      </w:pPr>
      <w:r>
        <w:rPr>
          <w:rFonts w:ascii="Times New Roman" w:cs="Times New Roman" w:eastAsia="Times New Roman" w:hAnsi="Times New Roman"/>
          <w:sz w:val="22"/>
          <w:szCs w:val="22"/>
          <w:color w:val="auto"/>
        </w:rPr>
        <w:t>6.</w:t>
        <w:tab/>
        <w:t>CONDITIONS PRECEDENT</w:t>
        <w:tab/>
        <w:t>29</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6.1.</w:t>
            </w:r>
          </w:p>
        </w:tc>
        <w:tc>
          <w:tcPr>
            <w:tcW w:w="4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Conditions to Closing Date  29</w:t>
            </w:r>
          </w:p>
        </w:tc>
      </w:tr>
      <w:tr>
        <w:trPr>
          <w:trHeight w:val="311"/>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6.2.</w:t>
            </w:r>
          </w:p>
        </w:tc>
        <w:tc>
          <w:tcPr>
            <w:tcW w:w="4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Conditions to Senior Loan Borrowing Date  32</w:t>
            </w:r>
          </w:p>
        </w:tc>
      </w:tr>
    </w:tbl>
    <w:p>
      <w:pPr>
        <w:spacing w:after="0" w:line="96" w:lineRule="exact"/>
        <w:rPr>
          <w:sz w:val="20"/>
          <w:szCs w:val="20"/>
          <w:color w:val="auto"/>
        </w:rPr>
      </w:pPr>
    </w:p>
    <w:p>
      <w:pPr>
        <w:spacing w:after="0"/>
        <w:tabs>
          <w:tab w:leader="none" w:pos="340" w:val="left"/>
          <w:tab w:leader="none" w:pos="1880" w:val="left"/>
        </w:tabs>
        <w:rPr>
          <w:sz w:val="20"/>
          <w:szCs w:val="20"/>
          <w:color w:val="auto"/>
        </w:rPr>
      </w:pPr>
      <w:r>
        <w:rPr>
          <w:rFonts w:ascii="Times New Roman" w:cs="Times New Roman" w:eastAsia="Times New Roman" w:hAnsi="Times New Roman"/>
          <w:sz w:val="22"/>
          <w:szCs w:val="22"/>
          <w:color w:val="auto"/>
        </w:rPr>
        <w:t>7.</w:t>
        <w:tab/>
        <w:t>COVENANTS</w:t>
      </w:r>
      <w:r>
        <w:rPr>
          <w:sz w:val="20"/>
          <w:szCs w:val="20"/>
          <w:color w:val="auto"/>
        </w:rPr>
        <w:tab/>
      </w:r>
      <w:r>
        <w:rPr>
          <w:rFonts w:ascii="Times New Roman" w:cs="Times New Roman" w:eastAsia="Times New Roman" w:hAnsi="Times New Roman"/>
          <w:sz w:val="19"/>
          <w:szCs w:val="19"/>
          <w:color w:val="auto"/>
        </w:rPr>
        <w:t>33</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7.1.</w:t>
            </w:r>
          </w:p>
        </w:tc>
        <w:tc>
          <w:tcPr>
            <w:tcW w:w="2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Distributions  33</w:t>
            </w:r>
          </w:p>
        </w:tc>
      </w:tr>
      <w:tr>
        <w:trPr>
          <w:trHeight w:val="310"/>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7.2.</w:t>
            </w:r>
          </w:p>
        </w:tc>
        <w:tc>
          <w:tcPr>
            <w:tcW w:w="2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Use of Proceeds  35</w:t>
            </w:r>
          </w:p>
        </w:tc>
      </w:tr>
      <w:tr>
        <w:trPr>
          <w:trHeight w:val="324"/>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7.3.</w:t>
            </w:r>
          </w:p>
        </w:tc>
        <w:tc>
          <w:tcPr>
            <w:tcW w:w="2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Incurrence of Indebtedness  35</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40" w:right="1440"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0139"/>
          </w:cols>
          <w:pgMar w:left="320" w:top="1440" w:right="1440" w:bottom="1440" w:gutter="0" w:footer="0" w:header="0"/>
          <w:type w:val="continuous"/>
        </w:sectPr>
      </w:pPr>
    </w:p>
    <w:bookmarkStart w:id="182" w:name="page183"/>
    <w:bookmarkEnd w:id="182"/>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w:t>
            </w:r>
          </w:p>
        </w:tc>
        <w:tc>
          <w:tcPr>
            <w:tcW w:w="5040" w:type="dxa"/>
            <w:vAlign w:val="bottom"/>
            <w:gridSpan w:val="14"/>
          </w:tcPr>
          <w:p>
            <w:pPr>
              <w:ind w:left="40"/>
              <w:spacing w:after="0"/>
              <w:rPr>
                <w:sz w:val="20"/>
                <w:szCs w:val="20"/>
                <w:color w:val="auto"/>
              </w:rPr>
            </w:pPr>
            <w:r>
              <w:rPr>
                <w:rFonts w:ascii="Times New Roman" w:cs="Times New Roman" w:eastAsia="Times New Roman" w:hAnsi="Times New Roman"/>
                <w:sz w:val="22"/>
                <w:szCs w:val="22"/>
                <w:color w:val="auto"/>
              </w:rPr>
              <w:t>Maintenance of Designated Offtake Agreements  37</w:t>
            </w: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Maintenance of Liens</w:t>
            </w:r>
          </w:p>
        </w:tc>
        <w:tc>
          <w:tcPr>
            <w:tcW w:w="6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w:t>
            </w: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Maintenance of Ratings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Senior Loans DSRA</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w:t>
            </w: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Material Project Documents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9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9"/>
              </w:rPr>
              <w:t>39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7.10.</w:t>
            </w: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7.11.</w:t>
            </w: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Books and Records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7.12.</w:t>
            </w: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Inspection Reports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3800" w:type="dxa"/>
            <w:vAlign w:val="bottom"/>
            <w:gridSpan w:val="10"/>
          </w:tcPr>
          <w:p>
            <w:pPr>
              <w:ind w:left="340"/>
              <w:spacing w:after="0"/>
              <w:rPr>
                <w:sz w:val="20"/>
                <w:szCs w:val="20"/>
                <w:color w:val="auto"/>
              </w:rPr>
            </w:pPr>
            <w:r>
              <w:rPr>
                <w:rFonts w:ascii="Times New Roman" w:cs="Times New Roman" w:eastAsia="Times New Roman" w:hAnsi="Times New Roman"/>
                <w:sz w:val="22"/>
                <w:szCs w:val="22"/>
                <w:color w:val="auto"/>
              </w:rPr>
              <w:t>7.13.  Sanctions Regulations, Etc.  40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7.14.</w:t>
            </w:r>
          </w:p>
        </w:tc>
        <w:tc>
          <w:tcPr>
            <w:tcW w:w="29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w w:val="99"/>
              </w:rPr>
              <w:t>Designated Offtake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Accounts</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7.16.</w:t>
            </w:r>
          </w:p>
        </w:tc>
        <w:tc>
          <w:tcPr>
            <w:tcW w:w="5040" w:type="dxa"/>
            <w:vAlign w:val="bottom"/>
            <w:gridSpan w:val="14"/>
          </w:tcPr>
          <w:p>
            <w:pPr>
              <w:ind w:left="140"/>
              <w:spacing w:after="0"/>
              <w:rPr>
                <w:sz w:val="20"/>
                <w:szCs w:val="20"/>
                <w:color w:val="auto"/>
              </w:rPr>
            </w:pPr>
            <w:r>
              <w:rPr>
                <w:rFonts w:ascii="Times New Roman" w:cs="Times New Roman" w:eastAsia="Times New Roman" w:hAnsi="Times New Roman"/>
                <w:sz w:val="22"/>
                <w:szCs w:val="22"/>
                <w:color w:val="auto"/>
              </w:rPr>
              <w:t>Limitation on Formation of Controlled Subsidiaries  41</w:t>
            </w: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7.17.</w:t>
            </w:r>
          </w:p>
        </w:tc>
        <w:tc>
          <w:tcPr>
            <w:tcW w:w="22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Historical DSCR  41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7.18.</w:t>
            </w:r>
          </w:p>
        </w:tc>
        <w:tc>
          <w:tcPr>
            <w:tcW w:w="3840" w:type="dxa"/>
            <w:vAlign w:val="bottom"/>
            <w:gridSpan w:val="12"/>
          </w:tcPr>
          <w:p>
            <w:pPr>
              <w:ind w:left="140"/>
              <w:spacing w:after="0"/>
              <w:rPr>
                <w:sz w:val="20"/>
                <w:szCs w:val="20"/>
                <w:color w:val="auto"/>
              </w:rPr>
            </w:pPr>
            <w:r>
              <w:rPr>
                <w:rFonts w:ascii="Times New Roman" w:cs="Times New Roman" w:eastAsia="Times New Roman" w:hAnsi="Times New Roman"/>
                <w:sz w:val="22"/>
                <w:szCs w:val="22"/>
                <w:color w:val="auto"/>
              </w:rPr>
              <w:t>Merger, Consolidation, or Sale of Assets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42</w:t>
            </w: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7.19.</w:t>
            </w:r>
          </w:p>
        </w:tc>
        <w:tc>
          <w:tcPr>
            <w:tcW w:w="22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Capital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27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REPORTING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5"/>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Reports  43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w:t>
            </w: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Compliance Certificate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27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EVENTS OF DEFAULT  52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w:t>
            </w:r>
          </w:p>
        </w:tc>
        <w:tc>
          <w:tcPr>
            <w:tcW w:w="384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Non-Payment of Senior Loans  52</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9.2.</w:t>
            </w: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Common Terms Agreement</w:t>
            </w:r>
          </w:p>
        </w:tc>
        <w:tc>
          <w:tcPr>
            <w:tcW w:w="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strike w:val="1"/>
                <w:w w:val="90"/>
              </w:rPr>
              <w:t>53</w:t>
            </w:r>
          </w:p>
        </w:tc>
        <w:tc>
          <w:tcPr>
            <w:tcW w:w="5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w w:val="90"/>
              </w:rPr>
              <w:t>52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9.3.</w:t>
            </w: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Breach of Covenants</w:t>
            </w:r>
          </w:p>
        </w:tc>
        <w:tc>
          <w:tcPr>
            <w:tcW w:w="6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Bankruptcy</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9.5.</w:t>
            </w:r>
          </w:p>
        </w:tc>
        <w:tc>
          <w:tcPr>
            <w:tcW w:w="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Liens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9.6.</w:t>
            </w: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Project Completion Date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9.7.</w:t>
            </w:r>
          </w:p>
        </w:tc>
        <w:tc>
          <w:tcPr>
            <w:tcW w:w="34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Material Project Document Defaults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w w:val="81"/>
              </w:rPr>
              <w:t>55</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54</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REMEDIES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54</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w:t>
            </w:r>
          </w:p>
        </w:tc>
        <w:tc>
          <w:tcPr>
            <w:tcW w:w="29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Acceleration Upon Bankruptcy</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w:t>
            </w:r>
          </w:p>
        </w:tc>
        <w:tc>
          <w:tcPr>
            <w:tcW w:w="3840" w:type="dxa"/>
            <w:vAlign w:val="bottom"/>
            <w:gridSpan w:val="12"/>
          </w:tcPr>
          <w:p>
            <w:pPr>
              <w:ind w:left="140"/>
              <w:spacing w:after="0"/>
              <w:rPr>
                <w:sz w:val="20"/>
                <w:szCs w:val="20"/>
                <w:color w:val="auto"/>
              </w:rPr>
            </w:pPr>
            <w:r>
              <w:rPr>
                <w:rFonts w:ascii="Times New Roman" w:cs="Times New Roman" w:eastAsia="Times New Roman" w:hAnsi="Times New Roman"/>
                <w:sz w:val="22"/>
                <w:szCs w:val="22"/>
                <w:color w:val="auto"/>
                <w:w w:val="98"/>
              </w:rPr>
              <w:t>Acceleration Upon Other Event of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rPr>
              <w:t>55</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54</w:t>
            </w:r>
          </w:p>
        </w:tc>
      </w:tr>
      <w:tr>
        <w:trPr>
          <w:trHeight w:val="324"/>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10.3.</w:t>
            </w:r>
          </w:p>
        </w:tc>
        <w:tc>
          <w:tcPr>
            <w:tcW w:w="29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Action Upon Event of Default</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55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10.4.</w:t>
            </w:r>
          </w:p>
        </w:tc>
        <w:tc>
          <w:tcPr>
            <w:tcW w:w="22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8"/>
              </w:rPr>
              <w:t>Application of Proceeds</w:t>
            </w:r>
          </w:p>
        </w:tc>
        <w:tc>
          <w:tcPr>
            <w:tcW w:w="54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color w:val="auto"/>
              </w:rPr>
              <w:t>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34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THE ADMINISTRATIVE AGENT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w:t>
            </w: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Appointment and Authority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w:t>
            </w: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Rights as a Senior Lender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strike w:val="1"/>
                <w:w w:val="90"/>
              </w:rPr>
              <w:t>58</w:t>
            </w:r>
          </w:p>
        </w:tc>
        <w:tc>
          <w:tcPr>
            <w:tcW w:w="600" w:type="dxa"/>
            <w:vAlign w:val="bottom"/>
            <w:gridSpan w:val="3"/>
          </w:tcPr>
          <w:p>
            <w:pPr>
              <w:jc w:val="right"/>
              <w:ind w:right="272"/>
              <w:spacing w:after="0"/>
              <w:rPr>
                <w:sz w:val="20"/>
                <w:szCs w:val="20"/>
                <w:color w:val="auto"/>
              </w:rPr>
            </w:pPr>
            <w:r>
              <w:rPr>
                <w:rFonts w:ascii="Times New Roman" w:cs="Times New Roman" w:eastAsia="Times New Roman" w:hAnsi="Times New Roman"/>
                <w:sz w:val="22"/>
                <w:szCs w:val="22"/>
                <w:color w:val="auto"/>
                <w:w w:val="90"/>
              </w:rPr>
              <w:t>57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139"/>
          </w:cols>
          <w:pgMar w:left="320" w:top="1440" w:right="1440"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0139"/>
          </w:cols>
          <w:pgMar w:left="320" w:top="1440" w:right="1440" w:bottom="1440" w:gutter="0" w:footer="0" w:header="0"/>
          <w:type w:val="continuous"/>
        </w:sectPr>
      </w:pPr>
    </w:p>
    <w:bookmarkStart w:id="183" w:name="page184"/>
    <w:bookmarkEnd w:id="183"/>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11.3.</w:t>
            </w: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Exculpatory Provisions  58</w:t>
            </w:r>
          </w:p>
        </w:tc>
        <w:tc>
          <w:tcPr>
            <w:tcW w:w="19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11.4.</w:t>
            </w: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Reliance by Administrative Agent  59</w:t>
            </w:r>
          </w:p>
        </w:tc>
        <w:tc>
          <w:tcPr>
            <w:tcW w:w="1900" w:type="dxa"/>
            <w:vAlign w:val="bottom"/>
          </w:tcPr>
          <w:p>
            <w:pPr>
              <w:spacing w:after="0"/>
              <w:rPr>
                <w:sz w:val="24"/>
                <w:szCs w:val="24"/>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11.5.</w:t>
            </w:r>
          </w:p>
        </w:tc>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Delegation of Duties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w w:val="81"/>
              </w:rPr>
              <w:t>60</w:t>
            </w:r>
          </w:p>
        </w:tc>
        <w:tc>
          <w:tcPr>
            <w:tcW w:w="22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w w:val="90"/>
              </w:rPr>
              <w:t>59</w:t>
            </w:r>
          </w:p>
        </w:tc>
        <w:tc>
          <w:tcPr>
            <w:tcW w:w="19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11.6.</w:t>
            </w: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Request for Indemnification by the Senior Lenders</w:t>
            </w:r>
          </w:p>
        </w:tc>
        <w:tc>
          <w:tcPr>
            <w:tcW w:w="19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60</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11.7.</w:t>
            </w: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Resignation or Removal of Administrative Agent</w:t>
            </w:r>
          </w:p>
        </w:tc>
        <w:tc>
          <w:tcPr>
            <w:tcW w:w="19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60</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11.8.</w:t>
            </w:r>
          </w:p>
        </w:tc>
        <w:tc>
          <w:tcPr>
            <w:tcW w:w="63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9"/>
              </w:rPr>
              <w:t>No Amendment to Duties of Administrative Agent Without Consent  61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11.9.</w:t>
            </w:r>
          </w:p>
        </w:tc>
        <w:tc>
          <w:tcPr>
            <w:tcW w:w="63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Non-Reliance on Administrative Agent and Senior Lenders  62</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11.10.</w:t>
            </w:r>
          </w:p>
        </w:tc>
        <w:tc>
          <w:tcPr>
            <w:tcW w:w="2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Copies  62</w:t>
            </w: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11.11.</w:t>
            </w:r>
          </w:p>
        </w:tc>
        <w:tc>
          <w:tcPr>
            <w:tcW w:w="20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Erroneous Payments</w:t>
            </w:r>
          </w:p>
        </w:tc>
        <w:tc>
          <w:tcPr>
            <w:tcW w:w="2420" w:type="dxa"/>
            <w:vAlign w:val="bottom"/>
            <w:gridSpan w:val="2"/>
          </w:tcPr>
          <w:p>
            <w:pPr>
              <w:jc w:val="right"/>
              <w:ind w:right="2012"/>
              <w:spacing w:after="0"/>
              <w:rPr>
                <w:sz w:val="20"/>
                <w:szCs w:val="20"/>
                <w:color w:val="auto"/>
              </w:rPr>
            </w:pPr>
            <w:r>
              <w:rPr>
                <w:rFonts w:ascii="Times New Roman" w:cs="Times New Roman" w:eastAsia="Times New Roman" w:hAnsi="Times New Roman"/>
                <w:sz w:val="22"/>
                <w:szCs w:val="22"/>
                <w:color w:val="auto"/>
              </w:rPr>
              <w:t>62</w:t>
            </w:r>
          </w:p>
        </w:tc>
        <w:tc>
          <w:tcPr>
            <w:tcW w:w="1900" w:type="dxa"/>
            <w:vAlign w:val="bottom"/>
          </w:tcPr>
          <w:p>
            <w:pPr>
              <w:spacing w:after="0"/>
              <w:rPr>
                <w:sz w:val="24"/>
                <w:szCs w:val="24"/>
                <w:color w:val="auto"/>
              </w:rPr>
            </w:pPr>
          </w:p>
        </w:tc>
      </w:tr>
    </w:tbl>
    <w:p>
      <w:pPr>
        <w:spacing w:after="0" w:line="82" w:lineRule="exact"/>
        <w:rPr>
          <w:sz w:val="20"/>
          <w:szCs w:val="20"/>
          <w:color w:val="auto"/>
        </w:rPr>
      </w:pPr>
    </w:p>
    <w:p>
      <w:pPr>
        <w:spacing w:after="0"/>
        <w:tabs>
          <w:tab w:leader="none" w:pos="460" w:val="left"/>
          <w:tab w:leader="none" w:pos="3800" w:val="left"/>
        </w:tabs>
        <w:rPr>
          <w:sz w:val="20"/>
          <w:szCs w:val="20"/>
          <w:color w:val="auto"/>
        </w:rPr>
      </w:pPr>
      <w:r>
        <w:rPr>
          <w:rFonts w:ascii="Times New Roman" w:cs="Times New Roman" w:eastAsia="Times New Roman" w:hAnsi="Times New Roman"/>
          <w:sz w:val="22"/>
          <w:szCs w:val="22"/>
          <w:color w:val="auto"/>
        </w:rPr>
        <w:t>12.</w:t>
        <w:tab/>
        <w:t>MISCELLANEOUS PROVISIONS</w:t>
        <w:tab/>
        <w:t>66</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12.1.</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Amendments, Etc.</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66</w:t>
            </w:r>
          </w:p>
        </w:tc>
        <w:tc>
          <w:tcPr>
            <w:tcW w:w="120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12.2.</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Entire Agreement</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72</w:t>
            </w:r>
          </w:p>
        </w:tc>
        <w:tc>
          <w:tcPr>
            <w:tcW w:w="1200" w:type="dxa"/>
            <w:vAlign w:val="bottom"/>
          </w:tcPr>
          <w:p>
            <w:pPr>
              <w:spacing w:after="0"/>
              <w:rPr>
                <w:sz w:val="24"/>
                <w:szCs w:val="24"/>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12.3.</w:t>
            </w:r>
          </w:p>
        </w:tc>
        <w:tc>
          <w:tcPr>
            <w:tcW w:w="34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Governing Law; Jurisdiction; Etc.  72</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12.4.</w:t>
            </w:r>
          </w:p>
        </w:tc>
        <w:tc>
          <w:tcPr>
            <w:tcW w:w="1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Assignments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w w:val="90"/>
              </w:rPr>
              <w:t>74</w:t>
            </w:r>
          </w:p>
        </w:tc>
        <w:tc>
          <w:tcPr>
            <w:tcW w:w="62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0"/>
              </w:rPr>
              <w:t>73</w:t>
            </w:r>
          </w:p>
        </w:tc>
        <w:tc>
          <w:tcPr>
            <w:tcW w:w="1200" w:type="dxa"/>
            <w:vAlign w:val="bottom"/>
          </w:tcPr>
          <w:p>
            <w:pPr>
              <w:spacing w:after="0"/>
              <w:rPr>
                <w:sz w:val="24"/>
                <w:szCs w:val="24"/>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12.5.</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Benefits of Agreement</w:t>
            </w:r>
          </w:p>
        </w:tc>
        <w:tc>
          <w:tcPr>
            <w:tcW w:w="120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0"/>
              </w:rPr>
              <w:t>78</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12.6.</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8"/>
              </w:rPr>
              <w:t>Costs and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120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12.7.</w:t>
            </w:r>
          </w:p>
        </w:tc>
        <w:tc>
          <w:tcPr>
            <w:tcW w:w="34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Counterparts; Effectiveness  79</w:t>
            </w: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12.8.</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Indemnification  80</w:t>
            </w:r>
          </w:p>
        </w:tc>
        <w:tc>
          <w:tcPr>
            <w:tcW w:w="120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12.9.</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Interest Rate Limitation</w:t>
            </w:r>
          </w:p>
        </w:tc>
        <w:tc>
          <w:tcPr>
            <w:tcW w:w="120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83</w:t>
            </w:r>
          </w:p>
        </w:tc>
      </w:tr>
    </w:tbl>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12.10.</w:t>
            </w:r>
          </w:p>
        </w:tc>
        <w:tc>
          <w:tcPr>
            <w:tcW w:w="32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No Waiver; Cumulative Remedies</w:t>
            </w:r>
          </w:p>
        </w:tc>
        <w:tc>
          <w:tcPr>
            <w:tcW w:w="3860" w:type="dxa"/>
            <w:vAlign w:val="bottom"/>
          </w:tcPr>
          <w:p>
            <w:pPr>
              <w:jc w:val="right"/>
              <w:ind w:right="3512"/>
              <w:spacing w:after="0"/>
              <w:rPr>
                <w:sz w:val="20"/>
                <w:szCs w:val="20"/>
                <w:color w:val="auto"/>
              </w:rPr>
            </w:pPr>
            <w:r>
              <w:rPr>
                <w:rFonts w:ascii="Times New Roman" w:cs="Times New Roman" w:eastAsia="Times New Roman" w:hAnsi="Times New Roman"/>
                <w:sz w:val="22"/>
                <w:szCs w:val="22"/>
                <w:color w:val="auto"/>
                <w:w w:val="99"/>
              </w:rPr>
              <w:t>83</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12.11.</w:t>
            </w:r>
          </w:p>
        </w:tc>
        <w:tc>
          <w:tcPr>
            <w:tcW w:w="324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9"/>
              </w:rPr>
              <w:t>Notices and Other Communications</w:t>
            </w:r>
          </w:p>
        </w:tc>
        <w:tc>
          <w:tcPr>
            <w:tcW w:w="38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rPr>
              <w:t>83</w:t>
            </w:r>
          </w:p>
        </w:tc>
      </w:tr>
      <w:tr>
        <w:trPr>
          <w:trHeight w:val="31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12.12.</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Patriot Act Notice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w w:val="90"/>
              </w:rPr>
              <w:t>86</w:t>
            </w:r>
          </w:p>
        </w:tc>
        <w:tc>
          <w:tcPr>
            <w:tcW w:w="11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0"/>
              </w:rPr>
              <w:t>85</w:t>
            </w: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12.13.</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9"/>
              </w:rPr>
              <w:t>Payments Set Aside</w:t>
            </w:r>
          </w:p>
        </w:tc>
        <w:tc>
          <w:tcPr>
            <w:tcW w:w="13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86</w:t>
            </w: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12.14.</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Right of Setoff  86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12.15.</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12.16.</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Survival  87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12.17.</w:t>
            </w:r>
          </w:p>
        </w:tc>
        <w:tc>
          <w:tcPr>
            <w:tcW w:w="71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Treatment of Certain Information; Confidentiality  87</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12.18.</w:t>
            </w:r>
          </w:p>
        </w:tc>
        <w:tc>
          <w:tcPr>
            <w:tcW w:w="71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Waiver of Consequential Damages, Etc.  89</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12.19.</w:t>
            </w:r>
          </w:p>
        </w:tc>
        <w:tc>
          <w:tcPr>
            <w:tcW w:w="32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Waiver of Litigation Payments  89</w:t>
            </w:r>
          </w:p>
        </w:tc>
        <w:tc>
          <w:tcPr>
            <w:tcW w:w="386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12.20.</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Reinstatement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strike w:val="1"/>
              </w:rPr>
              <w:t>90</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w w:val="90"/>
              </w:rPr>
              <w:t>89</w:t>
            </w: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12.21.</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Recourse</w:t>
            </w: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12.22.</w:t>
            </w:r>
          </w:p>
        </w:tc>
        <w:tc>
          <w:tcPr>
            <w:tcW w:w="32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P1 Intercreditor Agreement  90</w:t>
            </w: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12.23.</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strike w:val="1"/>
              </w:rPr>
              <w:t>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90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12.24.</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Consultants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12.25.</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No Fiduciary Duty</w:t>
            </w:r>
          </w:p>
        </w:tc>
        <w:tc>
          <w:tcPr>
            <w:tcW w:w="1360" w:type="dxa"/>
            <w:vAlign w:val="bottom"/>
            <w:gridSpan w:val="2"/>
          </w:tcPr>
          <w:p>
            <w:pPr>
              <w:jc w:val="right"/>
              <w:ind w:right="972"/>
              <w:spacing w:after="0"/>
              <w:rPr>
                <w:sz w:val="20"/>
                <w:szCs w:val="20"/>
                <w:color w:val="auto"/>
              </w:rPr>
            </w:pPr>
            <w:r>
              <w:rPr>
                <w:rFonts w:ascii="Times New Roman" w:cs="Times New Roman" w:eastAsia="Times New Roman" w:hAnsi="Times New Roman"/>
                <w:sz w:val="22"/>
                <w:szCs w:val="22"/>
                <w:color w:val="auto"/>
              </w:rPr>
              <w:t>91</w:t>
            </w:r>
          </w:p>
        </w:tc>
        <w:tc>
          <w:tcPr>
            <w:tcW w:w="386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12.26.</w:t>
            </w:r>
          </w:p>
        </w:tc>
        <w:tc>
          <w:tcPr>
            <w:tcW w:w="71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9"/>
              </w:rPr>
              <w:t>Acknowledgement and Consent to Bail-In of Affected Financial Institutions  91</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0139"/>
          </w:cols>
          <w:pgMar w:left="320" w:top="1440" w:right="1440" w:bottom="1440" w:gutter="0" w:footer="0" w:header="0"/>
          <w:type w:val="continuous"/>
        </w:sectPr>
      </w:pPr>
    </w:p>
    <w:bookmarkStart w:id="184" w:name="page185"/>
    <w:bookmarkEnd w:id="184"/>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12.27.</w:t>
            </w:r>
          </w:p>
        </w:tc>
        <w:tc>
          <w:tcPr>
            <w:tcW w:w="18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Cashless Settlement</w:t>
            </w:r>
          </w:p>
        </w:tc>
        <w:tc>
          <w:tcPr>
            <w:tcW w:w="2940" w:type="dxa"/>
            <w:vAlign w:val="bottom"/>
          </w:tcPr>
          <w:p>
            <w:pPr>
              <w:jc w:val="right"/>
              <w:ind w:right="2452"/>
              <w:spacing w:after="0"/>
              <w:rPr>
                <w:sz w:val="20"/>
                <w:szCs w:val="20"/>
                <w:color w:val="auto"/>
              </w:rPr>
            </w:pPr>
            <w:r>
              <w:rPr>
                <w:rFonts w:ascii="Times New Roman" w:cs="Times New Roman" w:eastAsia="Times New Roman" w:hAnsi="Times New Roman"/>
                <w:sz w:val="22"/>
                <w:szCs w:val="22"/>
                <w:color w:val="auto"/>
              </w:rPr>
              <w:t>92</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12.28.</w:t>
            </w:r>
          </w:p>
        </w:tc>
        <w:tc>
          <w:tcPr>
            <w:tcW w:w="1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Restricted Lenders</w:t>
            </w:r>
          </w:p>
        </w:tc>
        <w:tc>
          <w:tcPr>
            <w:tcW w:w="2940" w:type="dxa"/>
            <w:vAlign w:val="bottom"/>
          </w:tcPr>
          <w:p>
            <w:pPr>
              <w:jc w:val="right"/>
              <w:ind w:right="2552"/>
              <w:spacing w:after="0"/>
              <w:rPr>
                <w:sz w:val="20"/>
                <w:szCs w:val="20"/>
                <w:color w:val="auto"/>
              </w:rPr>
            </w:pPr>
            <w:r>
              <w:rPr>
                <w:rFonts w:ascii="Times New Roman" w:cs="Times New Roman" w:eastAsia="Times New Roman" w:hAnsi="Times New Roman"/>
                <w:sz w:val="22"/>
                <w:szCs w:val="22"/>
                <w:color w:val="auto"/>
              </w:rPr>
              <w:t>92</w:t>
            </w:r>
          </w:p>
        </w:tc>
      </w:tr>
      <w:tr>
        <w:trPr>
          <w:trHeight w:val="311"/>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12.29.</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Disclosure in Connection with Equator Principles  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0139"/>
          </w:cols>
          <w:pgMar w:left="320" w:top="1440" w:right="1440" w:bottom="1440" w:gutter="0" w:footer="0" w:header="0"/>
        </w:sectPr>
      </w:pPr>
    </w:p>
    <w:bookmarkStart w:id="185" w:name="page186"/>
    <w:bookmarkEnd w:id="18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APPENDICES</w:t>
            </w:r>
          </w:p>
        </w:tc>
        <w:tc>
          <w:tcPr>
            <w:tcW w:w="96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553"/>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Appendix I</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Definitions</w:t>
            </w:r>
          </w:p>
        </w:tc>
      </w:tr>
      <w:tr>
        <w:trPr>
          <w:trHeight w:val="635"/>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96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553"/>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2</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Lenders, Commitments</w:t>
            </w:r>
          </w:p>
        </w:tc>
      </w:tr>
      <w:tr>
        <w:trPr>
          <w:trHeight w:val="285"/>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5.5</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Subsidiaries; Ownership of Shares of Subsidiaries</w:t>
            </w:r>
          </w:p>
        </w:tc>
      </w:tr>
      <w:tr>
        <w:trPr>
          <w:trHeight w:val="282"/>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5.16</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Litigation</w:t>
            </w:r>
          </w:p>
        </w:tc>
      </w:tr>
      <w:tr>
        <w:trPr>
          <w:trHeight w:val="324"/>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5.17</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351"/>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5.30</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Liens</w:t>
            </w:r>
          </w:p>
        </w:tc>
      </w:tr>
      <w:tr>
        <w:trPr>
          <w:trHeight w:val="338"/>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Schedule 12.11</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Notice Information</w:t>
            </w:r>
          </w:p>
        </w:tc>
      </w:tr>
      <w:tr>
        <w:trPr>
          <w:trHeight w:val="635"/>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96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540"/>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A</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Senior Loan Note</w:t>
            </w:r>
          </w:p>
        </w:tc>
      </w:tr>
      <w:tr>
        <w:trPr>
          <w:trHeight w:val="338"/>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B</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Borrowing Notice</w:t>
            </w:r>
          </w:p>
        </w:tc>
      </w:tr>
      <w:tr>
        <w:trPr>
          <w:trHeight w:val="338"/>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C-1</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Lender Assignment Agreement</w:t>
            </w:r>
          </w:p>
        </w:tc>
      </w:tr>
      <w:tr>
        <w:trPr>
          <w:trHeight w:val="351"/>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C-2</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Affiliated Lender Assignment Agreement</w:t>
            </w:r>
          </w:p>
        </w:tc>
      </w:tr>
      <w:tr>
        <w:trPr>
          <w:trHeight w:val="285"/>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D-1</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Form of U.S. Tax Compliance Certificate (For Non-U.S. Lenders that are not Partnerships</w:t>
            </w:r>
          </w:p>
        </w:tc>
      </w:tr>
      <w:tr>
        <w:trPr>
          <w:trHeight w:val="282"/>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 U.S. Federal Income Tax Purposes)</w:t>
            </w:r>
          </w:p>
        </w:tc>
      </w:tr>
      <w:tr>
        <w:trPr>
          <w:trHeight w:val="285"/>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D-2</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U.S. Tax Compliance Certificate (For Non-U.S. Participants that are not</w:t>
            </w:r>
          </w:p>
        </w:tc>
      </w:tr>
      <w:tr>
        <w:trPr>
          <w:trHeight w:val="282"/>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Partnerships For U.S. Federal Income Tax Purposes)</w:t>
            </w:r>
          </w:p>
        </w:tc>
      </w:tr>
      <w:tr>
        <w:trPr>
          <w:trHeight w:val="324"/>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D-3</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Form of U.S. Tax Compliance Certificate (For Non-U.S. Participants that are Partnerships</w:t>
            </w:r>
          </w:p>
        </w:tc>
      </w:tr>
      <w:tr>
        <w:trPr>
          <w:trHeight w:val="283"/>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 U.S. Federal Income Tax Purposes)</w:t>
            </w:r>
          </w:p>
        </w:tc>
      </w:tr>
      <w:tr>
        <w:trPr>
          <w:trHeight w:val="351"/>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D-4</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Form of U.S. Tax Compliance Certificate (For Non-U.S. Lenders that are Partnerships for</w:t>
            </w:r>
          </w:p>
        </w:tc>
      </w:tr>
      <w:tr>
        <w:trPr>
          <w:trHeight w:val="283"/>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 Federal Income Tax Purposes)</w:t>
            </w:r>
          </w:p>
        </w:tc>
      </w:tr>
      <w:tr>
        <w:trPr>
          <w:trHeight w:val="351"/>
        </w:trPr>
        <w:tc>
          <w:tcPr>
            <w:tcW w:w="20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E</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Dutch Auction Procedures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vi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060"/>
          </w:cols>
          <w:pgMar w:left="320" w:top="1440" w:right="519" w:bottom="1440" w:gutter="0" w:footer="0" w:header="0"/>
        </w:sectPr>
      </w:pPr>
    </w:p>
    <w:bookmarkStart w:id="186" w:name="page187"/>
    <w:bookmarkEnd w:id="18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September 15, 2023, is by and among:</w:t>
      </w:r>
    </w:p>
    <w:p>
      <w:pPr>
        <w:spacing w:after="0" w:line="220" w:lineRule="exact"/>
        <w:rPr>
          <w:sz w:val="20"/>
          <w:szCs w:val="20"/>
          <w:color w:val="auto"/>
        </w:rPr>
      </w:pPr>
    </w:p>
    <w:p>
      <w:pPr>
        <w:ind w:left="640" w:hanging="632"/>
        <w:spacing w:after="0"/>
        <w:tabs>
          <w:tab w:leader="none" w:pos="6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RIO GRANDE LNG, LLC</w:t>
      </w:r>
      <w:r>
        <w:rPr>
          <w:rFonts w:ascii="Times New Roman" w:cs="Times New Roman" w:eastAsia="Times New Roman" w:hAnsi="Times New Roman"/>
          <w:sz w:val="22"/>
          <w:szCs w:val="22"/>
          <w:color w:val="auto"/>
        </w:rPr>
        <w:t>, a Texas limited liability company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 as the Administrative Agent;</w:t>
      </w:r>
    </w:p>
    <w:p>
      <w:pPr>
        <w:spacing w:after="0" w:line="206"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MIZUHO BANK (USA)</w:t>
      </w:r>
      <w:r>
        <w:rPr>
          <w:rFonts w:ascii="Times New Roman" w:cs="Times New Roman" w:eastAsia="Times New Roman" w:hAnsi="Times New Roman"/>
          <w:sz w:val="22"/>
          <w:szCs w:val="22"/>
          <w:color w:val="auto"/>
        </w:rPr>
        <w:t>, as the P1 Collateral Agent; and</w:t>
      </w:r>
    </w:p>
    <w:p>
      <w:pPr>
        <w:spacing w:after="0" w:line="210"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Senior Lenders from time to time party 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640" w:hanging="632"/>
        <w:spacing w:after="0" w:line="249" w:lineRule="auto"/>
        <w:tabs>
          <w:tab w:leader="none" w:pos="6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intends, among other things, (i) to own, upon the design, engineering, development, procurement, construction, installation thereof, the P1 Train Facilities, (ii) to own indirectly, upon the design, engineering, development, procurement, construction, installation thereof, certain Common Facilities at the Rio Grande Facility, (iii) to acquire directly (in respect of the P1 Train Facilities) or indirectly (in respect of the Common Facilities) subleases and easements in the land underlying and appurtenant to the Rio Grande Facility, (iv) acquire rights of usage over and in the Rio Grande Facility, (v) to cause the design, engineering, development, procurement, construction, installation, and insurance of the P1 Train Facilities and such Common Facilities, and (vi) to cause the operation and maintenance of the Rio Grande Facility, in each case and as relevant, subject to the CFAA and other Material Project Documents;</w:t>
      </w:r>
    </w:p>
    <w:p>
      <w:pPr>
        <w:spacing w:after="0" w:line="164" w:lineRule="exact"/>
        <w:rPr>
          <w:rFonts w:ascii="Times New Roman" w:cs="Times New Roman" w:eastAsia="Times New Roman" w:hAnsi="Times New Roman"/>
          <w:sz w:val="22"/>
          <w:szCs w:val="22"/>
          <w:color w:val="auto"/>
        </w:rPr>
      </w:pPr>
    </w:p>
    <w:p>
      <w:pPr>
        <w:ind w:left="640" w:hanging="632"/>
        <w:spacing w:after="0" w:line="275" w:lineRule="auto"/>
        <w:tabs>
          <w:tab w:leader="none" w:pos="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or will incur Senior Secured Debt to fund,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design, engineering, development, procurement, construction, installation, testing, completion, ownership, operation, and maintenance of the Project;</w:t>
      </w:r>
    </w:p>
    <w:p>
      <w:pPr>
        <w:spacing w:after="0" w:line="139" w:lineRule="exact"/>
        <w:rPr>
          <w:rFonts w:ascii="Times New Roman" w:cs="Times New Roman" w:eastAsia="Times New Roman" w:hAnsi="Times New Roman"/>
          <w:sz w:val="22"/>
          <w:szCs w:val="22"/>
          <w:color w:val="auto"/>
        </w:rPr>
      </w:pPr>
    </w:p>
    <w:p>
      <w:pPr>
        <w:jc w:val="both"/>
        <w:ind w:left="640" w:hanging="632"/>
        <w:spacing w:after="0" w:line="253" w:lineRule="auto"/>
        <w:tabs>
          <w:tab w:leader="none" w:pos="6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Senior Lenders establish a credit facility, pursuant to which the Senior Lenders will make available and provide, upon the terms and conditions set forth herein, the Senior Loans to partially finance the design, engineering, development, procurement, construction, installation, testing, completion, ownership, operation, and maintenance of the Project, to pay certain fees and expenses associated with this Agreement and the loans made hereunder, as further described herein;</w:t>
      </w:r>
    </w:p>
    <w:p>
      <w:pPr>
        <w:spacing w:after="0" w:line="165" w:lineRule="exact"/>
        <w:rPr>
          <w:rFonts w:ascii="Times New Roman" w:cs="Times New Roman" w:eastAsia="Times New Roman" w:hAnsi="Times New Roman"/>
          <w:sz w:val="22"/>
          <w:szCs w:val="22"/>
          <w:color w:val="auto"/>
        </w:rPr>
      </w:pPr>
    </w:p>
    <w:p>
      <w:pPr>
        <w:ind w:left="640" w:hanging="632"/>
        <w:spacing w:after="0" w:line="271" w:lineRule="auto"/>
        <w:tabs>
          <w:tab w:leader="none" w:pos="6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granted certain security in the Collateral for the benefit of the Senior Secured Parties pursuant to the P1 Collateral Documents; and</w:t>
      </w:r>
    </w:p>
    <w:p>
      <w:pPr>
        <w:spacing w:after="0" w:line="144" w:lineRule="exact"/>
        <w:rPr>
          <w:rFonts w:ascii="Times New Roman" w:cs="Times New Roman" w:eastAsia="Times New Roman" w:hAnsi="Times New Roman"/>
          <w:sz w:val="22"/>
          <w:szCs w:val="22"/>
          <w:color w:val="auto"/>
        </w:rPr>
      </w:pPr>
    </w:p>
    <w:p>
      <w:pPr>
        <w:ind w:left="640" w:hanging="632"/>
        <w:spacing w:after="0" w:line="271" w:lineRule="auto"/>
        <w:tabs>
          <w:tab w:leader="none" w:pos="62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Lenders are willing to make the credit facilities described herein available upon and subject to the terms and conditions hereinafter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for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adequacy of which are acknowledged, the parties hereto agree as follows:</w:t>
      </w:r>
    </w:p>
    <w:p>
      <w:pPr>
        <w:spacing w:after="0" w:line="149"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INTERPRETATION</w:t>
      </w:r>
    </w:p>
    <w:p>
      <w:pPr>
        <w:spacing w:after="0" w:line="233"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Defined Terms</w:t>
      </w:r>
    </w:p>
    <w:p>
      <w:pPr>
        <w:spacing w:after="0" w:line="224"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 xml:space="preserve">Unless otherwise defined herein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capitalized terms used herein shall have the meanings provided in the Common Terms Agreement.</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Principles of Interpretation</w:t>
      </w:r>
    </w:p>
    <w:p>
      <w:pPr>
        <w:spacing w:after="0" w:line="224" w:lineRule="exact"/>
        <w:rPr>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Agreement, except to the extent specified to the contrary or where the context otherwise requires:</w:t>
      </w:r>
    </w:p>
    <w:p>
      <w:pPr>
        <w:spacing w:after="0" w:line="233"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are for convenience only and shall not affect the interpretation of this Agreement;</w:t>
      </w:r>
    </w:p>
    <w:p>
      <w:pPr>
        <w:spacing w:after="0" w:line="153" w:lineRule="exact"/>
        <w:rPr>
          <w:rFonts w:ascii="Times New Roman" w:cs="Times New Roman" w:eastAsia="Times New Roman" w:hAnsi="Times New Roman"/>
          <w:sz w:val="22"/>
          <w:szCs w:val="22"/>
          <w:color w:val="auto"/>
        </w:rPr>
      </w:pPr>
    </w:p>
    <w:p>
      <w:pPr>
        <w:ind w:left="1960" w:hanging="656"/>
        <w:spacing w:after="0" w:line="275" w:lineRule="auto"/>
        <w:tabs>
          <w:tab w:leader="none" w:pos="195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Sections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Schedules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Appendices</w:t>
      </w:r>
      <w:r>
        <w:rPr>
          <w:rFonts w:ascii="Times New Roman" w:cs="Times New Roman" w:eastAsia="Times New Roman" w:hAnsi="Times New Roman"/>
          <w:sz w:val="22"/>
          <w:szCs w:val="22"/>
          <w:color w:val="auto"/>
        </w:rPr>
        <w:t>” are references to sections of, and schedules, exhibits and appendices to, this Agreement;</w:t>
      </w:r>
    </w:p>
    <w:p>
      <w:pPr>
        <w:spacing w:after="0" w:line="149" w:lineRule="exact"/>
        <w:rPr>
          <w:rFonts w:ascii="Times New Roman" w:cs="Times New Roman" w:eastAsia="Times New Roman" w:hAnsi="Times New Roman"/>
          <w:sz w:val="22"/>
          <w:szCs w:val="22"/>
          <w:color w:val="auto"/>
        </w:rPr>
      </w:pPr>
    </w:p>
    <w:p>
      <w:pPr>
        <w:ind w:left="1960" w:hanging="656"/>
        <w:spacing w:after="0" w:line="275" w:lineRule="auto"/>
        <w:tabs>
          <w:tab w:leader="none" w:pos="19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assets</w:t>
      </w:r>
      <w:r>
        <w:rPr>
          <w:rFonts w:ascii="Times New Roman" w:cs="Times New Roman" w:eastAsia="Times New Roman" w:hAnsi="Times New Roman"/>
          <w:sz w:val="22"/>
          <w:szCs w:val="22"/>
          <w:color w:val="auto"/>
        </w:rPr>
        <w:t>” includes property, revenues, and rights of every description (whether real, personal, or mixed and whether tangible or intangible);</w:t>
      </w:r>
    </w:p>
    <w:p>
      <w:pPr>
        <w:spacing w:after="0" w:line="162" w:lineRule="exact"/>
        <w:rPr>
          <w:rFonts w:ascii="Times New Roman" w:cs="Times New Roman" w:eastAsia="Times New Roman" w:hAnsi="Times New Roman"/>
          <w:sz w:val="22"/>
          <w:szCs w:val="22"/>
          <w:color w:val="auto"/>
        </w:rPr>
      </w:pPr>
    </w:p>
    <w:p>
      <w:pPr>
        <w:ind w:left="1960" w:hanging="656"/>
        <w:spacing w:after="0" w:line="275" w:lineRule="auto"/>
        <w:tabs>
          <w:tab w:leader="none" w:pos="194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includes a supplement, replacement, novation, restatement, or re-enactment and “</w:t>
      </w:r>
      <w:r>
        <w:rPr>
          <w:rFonts w:ascii="Times New Roman" w:cs="Times New Roman" w:eastAsia="Times New Roman" w:hAnsi="Times New Roman"/>
          <w:sz w:val="22"/>
          <w:szCs w:val="22"/>
          <w:b w:val="1"/>
          <w:bCs w:val="1"/>
          <w:color w:val="auto"/>
        </w:rPr>
        <w:t>amended</w:t>
      </w:r>
      <w:r>
        <w:rPr>
          <w:rFonts w:ascii="Times New Roman" w:cs="Times New Roman" w:eastAsia="Times New Roman" w:hAnsi="Times New Roman"/>
          <w:sz w:val="22"/>
          <w:szCs w:val="22"/>
          <w:color w:val="auto"/>
        </w:rPr>
        <w:t>” is to be construed accordingly;</w:t>
      </w:r>
    </w:p>
    <w:p>
      <w:pPr>
        <w:spacing w:after="0" w:line="153"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5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Government Rule includes any amendment or modification to such Government Rule, and all regulations, rulings, and other Government Rules promulgated under such Government Rule;</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a document or agreement is expressly stated to be in the form “in effect” on a particular date, references to any document or agreement, including this Agreement, shall be deemed to include references to such document or agreement as amended, from time to time in accordance with its terms and (where applicable) subject to compliance with the requirements set forth herein;</w:t>
      </w:r>
    </w:p>
    <w:p>
      <w:pPr>
        <w:spacing w:after="0" w:line="176"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Party or party to any other document or agreement shall include its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98" w:lineRule="exact"/>
        <w:rPr>
          <w:sz w:val="20"/>
          <w:szCs w:val="20"/>
          <w:color w:val="auto"/>
        </w:rPr>
      </w:pPr>
    </w:p>
    <w:p>
      <w:pPr>
        <w:ind w:left="1960" w:hanging="656"/>
        <w:spacing w:after="0"/>
        <w:tabs>
          <w:tab w:leader="none" w:pos="19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singular include the plural and vice versa;</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masculine include the feminine and vice versa;</w:t>
      </w:r>
    </w:p>
    <w:p>
      <w:pPr>
        <w:spacing w:after="0" w:line="21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w:t>
      </w:r>
      <w:r>
        <w:rPr>
          <w:rFonts w:ascii="Times New Roman" w:cs="Times New Roman" w:eastAsia="Times New Roman" w:hAnsi="Times New Roman"/>
          <w:sz w:val="22"/>
          <w:szCs w:val="22"/>
          <w:b w:val="1"/>
          <w:bCs w:val="1"/>
          <w:color w:val="auto"/>
        </w:rPr>
        <w:t>include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includes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including</w:t>
      </w:r>
      <w:r>
        <w:rPr>
          <w:rFonts w:ascii="Times New Roman" w:cs="Times New Roman" w:eastAsia="Times New Roman" w:hAnsi="Times New Roman"/>
          <w:sz w:val="22"/>
          <w:szCs w:val="22"/>
          <w:color w:val="auto"/>
        </w:rPr>
        <w:t>” are not limiting;</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days</w:t>
      </w:r>
      <w:r>
        <w:rPr>
          <w:rFonts w:ascii="Times New Roman" w:cs="Times New Roman" w:eastAsia="Times New Roman" w:hAnsi="Times New Roman"/>
          <w:sz w:val="22"/>
          <w:szCs w:val="22"/>
          <w:color w:val="auto"/>
        </w:rPr>
        <w:t>” shall mean calendar days, unless the term “</w:t>
      </w:r>
      <w:r>
        <w:rPr>
          <w:rFonts w:ascii="Times New Roman" w:cs="Times New Roman" w:eastAsia="Times New Roman" w:hAnsi="Times New Roman"/>
          <w:sz w:val="22"/>
          <w:szCs w:val="22"/>
          <w:b w:val="1"/>
          <w:bCs w:val="1"/>
          <w:color w:val="auto"/>
        </w:rPr>
        <w:t>Business Days</w:t>
      </w:r>
      <w:r>
        <w:rPr>
          <w:rFonts w:ascii="Times New Roman" w:cs="Times New Roman" w:eastAsia="Times New Roman" w:hAnsi="Times New Roman"/>
          <w:sz w:val="22"/>
          <w:szCs w:val="22"/>
          <w:color w:val="auto"/>
        </w:rPr>
        <w:t>” shall be used;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months</w:t>
      </w:r>
      <w:r>
        <w:rPr>
          <w:rFonts w:ascii="Times New Roman" w:cs="Times New Roman" w:eastAsia="Times New Roman" w:hAnsi="Times New Roman"/>
          <w:sz w:val="22"/>
          <w:szCs w:val="22"/>
          <w:color w:val="auto"/>
        </w:rPr>
        <w:t>” shall mean calendar months and references to “</w:t>
      </w:r>
      <w:r>
        <w:rPr>
          <w:rFonts w:ascii="Times New Roman" w:cs="Times New Roman" w:eastAsia="Times New Roman" w:hAnsi="Times New Roman"/>
          <w:sz w:val="22"/>
          <w:szCs w:val="22"/>
          <w:b w:val="1"/>
          <w:bCs w:val="1"/>
          <w:color w:val="auto"/>
        </w:rPr>
        <w:t>years</w:t>
      </w:r>
      <w:r>
        <w:rPr>
          <w:rFonts w:ascii="Times New Roman" w:cs="Times New Roman" w:eastAsia="Times New Roman" w:hAnsi="Times New Roman"/>
          <w:sz w:val="22"/>
          <w:szCs w:val="22"/>
          <w:color w:val="auto"/>
        </w:rPr>
        <w:t>” shall mean calendar years;</w:t>
      </w:r>
    </w:p>
    <w:p>
      <w:pPr>
        <w:spacing w:after="0" w:line="223"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contrary indication appears, a reference to a time of day is a reference to the time of day in New York, New York; </w:t>
      </w:r>
      <w:r>
        <w:rPr>
          <w:rFonts w:ascii="Times New Roman" w:cs="Times New Roman" w:eastAsia="Times New Roman" w:hAnsi="Times New Roman"/>
          <w:sz w:val="22"/>
          <w:szCs w:val="22"/>
          <w:color w:val="auto"/>
          <w:strike w:val="1"/>
        </w:rPr>
        <w:t>and</w:t>
      </w:r>
    </w:p>
    <w:p>
      <w:pPr>
        <w:spacing w:after="0" w:line="157" w:lineRule="exact"/>
        <w:rPr>
          <w:rFonts w:ascii="Times New Roman" w:cs="Times New Roman" w:eastAsia="Times New Roman" w:hAnsi="Times New Roman"/>
          <w:sz w:val="22"/>
          <w:szCs w:val="22"/>
          <w:color w:val="auto"/>
        </w:rPr>
      </w:pPr>
    </w:p>
    <w:p>
      <w:pPr>
        <w:ind w:left="1960" w:hanging="656"/>
        <w:spacing w:after="0" w:line="284" w:lineRule="auto"/>
        <w:tabs>
          <w:tab w:leader="none" w:pos="194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term is defined both in the Common Terms Agreement and in this Agreement, the definition in this Agreement shall prevail</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 and</w:t>
      </w:r>
    </w:p>
    <w:p>
      <w:pPr>
        <w:spacing w:after="0" w:line="143"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15" w:val="left"/>
        </w:tabs>
        <w:numPr>
          <w:ilvl w:val="1"/>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references to any credit rating of a Specified Rating Agency shall, to the extent the rating categories of the applicable Specified Rating Agency are modified following the Closing Date, be deemed to refer to the equivalent rating under the successor rating categories of the applicable Specified Rating Agency.</w:t>
      </w:r>
    </w:p>
    <w:p>
      <w:pPr>
        <w:spacing w:after="0" w:line="172" w:lineRule="exact"/>
        <w:rPr>
          <w:rFonts w:ascii="Times New Roman" w:cs="Times New Roman" w:eastAsia="Times New Roman" w:hAnsi="Times New Roman"/>
          <w:sz w:val="22"/>
          <w:szCs w:val="22"/>
          <w:u w:val="single" w:color="auto"/>
          <w:color w:val="auto"/>
        </w:rPr>
      </w:pPr>
    </w:p>
    <w:p>
      <w:pPr>
        <w:jc w:val="both"/>
        <w:ind w:left="1300" w:hanging="644"/>
        <w:spacing w:after="0" w:line="263" w:lineRule="auto"/>
        <w:tabs>
          <w:tab w:leader="none" w:pos="129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spacing w:after="0" w:line="167" w:lineRule="exact"/>
        <w:rPr>
          <w:rFonts w:ascii="Times New Roman" w:cs="Times New Roman" w:eastAsia="Times New Roman" w:hAnsi="Times New Roman"/>
          <w:sz w:val="22"/>
          <w:szCs w:val="22"/>
          <w:color w:val="auto"/>
        </w:rPr>
      </w:pPr>
    </w:p>
    <w:p>
      <w:pPr>
        <w:ind w:left="1300" w:hanging="644"/>
        <w:spacing w:after="0" w:line="271" w:lineRule="auto"/>
        <w:tabs>
          <w:tab w:leader="none" w:pos="129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contrary intention appears, a term used in any notice given under or in connection herewith has the same meaning as in this Agreement.</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UCC Terms</w:t>
      </w:r>
    </w:p>
    <w:p>
      <w:pPr>
        <w:spacing w:after="0" w:line="224"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22"/>
          <w:szCs w:val="22"/>
          <w:color w:val="auto"/>
        </w:rPr>
        <w:t>Unless otherwise defined herein, terms used herein that are defined in the UCC shall have the respective meanings given to those terms in the UCC.</w:t>
      </w:r>
    </w:p>
    <w:p>
      <w:pPr>
        <w:spacing w:after="0" w:line="1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Accounting and Financial Determinations</w:t>
      </w:r>
    </w:p>
    <w:p>
      <w:pPr>
        <w:spacing w:after="0" w:line="23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 such ratio or requirement shall be modified in a manner determined as soon as reasonably practicable and in good faith by the Borrower and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8"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forth in a written notice to the Administrative Agent that preserves the original intent thereof in light of such change in GAAP.</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Divisions</w:t>
      </w:r>
    </w:p>
    <w:p>
      <w:pPr>
        <w:spacing w:after="0" w:line="224"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1"/>
          <w:szCs w:val="21"/>
          <w:color w:val="auto"/>
        </w:rPr>
        <w:t>For all purposes under the Financing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6"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LOAN COMMITMENTS AND BORROWING</w:t>
      </w:r>
    </w:p>
    <w:p>
      <w:pPr>
        <w:spacing w:after="0" w:line="21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Senior Loan Commitments</w:t>
      </w:r>
    </w:p>
    <w:p>
      <w:pPr>
        <w:spacing w:after="0" w:line="223" w:lineRule="exact"/>
        <w:rPr>
          <w:rFonts w:ascii="Times New Roman" w:cs="Times New Roman" w:eastAsia="Times New Roman" w:hAnsi="Times New Roman"/>
          <w:sz w:val="22"/>
          <w:szCs w:val="22"/>
          <w:b w:val="1"/>
          <w:bCs w:val="1"/>
          <w:color w:val="auto"/>
        </w:rPr>
      </w:pPr>
    </w:p>
    <w:p>
      <w:pPr>
        <w:jc w:val="both"/>
        <w:ind w:left="1300" w:hanging="644"/>
        <w:spacing w:after="0" w:line="263" w:lineRule="auto"/>
        <w:tabs>
          <w:tab w:leader="none" w:pos="129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each Senior Lender, severally and not jointly, shall make Senior Loans to the Borrower on the Senior Loan Borrowing Date, in an aggregate outstanding principal amount equal to 100% of such Senior Lender’s Senior Loan Commitment.</w:t>
      </w:r>
    </w:p>
    <w:p>
      <w:pPr>
        <w:spacing w:after="0" w:line="16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95"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making of any Senior Loans, the aggregate outstanding principal amount of all Senior Loans shall not exceed the Aggregate Senior Loan Commitment.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of the Senior Loans (other than amounts netted from the proceeds of the Senior Loans and applied directly to the payment of any interest, fees, costs, or expenses, in each such case that are due and payable to the Credit Agreement Senior Secured Parties hereunder or pursuant to any Financing Document) shall be deposited into the P1 Construction Account solely to fund P1 Project Costs.</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Loans repaid or prepaid may not be reborrowed.</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Notice of Senior Loan Borrowing</w:t>
      </w:r>
    </w:p>
    <w:p>
      <w:pPr>
        <w:spacing w:after="0" w:line="224" w:lineRule="exact"/>
        <w:rPr>
          <w:sz w:val="20"/>
          <w:szCs w:val="20"/>
          <w:color w:val="auto"/>
        </w:rPr>
      </w:pPr>
    </w:p>
    <w:p>
      <w:pPr>
        <w:jc w:val="both"/>
        <w:ind w:left="1300" w:hanging="644"/>
        <w:spacing w:after="0" w:line="263" w:lineRule="auto"/>
        <w:tabs>
          <w:tab w:leader="none" w:pos="129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request the Senior Loan Borrowing by delivering to the Administrative Agent and the P1 Collateral Agent a properly completed Borrowing Notice no later than 2:00 p.m., New York City time, on the fourth Business Day before the Senior Loan Borrowing Date.</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Notice delivered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refer to this Agreement and specify: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8" w:lineRule="exact"/>
        <w:rPr>
          <w:sz w:val="20"/>
          <w:szCs w:val="20"/>
          <w:color w:val="auto"/>
        </w:rPr>
      </w:pPr>
    </w:p>
    <w:p>
      <w:pPr>
        <w:ind w:left="1960" w:hanging="656"/>
        <w:spacing w:after="0" w:line="271" w:lineRule="auto"/>
        <w:tabs>
          <w:tab w:leader="none" w:pos="1948"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requested Senior Loan Borrowing which shall be an amount equal to 100% of the Aggregate Senior Loan Commitment; and</w:t>
      </w:r>
    </w:p>
    <w:p>
      <w:pPr>
        <w:spacing w:after="0" w:line="157" w:lineRule="exact"/>
        <w:rPr>
          <w:rFonts w:ascii="Times New Roman" w:cs="Times New Roman" w:eastAsia="Times New Roman" w:hAnsi="Times New Roman"/>
          <w:sz w:val="22"/>
          <w:szCs w:val="22"/>
          <w:color w:val="auto"/>
        </w:rPr>
      </w:pPr>
    </w:p>
    <w:p>
      <w:pPr>
        <w:ind w:left="1960" w:hanging="656"/>
        <w:spacing w:after="0" w:line="284" w:lineRule="auto"/>
        <w:tabs>
          <w:tab w:leader="none" w:pos="195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of the Senior Loan Borrowing which shall be a Business Day and the Senior Loan Borrowing Date.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specified in a Borrowing Notice must be Dollars.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promptly (and in any event on the same Business Day, or, if such Borrowing Notice is delivered to the Administrative Agent later than 2:00 p.m., New York City time, on the following Business Day) notify each Senior Lender of any Borrowing Notice delivered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together with each such Senior Lender’s share of the requested Senior Loan Borrowing.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Borrowing of Senior Loans</w:t>
      </w:r>
    </w:p>
    <w:p>
      <w:pPr>
        <w:spacing w:after="0" w:line="224" w:lineRule="exact"/>
        <w:rPr>
          <w:sz w:val="20"/>
          <w:szCs w:val="20"/>
          <w:color w:val="auto"/>
        </w:rPr>
      </w:pPr>
    </w:p>
    <w:p>
      <w:pPr>
        <w:jc w:val="both"/>
        <w:ind w:left="640" w:right="20"/>
        <w:spacing w:after="0" w:line="252"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and the satisfaction of the conditions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on the Senior Loan Borrowing Date, each Senior Lender shall make a Senior Loan in the amount of its Senior Loan Commitment by wire transfer of immediately available funds to the Administrative Agent, not later than 1:00 p.m., New York City time, and the Administrative Agent shall transfer the amounts so received to the P1 Construction Account as set forth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Termination, Reduction, and Reallocation of Senior Loan Commitments</w:t>
      </w:r>
    </w:p>
    <w:p>
      <w:pPr>
        <w:spacing w:after="0" w:line="224" w:lineRule="exact"/>
        <w:rPr>
          <w:sz w:val="20"/>
          <w:szCs w:val="20"/>
          <w:color w:val="auto"/>
        </w:rPr>
      </w:pPr>
    </w:p>
    <w:p>
      <w:pPr>
        <w:jc w:val="both"/>
        <w:ind w:left="1300" w:hanging="644"/>
        <w:spacing w:after="0" w:line="263" w:lineRule="auto"/>
        <w:tabs>
          <w:tab w:leader="none" w:pos="129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each affected Senior Lender, if a Senior Loan Borrowing is not consummated on the proposed Senior Loan Borrowing Date, all Senior Loan Commitments shall be automatically and permanently terminated.</w:t>
      </w:r>
    </w:p>
    <w:p>
      <w:pPr>
        <w:spacing w:after="0" w:line="16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unused Senior Loan Commitments, if any, shall be terminated upon the occurrence of an Event of Default if required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in accordance with the terms thereof.</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the Senior Loan Commitments pursuant to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be permanent.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Account of Senior Loans; Register</w:t>
      </w:r>
    </w:p>
    <w:p>
      <w:pPr>
        <w:spacing w:after="0" w:line="224" w:lineRule="exact"/>
        <w:rPr>
          <w:sz w:val="20"/>
          <w:szCs w:val="20"/>
          <w:color w:val="auto"/>
        </w:rPr>
      </w:pPr>
    </w:p>
    <w:p>
      <w:pPr>
        <w:jc w:val="both"/>
        <w:ind w:left="1300" w:hanging="644"/>
        <w:spacing w:after="0" w:line="252" w:lineRule="auto"/>
        <w:tabs>
          <w:tab w:leader="none" w:pos="129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Senior Lenders shall maintain in accordance with its usual practice an account or accounts evidencing the indebtedness of the Borrower to such Senior Lender resulting from each Senior Loan made by such Senior Lender, including the amounts of principal and interest payable and paid to such Senior Lender from time to time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98" w:lineRule="exact"/>
        <w:rPr>
          <w:sz w:val="20"/>
          <w:szCs w:val="20"/>
          <w:color w:val="auto"/>
        </w:rPr>
      </w:pPr>
    </w:p>
    <w:p>
      <w:pPr>
        <w:jc w:val="both"/>
        <w:ind w:left="1300" w:hanging="644"/>
        <w:spacing w:after="0" w:line="249" w:lineRule="auto"/>
        <w:tabs>
          <w:tab w:leader="none" w:pos="129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maintain at the Administrative Agent’s office (i) a copy of any Lender Assignment Agreement or Affiliated Lender Assignment Agreement delivered to it pursuant to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and (ii) a register for the recordation of the names and addresses of the Senior Lenders, and all the Senior Loan Commitments of, and principal amount of and interest on the Senior Loans owing and paid to, each Senior Lender pursuant to the terms hereof from time to time and of amounts received by the Administrative Agent from the Borrower and whether such amounts constitute principal, interest, fees, or other amounts and each Senior Lender’s share thereof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Register shall be available for inspection by the Borrower and any Senior Lender at any reasonable time and from time to time upon reasonable prior notice.</w:t>
      </w:r>
    </w:p>
    <w:p>
      <w:pPr>
        <w:spacing w:after="0" w:line="195"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by the Administrative Agent in the Register or the accounts maintained by any Senior Lender shall be conclusive and binding evidence, absent manifest error,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of any Senior Lender or the Administrative Agent to maintain such Register or accounts or any error therein shall not in any manner affect the obligation of the Borrower to repay the Senior Loans in accordance with the terms of this Agreement. In the event of any conflict between the accounts and records maintained by any Senior Lender and the accounts and records of the Administrative Agent in respect of such matters, the accounts and records of the Administrative Agent shall control in the absence of manifest error.</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that in addition to such accounts or records described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the Senior Loans made by each Senior Lender shall, upon the request of any Senior Lender, be evidenced by one or more Senior Loan Notes duly executed on behalf of the Borrower and shall be dated the Closing Date (or, if later, the date of any request therefor by a Senior Lender). Each such Senior Loan Note shall have all blanks appropriately filled in, and shall be payable to such Senior Lender and its registered assigns in a principal amount equal to the Senior Loan Commitment of such Senior Lender (it being understood that the principal amount of the Senior Loan Commitment of each Senior Lender shall be allocated amongst its Senior Loan Notes such that the aggregate principal amount of such Senior Loan Notes equals such Senior Lender’s Senior Loan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Senior Lender may attach schedules to its respective Senior Loan Notes and endorse thereon the date, amount, and maturity of its respective Senior Loans and payments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-2642870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1350010</wp:posOffset>
            </wp:positionH>
            <wp:positionV relativeFrom="paragraph">
              <wp:posOffset>-200025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94"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REPAYMENTS, PREPAYMENTS, INTEREST AND FEES</w:t>
      </w:r>
    </w:p>
    <w:p>
      <w:pPr>
        <w:spacing w:after="0" w:line="21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Repayment of Senior Loan Borrowings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Borrower unconditionally and irrevocably promises to pay to the Administrative Agent for the ratable account of each Senior Lender the aggregate outstanding principal amount of the Senior Loans on the Credit Agreement Maturity Date.</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Interest Payment Dates</w:t>
      </w:r>
    </w:p>
    <w:p>
      <w:pPr>
        <w:spacing w:after="0" w:line="224" w:lineRule="exact"/>
        <w:rPr>
          <w:sz w:val="20"/>
          <w:szCs w:val="20"/>
          <w:color w:val="auto"/>
        </w:rPr>
      </w:pPr>
    </w:p>
    <w:p>
      <w:pPr>
        <w:ind w:left="1300" w:hanging="644"/>
        <w:spacing w:after="0" w:line="271" w:lineRule="auto"/>
        <w:tabs>
          <w:tab w:leader="none" w:pos="129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on each Senior Loan shall be payable, without duplication, on the following dates (each, an “</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repayment or prepayment of any Senior Loans, on the date of each such repayment or prepayment;</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Credit Agreement Maturity Date; and</w:t>
      </w:r>
    </w:p>
    <w:p>
      <w:pPr>
        <w:spacing w:after="0" w:line="219"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6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September 30 and March 30 of each year, commencing on March 30, 2024, or if any such day is not a Business Day, the next succeeding Business Day.</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on the Senior Loans or other Obligations after the date such amount is due and payable (whether on the Credit Agreement Maturity Date, any Interest Payment Date, upon acceleration or otherwise) shall be payable upon demand.</w:t>
      </w:r>
    </w:p>
    <w:p>
      <w:pPr>
        <w:spacing w:after="0" w:line="186" w:lineRule="exact"/>
        <w:rPr>
          <w:rFonts w:ascii="Times New Roman" w:cs="Times New Roman" w:eastAsia="Times New Roman" w:hAnsi="Times New Roman"/>
          <w:sz w:val="22"/>
          <w:szCs w:val="22"/>
          <w:color w:val="auto"/>
        </w:rPr>
      </w:pPr>
    </w:p>
    <w:p>
      <w:pPr>
        <w:ind w:left="1300" w:hanging="644"/>
        <w:spacing w:after="0" w:line="271" w:lineRule="auto"/>
        <w:tabs>
          <w:tab w:leader="none" w:pos="129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hereunder shall be due and payable in accordance with the terms hereof before and after judgment, and before and after the occurrence of an event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-1613535</wp:posOffset>
            </wp:positionV>
            <wp:extent cx="232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Interest Rate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The Senior Loans shall accrue interest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Interest Rate.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Post-Maturity Interest Rates; Default Interest Rates</w:t>
      </w:r>
    </w:p>
    <w:p>
      <w:pPr>
        <w:spacing w:after="0" w:line="22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 xml:space="preserve">If all or a portion of the principal amount of any Senior Loan is not paid when due (whether on the Credit Agreement Maturity Date, by acceleration or otherwise) or any Obligation under this Agreement (other than principal on the Senior Loans) is not paid when due (whether on the Credit Agreement Maturity Date, by acceleration or otherwise), such amount shall bear interest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Default Rate from the date of such non-payment until the amount then due is paid in full (after as well as before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Computation of Interest and Fees</w:t>
      </w:r>
    </w:p>
    <w:p>
      <w:pPr>
        <w:spacing w:after="0" w:line="224" w:lineRule="exact"/>
        <w:rPr>
          <w:sz w:val="20"/>
          <w:szCs w:val="20"/>
          <w:color w:val="auto"/>
        </w:rPr>
      </w:pPr>
    </w:p>
    <w:p>
      <w:pPr>
        <w:ind w:left="1300" w:hanging="644"/>
        <w:spacing w:after="0" w:line="271" w:lineRule="auto"/>
        <w:tabs>
          <w:tab w:leader="none" w:pos="129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computations of interest for Senior Loans, shall be made on the basis of a 360-day year of twelve thirty-day months and will be payable semi-annually on the basis of six thirty-day months.</w:t>
      </w:r>
    </w:p>
    <w:p>
      <w:pPr>
        <w:spacing w:after="0" w:line="171"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shall accrue on each Senior Loan for the day on which the Senior Loan is made, and shall not accrue on a Senior Loan, or any portion thereof, for the day on which the Senior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Senior Loan that is repaid on the same day on which it is made shall bear interest for one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6885305</wp:posOffset>
            </wp:positionH>
            <wp:positionV relativeFrom="paragraph">
              <wp:posOffset>-206375</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Optional Prepayment</w:t>
      </w:r>
    </w:p>
    <w:p>
      <w:pPr>
        <w:spacing w:after="0" w:line="224" w:lineRule="exact"/>
        <w:rPr>
          <w:sz w:val="20"/>
          <w:szCs w:val="20"/>
          <w:color w:val="auto"/>
        </w:rPr>
      </w:pPr>
    </w:p>
    <w:p>
      <w:pPr>
        <w:jc w:val="both"/>
        <w:ind w:left="1300" w:hanging="644"/>
        <w:spacing w:after="0" w:line="256" w:lineRule="auto"/>
        <w:tabs>
          <w:tab w:leader="none" w:pos="129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to prepay the Senior Loans (in whole or part) without premium or penalty (other than the Make-Whole Amount pursuant to Section 3.6(c)(ii), if applicable) by providing notice to the Administrative Agent prior to 1:00 p.m., New York City time, on the date that is at least fifteen days but no more than sixty days prior to the proposed prepayment date. Any prepayment notice may be revoked.</w:t>
      </w:r>
    </w:p>
    <w:p>
      <w:pPr>
        <w:spacing w:after="0" w:line="176"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voluntary prepayments under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shall be made by the Borrower to the Administrative Agent for the account of the Senior Lenders in accordance with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prepayment to be made pursuant to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on the date specified in the notice of prepayment delivered pursuant to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the Borrower shall pay to the Administrative Agent the sum of the following amounts:</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but unpaid interest on the Senior Loans to be prepaid;</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the Senior Loans to be prepaid or, with respect to any Senior Loans prepaid prior to the Par Call Date, the Make-Whole Amount in respect of such Senior Loans; and</w:t>
      </w:r>
    </w:p>
    <w:p>
      <w:pPr>
        <w:spacing w:after="0" w:line="171"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Obligations due to the Credit Agreement Senior Secured Parties in connection with any prepayment under the Financing Documents.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of any Senior Loans prepaid pursuant to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may not be reborrowed.</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Borrower will notify the Administrative Agent of the Make-Whole Amount with respect to any prepayment upon making such prepayment, and the Administrative Agent shall not be responsible for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Mandatory Prepayment</w:t>
      </w:r>
    </w:p>
    <w:p>
      <w:pPr>
        <w:spacing w:after="0" w:line="220" w:lineRule="exact"/>
        <w:rPr>
          <w:sz w:val="20"/>
          <w:szCs w:val="20"/>
          <w:color w:val="auto"/>
        </w:rPr>
      </w:pPr>
    </w:p>
    <w:p>
      <w:pPr>
        <w:jc w:val="both"/>
        <w:ind w:left="1300" w:hanging="644"/>
        <w:spacing w:after="0" w:line="258" w:lineRule="auto"/>
        <w:tabs>
          <w:tab w:leader="none" w:pos="129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required to prepay the Senior Loans in accordance with Section 9.7 (</w:t>
      </w:r>
      <w:r>
        <w:rPr>
          <w:rFonts w:ascii="Times New Roman" w:cs="Times New Roman" w:eastAsia="Times New Roman" w:hAnsi="Times New Roman"/>
          <w:sz w:val="22"/>
          <w:szCs w:val="22"/>
          <w:i w:val="1"/>
          <w:iCs w:val="1"/>
          <w:color w:val="auto"/>
        </w:rPr>
        <w:t>Application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Collateral Proceeds to the Senior Secured Obligations Prior to an Enforcement Action</w:t>
      </w:r>
      <w:r>
        <w:rPr>
          <w:rFonts w:ascii="Times New Roman" w:cs="Times New Roman" w:eastAsia="Times New Roman" w:hAnsi="Times New Roman"/>
          <w:sz w:val="22"/>
          <w:szCs w:val="22"/>
          <w:color w:val="auto"/>
        </w:rPr>
        <w:t>) of the Collateral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Intercreditor Agreement with the applicable Senior Lenders’ ratable share of the Mandatory Prepayment Portion of the following:</w:t>
      </w:r>
    </w:p>
    <w:p>
      <w:pPr>
        <w:spacing w:after="0" w:line="171"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Proceeds, to the extent that the aggregate amount of such Loss Proceeds received by the Borrower and not applied in accordance with Section 9.2(b) (</w:t>
      </w:r>
      <w:r>
        <w:rPr>
          <w:rFonts w:ascii="Times New Roman" w:cs="Times New Roman" w:eastAsia="Times New Roman" w:hAnsi="Times New Roman"/>
          <w:sz w:val="22"/>
          <w:szCs w:val="22"/>
          <w:i w:val="1"/>
          <w:iCs w:val="1"/>
          <w:color w:val="auto"/>
        </w:rPr>
        <w:t>Loss Proceeds</w:t>
      </w:r>
      <w:r>
        <w:rPr>
          <w:rFonts w:ascii="Times New Roman" w:cs="Times New Roman" w:eastAsia="Times New Roman" w:hAnsi="Times New Roman"/>
          <w:sz w:val="22"/>
          <w:szCs w:val="22"/>
          <w:color w:val="auto"/>
        </w:rPr>
        <w:t xml:space="preserve">) of the Collateral and Intercreditor Agreement exceeds $300,000,000 since the later of the Closing Date and the last date on which a mandatory prepayment has been made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5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Sale Proceeds, to the extent that the aggregate amount of such Asset Sale Proceeds received by the Borrower and not used to purchase replacement property or prepay any other Senior Secured Debt in accordance with Section 9.3(b) (</w:t>
      </w:r>
      <w:r>
        <w:rPr>
          <w:rFonts w:ascii="Times New Roman" w:cs="Times New Roman" w:eastAsia="Times New Roman" w:hAnsi="Times New Roman"/>
          <w:sz w:val="22"/>
          <w:szCs w:val="22"/>
          <w:i w:val="1"/>
          <w:iCs w:val="1"/>
          <w:color w:val="auto"/>
        </w:rPr>
        <w:t>Asset Sale Proceeds</w:t>
      </w:r>
      <w:r>
        <w:rPr>
          <w:rFonts w:ascii="Times New Roman" w:cs="Times New Roman" w:eastAsia="Times New Roman" w:hAnsi="Times New Roman"/>
          <w:sz w:val="22"/>
          <w:szCs w:val="22"/>
          <w:color w:val="auto"/>
        </w:rPr>
        <w:t xml:space="preserve">) of the Collateral and Intercreditor Agreement exceeds $300,000,000 since the later of the Closing Date and the last date on which a mandatory prepayment has been made pursuant to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and</w:t>
      </w:r>
    </w:p>
    <w:p>
      <w:pPr>
        <w:spacing w:after="0" w:line="194"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6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Liquidated Damages payments to the Borrower, to the extent that the aggregate amount of such payments received by the Borrower and not used to rectify any damages or losses suffered under the relevant Material Project Document resulting from a breach thereof by the applicable Material Project Party or make indemnity payments to Offtakers, in each case, in accordance with Section 9.4(b) (</w:t>
      </w:r>
      <w:r>
        <w:rPr>
          <w:rFonts w:ascii="Times New Roman" w:cs="Times New Roman" w:eastAsia="Times New Roman" w:hAnsi="Times New Roman"/>
          <w:sz w:val="22"/>
          <w:szCs w:val="22"/>
          <w:i w:val="1"/>
          <w:iCs w:val="1"/>
          <w:color w:val="auto"/>
        </w:rPr>
        <w:t>Performance Liquidated Damages</w:t>
      </w:r>
      <w:r>
        <w:rPr>
          <w:rFonts w:ascii="Times New Roman" w:cs="Times New Roman" w:eastAsia="Times New Roman" w:hAnsi="Times New Roman"/>
          <w:sz w:val="22"/>
          <w:szCs w:val="22"/>
          <w:color w:val="auto"/>
        </w:rPr>
        <w:t xml:space="preserve">) of the Collateral and Intercreditor Agreement exceeds $300,000,000 since the later of the Closing Date and the last date on which a mandatory prepayment has been made pursuant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 Change of Control Triggering Event, the Borrower shall prepay all outstanding Senior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 premium of 1.00% of the aggregate principal amount of Senior Loans so prepaid.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make prepayments of Senior Secured Debt and cancel Senior Secured Debt Commitments as may be required upon the occurrence of a Credit Agreement LNG Sales Mandatory Prepayment Event in accordance with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the Borrower shall allocate the amount so required to be prepaid to Senior Secured Debt constituting Senior Loans in accordance with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98"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of any Senior Loans prepaid pursuant to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may not be reborrowed.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9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in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xml:space="preserve">, no premium, penalty, or Make-Whole Amount shall be payable in connection with any prepayment under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Time and Place of Payments; Notice of Mandatory Prepayment Events; Declined Proceeds</w:t>
      </w:r>
    </w:p>
    <w:p>
      <w:pPr>
        <w:spacing w:after="0" w:line="224" w:lineRule="exact"/>
        <w:rPr>
          <w:sz w:val="20"/>
          <w:szCs w:val="20"/>
          <w:color w:val="auto"/>
        </w:rPr>
      </w:pPr>
    </w:p>
    <w:p>
      <w:pPr>
        <w:jc w:val="both"/>
        <w:ind w:left="1300" w:hanging="644"/>
        <w:spacing w:after="0" w:line="249" w:lineRule="auto"/>
        <w:tabs>
          <w:tab w:leader="none" w:pos="129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(including any payment of principal of or interest on any Senior Loan or any Fees or other Obligations) hereunder without setoff, deduction or counterclaim not later than 1:00 p.m., New York City time, on the date when due in Dollars and in immediately available funds to the Administrative Agent at the following account: M&amp;T Bank / Wilmington Trust, N.A., ABA # 031100092, Account Name: Rio Grande LNG, Account # 165046-000, Attention: Jessica Jankiewicz, Ref: GCM – LOAN AGENCY, or at such other office or account as may from time to time be specified by the Administrative Agent to the Borrower. Funds received after 1:00 p.m., New York City time shall be deemed to have been received by the Administrative Agent on the next succeeding Business Day for the purpose of calculating interest thereon.</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remit in immediately available funds to each Credit Agreement Senior Secured Party its share, if any, of any payments received by the Administrative Agent for the account of such Credit Agreement Senior Secured Party.</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herein, whenever any payment (including any payment of interest or principal on any Senior Loan or any Fees or other Obligations) hereunder shall become due, or otherwise would occur, on a day that is not a Business Day, such payment shall be made on the immediately succeeding Business Day.</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7" w:lineRule="auto"/>
        <w:tabs>
          <w:tab w:leader="none" w:pos="1295"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give written notice to the Administrative Agent (which shall forward such notice to each Senior Lender) of any event giving rise to any mandatory prepayment in accordance with, (i) </w:t>
      </w:r>
      <w:r>
        <w:rPr>
          <w:rFonts w:ascii="Times New Roman" w:cs="Times New Roman" w:eastAsia="Times New Roman" w:hAnsi="Times New Roman"/>
          <w:sz w:val="21"/>
          <w:szCs w:val="21"/>
          <w:u w:val="single" w:color="auto"/>
          <w:color w:val="auto"/>
        </w:rPr>
        <w:t>Section 3.7(a)(i)</w:t>
      </w:r>
      <w:r>
        <w:rPr>
          <w:rFonts w:ascii="Times New Roman" w:cs="Times New Roman" w:eastAsia="Times New Roman" w:hAnsi="Times New Roman"/>
          <w:sz w:val="21"/>
          <w:szCs w:val="21"/>
          <w:color w:val="auto"/>
        </w:rPr>
        <w:t xml:space="preserve"> within ninety days after completing the relevant Restoration or the Borrower’s election not to Restore pursuant to</w:t>
      </w:r>
    </w:p>
    <w:p>
      <w:pPr>
        <w:spacing w:after="0" w:line="1"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 xml:space="preserve">the CFAA, (ii) </w:t>
      </w:r>
      <w:r>
        <w:rPr>
          <w:rFonts w:ascii="Times New Roman" w:cs="Times New Roman" w:eastAsia="Times New Roman" w:hAnsi="Times New Roman"/>
          <w:sz w:val="22"/>
          <w:szCs w:val="22"/>
          <w:u w:val="single" w:color="auto"/>
          <w:color w:val="auto"/>
        </w:rPr>
        <w:t>Section 3.7(a)(ii)</w:t>
      </w:r>
      <w:r>
        <w:rPr>
          <w:rFonts w:ascii="Times New Roman" w:cs="Times New Roman" w:eastAsia="Times New Roman" w:hAnsi="Times New Roman"/>
          <w:sz w:val="22"/>
          <w:szCs w:val="22"/>
          <w:color w:val="auto"/>
        </w:rPr>
        <w:t xml:space="preserve"> within thirty days after the expiry of the period during which the Borrower is permitted to use such Asset Sale Proceeds pursuant to the Collateral and Intercreditor Agreement, (iii) </w:t>
      </w:r>
      <w:r>
        <w:rPr>
          <w:rFonts w:ascii="Times New Roman" w:cs="Times New Roman" w:eastAsia="Times New Roman" w:hAnsi="Times New Roman"/>
          <w:sz w:val="22"/>
          <w:szCs w:val="22"/>
          <w:u w:val="single" w:color="auto"/>
          <w:color w:val="auto"/>
        </w:rPr>
        <w:t>Section 3.7(a)(iii)</w:t>
      </w:r>
      <w:r>
        <w:rPr>
          <w:rFonts w:ascii="Times New Roman" w:cs="Times New Roman" w:eastAsia="Times New Roman" w:hAnsi="Times New Roman"/>
          <w:sz w:val="22"/>
          <w:szCs w:val="22"/>
          <w:color w:val="auto"/>
        </w:rPr>
        <w:t xml:space="preserve"> within ninety days after the expiry of the period during which the Borrower is permitted to use such Performance Liquidated Damages pursuant to the Collateral and Intercreditor Agreement, (iv)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xml:space="preserve"> within thirty days after the Change of Control Triggering Event, and (v) Section 3.7(c)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94"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color w:val="auto"/>
        </w:rPr>
        <w:t>upon the expiration of the applicable period under Section 7.4 (any such notice, a “</w:t>
      </w:r>
      <w:r>
        <w:rPr>
          <w:rFonts w:ascii="Times New Roman" w:cs="Times New Roman" w:eastAsia="Times New Roman" w:hAnsi="Times New Roman"/>
          <w:sz w:val="22"/>
          <w:szCs w:val="22"/>
          <w:b w:val="1"/>
          <w:bCs w:val="1"/>
          <w:color w:val="auto"/>
        </w:rPr>
        <w:t>Mandatory 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 Notice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left="1300" w:hanging="644"/>
        <w:spacing w:after="0" w:line="252" w:lineRule="auto"/>
        <w:tabs>
          <w:tab w:leader="none" w:pos="129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Mandatory Prepayment Event Notice shall specify the proposed prepayment date (the “</w:t>
      </w:r>
      <w:r>
        <w:rPr>
          <w:rFonts w:ascii="Times New Roman" w:cs="Times New Roman" w:eastAsia="Times New Roman" w:hAnsi="Times New Roman"/>
          <w:sz w:val="22"/>
          <w:szCs w:val="22"/>
          <w:b w:val="1"/>
          <w:bCs w:val="1"/>
          <w:color w:val="auto"/>
        </w:rPr>
        <w:t>Mandatory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Prepayment Date</w:t>
      </w:r>
      <w:r>
        <w:rPr>
          <w:rFonts w:ascii="Times New Roman" w:cs="Times New Roman" w:eastAsia="Times New Roman" w:hAnsi="Times New Roman"/>
          <w:sz w:val="22"/>
          <w:szCs w:val="22"/>
          <w:color w:val="auto"/>
        </w:rPr>
        <w:t>”) which shall be (i) in the case of a Mandatory Prepayment Event Notice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3.8(d)(i)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(d)(iii)</w:t>
      </w:r>
      <w:r>
        <w:rPr>
          <w:rFonts w:ascii="Times New Roman" w:cs="Times New Roman" w:eastAsia="Times New Roman" w:hAnsi="Times New Roman"/>
          <w:sz w:val="22"/>
          <w:szCs w:val="22"/>
          <w:color w:val="auto"/>
        </w:rPr>
        <w:t xml:space="preserve">, or (d)(v) a date that is at least twenty Business Days after the date of the Mandatory Prepayment Event Notice and no later than thirty Business Days after the date of the Mandatory Prepayment Event Notice and (ii) in the case of a Mandatory Prepayment Event Notice pursuant to </w:t>
      </w:r>
      <w:r>
        <w:rPr>
          <w:rFonts w:ascii="Times New Roman" w:cs="Times New Roman" w:eastAsia="Times New Roman" w:hAnsi="Times New Roman"/>
          <w:sz w:val="22"/>
          <w:szCs w:val="22"/>
          <w:u w:val="single" w:color="auto"/>
          <w:color w:val="auto"/>
        </w:rPr>
        <w:t>Section 3.8(d)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 date that is at least thirty days after the date of the Mandatory Prepayment Event Notice and no later than sixty days after the date of the Mandatory Prepayment Event Notice.</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3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Senior Lender that desires to receive the applicable mandatory prepayment shall give notice to the Administrative Agent in writing or by telephone (confirmed in writing) at least three Business Days prior to the Mandatory Prepayment Date (the “</w:t>
      </w:r>
      <w:r>
        <w:rPr>
          <w:rFonts w:ascii="Times New Roman" w:cs="Times New Roman" w:eastAsia="Times New Roman" w:hAnsi="Times New Roman"/>
          <w:sz w:val="22"/>
          <w:szCs w:val="22"/>
          <w:b w:val="1"/>
          <w:bCs w:val="1"/>
          <w:color w:val="auto"/>
        </w:rPr>
        <w:t>Mandatory Prepayment Confirmation Deadline</w:t>
      </w:r>
      <w:r>
        <w:rPr>
          <w:rFonts w:ascii="Times New Roman" w:cs="Times New Roman" w:eastAsia="Times New Roman" w:hAnsi="Times New Roman"/>
          <w:sz w:val="22"/>
          <w:szCs w:val="22"/>
          <w:color w:val="auto"/>
        </w:rPr>
        <w:t xml:space="preserve">”) that such Senior Lender elects to receive the applicable mandatory prepayment. Unless a Senior Lender gave its affirmative notice to the Administrative Agent in writing or by telephone (confirmed in writing) by the Mandatory Prepayment Confirmation Deadline, such Senior Lender shall be deemed to have declined the total amount of the applicable mandatory prepayment of its Senior Loans to be made pursuant to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 Senior Lender will be entitled to withdraw its election if such Senior Lender provides written notice to the Administrative Agent no later than the Mandatory Prepayment Confirmation Deadline that such Senior Lender is withdrawing its election to have its Senior Loan repaid.</w:t>
      </w:r>
    </w:p>
    <w:p>
      <w:pPr>
        <w:spacing w:after="0" w:line="204"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one Business Day following the Mandatory Prepayment Confirmation Deadline, the Administrative Agent shall give written notice to the Borrower of the aggregate principal amount of Senior Loans to be prepaid on the Mandatory Prepayment Date.</w:t>
      </w:r>
    </w:p>
    <w:p>
      <w:pPr>
        <w:spacing w:after="0" w:line="168" w:lineRule="exact"/>
        <w:rPr>
          <w:rFonts w:ascii="Times New Roman" w:cs="Times New Roman" w:eastAsia="Times New Roman" w:hAnsi="Times New Roman"/>
          <w:sz w:val="22"/>
          <w:szCs w:val="22"/>
          <w:color w:val="auto"/>
        </w:rPr>
      </w:pPr>
    </w:p>
    <w:p>
      <w:pPr>
        <w:jc w:val="both"/>
        <w:ind w:left="1300" w:hanging="644"/>
        <w:spacing w:after="0" w:line="258" w:lineRule="auto"/>
        <w:tabs>
          <w:tab w:leader="none" w:pos="129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3.7(c)</w:t>
      </w:r>
      <w:r>
        <w:rPr>
          <w:rFonts w:ascii="Times New Roman" w:cs="Times New Roman" w:eastAsia="Times New Roman" w:hAnsi="Times New Roman"/>
          <w:sz w:val="22"/>
          <w:szCs w:val="22"/>
          <w:color w:val="auto"/>
        </w:rPr>
        <w:t xml:space="preserve">, if the aggregate principal amount of Senior Loans and other </w:t>
      </w:r>
      <w:r>
        <w:rPr>
          <w:rFonts w:ascii="Times New Roman" w:cs="Times New Roman" w:eastAsia="Times New Roman" w:hAnsi="Times New Roman"/>
          <w:sz w:val="22"/>
          <w:szCs w:val="22"/>
          <w:i w:val="1"/>
          <w:iCs w:val="1"/>
          <w:color w:val="auto"/>
          <w:strike w:val="1"/>
        </w:rPr>
        <w:t>pari passu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Indebtedness</w:t>
      </w:r>
      <w:r>
        <w:rPr>
          <w:rFonts w:ascii="Times New Roman" w:cs="Times New Roman" w:eastAsia="Times New Roman" w:hAnsi="Times New Roman"/>
          <w:sz w:val="22"/>
          <w:szCs w:val="22"/>
          <w:u w:val="single" w:color="auto"/>
          <w:color w:val="auto"/>
        </w:rPr>
        <w:t>Senior Secured Debt</w:t>
      </w:r>
      <w:r>
        <w:rPr>
          <w:rFonts w:ascii="Times New Roman" w:cs="Times New Roman" w:eastAsia="Times New Roman" w:hAnsi="Times New Roman"/>
          <w:sz w:val="22"/>
          <w:szCs w:val="22"/>
          <w:color w:val="auto"/>
        </w:rPr>
        <w:t xml:space="preserve"> subject to a mandatory prepayment exceeds the amount available for such prepayment, the Senior Loans and such other </w:t>
      </w:r>
      <w:r>
        <w:rPr>
          <w:rFonts w:ascii="Times New Roman" w:cs="Times New Roman" w:eastAsia="Times New Roman" w:hAnsi="Times New Roman"/>
          <w:sz w:val="22"/>
          <w:szCs w:val="22"/>
          <w:i w:val="1"/>
          <w:iCs w:val="1"/>
          <w:color w:val="auto"/>
          <w:strike w:val="1"/>
        </w:rPr>
        <w:t>pari passu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Indebtedness</w:t>
      </w:r>
      <w:r>
        <w:rPr>
          <w:rFonts w:ascii="Times New Roman" w:cs="Times New Roman" w:eastAsia="Times New Roman" w:hAnsi="Times New Roman"/>
          <w:sz w:val="22"/>
          <w:szCs w:val="22"/>
          <w:u w:val="single" w:color="auto"/>
          <w:color w:val="auto"/>
        </w:rPr>
        <w:t>Senior Secured Debt</w:t>
      </w:r>
      <w:r>
        <w:rPr>
          <w:rFonts w:ascii="Times New Roman" w:cs="Times New Roman" w:eastAsia="Times New Roman" w:hAnsi="Times New Roman"/>
          <w:sz w:val="22"/>
          <w:szCs w:val="22"/>
          <w:color w:val="auto"/>
        </w:rPr>
        <w:t xml:space="preserve"> shall be repaid on a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basis.</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Borrowings and Payments Generally</w:t>
      </w:r>
    </w:p>
    <w:p>
      <w:pPr>
        <w:spacing w:after="0" w:line="224" w:lineRule="exact"/>
        <w:rPr>
          <w:sz w:val="20"/>
          <w:szCs w:val="20"/>
          <w:color w:val="auto"/>
        </w:rPr>
      </w:pPr>
    </w:p>
    <w:p>
      <w:pPr>
        <w:jc w:val="both"/>
        <w:ind w:left="1300" w:right="20" w:hanging="644"/>
        <w:spacing w:after="0" w:line="257" w:lineRule="auto"/>
        <w:tabs>
          <w:tab w:leader="none" w:pos="129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has received notice from the Borrower prior to the date on which any payment is due to the Administrative Agent for the account of the Senior Lenders hereunder that the Borrower will not make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the Administrative Agent may assume that the Borrower has made such payment on such date in accordance with this Agreement and may, but shall not be required to, in reliance upon such assumption, distribute to the Senior Lenders the amount due. If the Borrower has not in fact made such payment, then each of the Senior Lenders severally agrees to repay to the Administrative Agent forthwith on demand the amount so distributed to such Senior Lender in immediately available funds with interest thereon, for each day from (and including) the date such amount is distributed to it to (but excluding) the date of payment to the Administrative Agent, at the Federal Funds Effective Rate. A notice of the Administrative Agent to any Senior Lender with respect to any amount owing under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shall be conclusive, absent manifest error.</w:t>
      </w:r>
    </w:p>
    <w:p>
      <w:pPr>
        <w:spacing w:after="0" w:line="195" w:lineRule="exact"/>
        <w:rPr>
          <w:sz w:val="20"/>
          <w:szCs w:val="20"/>
          <w:color w:val="auto"/>
        </w:rPr>
      </w:pPr>
    </w:p>
    <w:p>
      <w:pPr>
        <w:jc w:val="both"/>
        <w:ind w:left="1300" w:hanging="644"/>
        <w:spacing w:after="0" w:line="248" w:lineRule="auto"/>
        <w:tabs>
          <w:tab w:leader="none" w:pos="12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amounts of principal, interest, fees and other amounts then due hereunder, such funds shall be applied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pay interest, fees and other amounts (except for the amounts required to be paid pursuant to the following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then due hereunder, ratably among the parties entitled thereto in accordance with the amounts of interest, fees and such other amounts then due to such parties and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pay principal then due hereunder, ratably among the parties entitled thereto in accordance with the amounts of principal then due to such parties.</w:t>
      </w:r>
    </w:p>
    <w:p>
      <w:pPr>
        <w:spacing w:after="0" w:line="200"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Senior Lender to obtain funds for any Senior Loan in any particular place or manner or to constitute a representation by any Senior Lender that it has obtained or will obtain funds for any Senior Loan in any particular place or manner.</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each Senior Lender, if and to the extent payment owed to such Senior Lender is not made when due under this Agreement or under the Senior Loan Notes held by such Senior Lender, to charge from time to time against any or all of the Borrower’s accounts with such Senior Lender any amount so due.</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color w:val="auto"/>
        </w:rPr>
        <w:t>Fees</w:t>
      </w:r>
    </w:p>
    <w:p>
      <w:pPr>
        <w:spacing w:after="0" w:line="224" w:lineRule="exact"/>
        <w:rPr>
          <w:sz w:val="20"/>
          <w:szCs w:val="20"/>
          <w:color w:val="auto"/>
        </w:rPr>
      </w:pPr>
    </w:p>
    <w:p>
      <w:pPr>
        <w:ind w:left="1300" w:right="20" w:hanging="644"/>
        <w:spacing w:after="0" w:line="271" w:lineRule="auto"/>
        <w:tabs>
          <w:tab w:leader="none" w:pos="129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or cause to be paid fees in the amounts and at the times from time to time agreed pursuant to each applicable Bank Fee Letter and each applicable Fee Letter.</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shall be paid on the dates due in immediately available funds. Once paid, none of the Fees shall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Pro Rata Treatment</w:t>
      </w:r>
    </w:p>
    <w:p>
      <w:pPr>
        <w:spacing w:after="0" w:line="220" w:lineRule="exact"/>
        <w:rPr>
          <w:sz w:val="20"/>
          <w:szCs w:val="20"/>
          <w:color w:val="auto"/>
        </w:rPr>
      </w:pPr>
    </w:p>
    <w:p>
      <w:pPr>
        <w:ind w:left="1300" w:hanging="644"/>
        <w:spacing w:after="0" w:line="275" w:lineRule="auto"/>
        <w:tabs>
          <w:tab w:leader="none" w:pos="129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Senior Loan Borrowing shall be allocated by the Administrative Agent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Senior Lenders in accordance with each Senior Lender’s Senior Loan Commitment Percentage.</w:t>
      </w:r>
    </w:p>
    <w:p>
      <w:pPr>
        <w:spacing w:after="0" w:line="166"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under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each payment or prepayment of principal of the Senior Loans shall be allocated by the Administrative Agent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Senior Lenders in accordance with the respective principal amounts of their outstanding Senior Loans, and each payment of interest on the Senior Loans shall be allocated by the Administrative Agent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Senior Lenders in accordance with the respective interest amounts outstanding on the Senior Loans held by them.</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Sharing of Payments</w:t>
      </w:r>
    </w:p>
    <w:p>
      <w:pPr>
        <w:spacing w:after="0" w:line="224" w:lineRule="exact"/>
        <w:rPr>
          <w:sz w:val="20"/>
          <w:szCs w:val="20"/>
          <w:color w:val="auto"/>
        </w:rPr>
      </w:pPr>
    </w:p>
    <w:p>
      <w:pPr>
        <w:jc w:val="both"/>
        <w:ind w:left="1300" w:hanging="644"/>
        <w:spacing w:after="0" w:line="259" w:lineRule="auto"/>
        <w:tabs>
          <w:tab w:leader="none" w:pos="129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Senior Lender obtains any payment or other recovery (whether voluntary, involuntary, by application of setoff or otherwise) on account of any Senior Loan (other than pursuant to the terms of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in excess of its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share of payments then or therewith obtained by all Senior Lenders holding Senior Loans, such Senior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shall purchase from the other Senior Lenders (for cash at face value) such participations in Senior Loans of such type made by them as shall be necessary to cause such purchasing Senior Lender to share the excess payment or other recovery ratably with each of them;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all or any portion of the excess payment or other recovery is thereafter recovered from such purchasing Senior Lender, the purchase shall be rescinded and each Senior Lender that has sold a participation to the purchasing Senior Lender shall repay to the purchasing Senior Lender the purchase price to the ratable extent of such recovery together with an amount equal to such selling Senior Lender’s ratable share (according to the proportion of (x) the amount of such selling Senior Lender’s required repayment to the purchasing Senior Lender to (y) the total amount so recovered from the purchasing Senior Lender) of any interest or other amount paid or payable by the purchasing Senior Lender in respect of the total amount so recovered. The Borrower agrees that any Senior Lender so purchasing a participation from another Senior Lender pursuant to this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may, to the fullest extent permitted by law, exercise all its rights of payment (including pursuant to </w:t>
      </w:r>
      <w:r>
        <w:rPr>
          <w:rFonts w:ascii="Times New Roman" w:cs="Times New Roman" w:eastAsia="Times New Roman" w:hAnsi="Times New Roman"/>
          <w:sz w:val="21"/>
          <w:szCs w:val="21"/>
          <w:u w:val="single" w:color="auto"/>
          <w:color w:val="auto"/>
        </w:rPr>
        <w:t>Section 12.14</w:t>
      </w:r>
      <w:r>
        <w:rPr>
          <w:rFonts w:ascii="Times New Roman" w:cs="Times New Roman" w:eastAsia="Times New Roman" w:hAnsi="Times New Roman"/>
          <w:sz w:val="21"/>
          <w:szCs w:val="21"/>
          <w:color w:val="auto"/>
        </w:rPr>
        <w:t xml:space="preserve">) with respect to such participation as fully as if such Senior Lender were the direct creditor of the Borrower in the amount of such participation. The provisions of this </w:t>
      </w:r>
      <w:r>
        <w:rPr>
          <w:rFonts w:ascii="Times New Roman" w:cs="Times New Roman" w:eastAsia="Times New Roman" w:hAnsi="Times New Roman"/>
          <w:sz w:val="21"/>
          <w:szCs w:val="21"/>
          <w:u w:val="single" w:color="auto"/>
          <w:color w:val="auto"/>
        </w:rPr>
        <w:t>Section 3.12</w:t>
      </w:r>
      <w:r>
        <w:rPr>
          <w:rFonts w:ascii="Times New Roman" w:cs="Times New Roman" w:eastAsia="Times New Roman" w:hAnsi="Times New Roman"/>
          <w:sz w:val="21"/>
          <w:szCs w:val="21"/>
          <w:color w:val="auto"/>
        </w:rPr>
        <w:t xml:space="preserve"> shall not be construed to apply to any payment by the Borrower pursuant to and in accordance with the express terms of this Agreement or any payment obtained by any Senior Lender as consideration for the assignment or sale of a participation in any of its Senior Loans to which it has a participation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-2174240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98" w:lineRule="exact"/>
        <w:rPr>
          <w:sz w:val="20"/>
          <w:szCs w:val="20"/>
          <w:color w:val="auto"/>
        </w:rPr>
      </w:pPr>
    </w:p>
    <w:p>
      <w:pPr>
        <w:jc w:val="both"/>
        <w:ind w:left="1300" w:hanging="644"/>
        <w:spacing w:after="0" w:line="256" w:lineRule="auto"/>
        <w:tabs>
          <w:tab w:leader="none" w:pos="1295"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under any applicable bankruptcy, insolvency or other similar law, any Senior Lender receives a secured claim in lieu of a setoff to which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applies, then such Senior Lender shall, to the extent practicable, exercise its rights in respect of such secured claim in a manner consistent with the rights of the Senior Lenders entitled under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to share in the benefits of any recovery on such secured claim.</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PROVISIONS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Obligation to Mitigate</w:t>
      </w:r>
    </w:p>
    <w:p>
      <w:pPr>
        <w:spacing w:after="0" w:line="224" w:lineRule="exact"/>
        <w:rPr>
          <w:sz w:val="20"/>
          <w:szCs w:val="20"/>
          <w:color w:val="auto"/>
        </w:rPr>
      </w:pPr>
    </w:p>
    <w:p>
      <w:pPr>
        <w:jc w:val="both"/>
        <w:ind w:left="1300" w:hanging="644"/>
        <w:spacing w:after="0" w:line="263" w:lineRule="auto"/>
        <w:tabs>
          <w:tab w:leader="none" w:pos="1297"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is required to pay any Indemnified Taxes or additional amount to any Senior Lender or any Government Authority for the account of any Senior Lender pursuant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then such Senior Lender shall use reasonable efforts to designate a different lending or issuing office for funding or booking its Senior Loans hereunder to assign its rights and obligations under the Financing Documents to another of its offices, branches or Affiliates, if, in the reasonable judgment of such Senior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as applicable, in the future and (ii) would not subject such Senior Lender to any unreimbursed cost or expense and would not otherwise be disadvantageous to such Senior Lender or violate any applicable Government Rule. The Borrower hereby agrees to pay all reasonable costs and expenses incurred by any Senior Lender in connection with any such designation or assignment.</w:t>
      </w:r>
    </w:p>
    <w:p>
      <w:pPr>
        <w:spacing w:after="0" w:line="169" w:lineRule="exact"/>
        <w:rPr>
          <w:rFonts w:ascii="Times New Roman" w:cs="Times New Roman" w:eastAsia="Times New Roman" w:hAnsi="Times New Roman"/>
          <w:sz w:val="21"/>
          <w:szCs w:val="21"/>
          <w:color w:val="auto"/>
        </w:rPr>
      </w:pPr>
    </w:p>
    <w:p>
      <w:pPr>
        <w:jc w:val="both"/>
        <w:ind w:left="1300" w:hanging="644"/>
        <w:spacing w:after="0" w:line="247" w:lineRule="auto"/>
        <w:tabs>
          <w:tab w:leader="none" w:pos="129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is required to pay any Indemnified Taxes or additional amount to any Senior Lender or any Government Authority for the account of any Senior Lender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in each case, such Senior Lender has declined or is unable to designate a different lending or issuing office or to make an assignment in accordance with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then the Borrower may, at its sole expense and effort, upon notice in writing to such Senior Lender and the Administrative Agent, request such Senior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all (but not less than all) its interests, rights (other than its existing rights to payments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obligations under this Agreement (including all of its Senior Loans and Senior Loan Commitments) to an assignee that shall assume such obligations (which assignee may be another Senior Lender, if a Senior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(ii) such Senior Lender shall have received payment of an amount equal to all Obligations of the Borrower owing to such Senior Lender from such assignee (to the extent of such outstanding principal and accrued interest and fees) or the Borrower (in the case of all other Obligations), (iii) in the case of any such assignment resulting from a claim for payments required to be made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-685165</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98"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 xml:space="preserve">assignment will result in the elimination or reduction of such compensation or payments, and (iv) such assignment does not conflict with any applicable law binding upon or to which such Senior Lender is subject. A Senior Lender shall not be required to make any such assignment and delegation if, as a result of a waiver by such Senior Lender of its rights under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circumstances entitling the Borrower to require such assignment and delegation have ceased to apply.</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20"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Government Rule</w:t>
      </w:r>
      <w:r>
        <w:rPr>
          <w:rFonts w:ascii="Times New Roman" w:cs="Times New Roman" w:eastAsia="Times New Roman" w:hAnsi="Times New Roman"/>
          <w:sz w:val="22"/>
          <w:szCs w:val="22"/>
          <w:color w:val="auto"/>
        </w:rPr>
        <w:t>” includes FATCA.</w:t>
      </w:r>
    </w:p>
    <w:p>
      <w:pPr>
        <w:spacing w:after="0" w:line="223"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Borrower under any Financing Document shall be made without deduction or withholding for any Taxes, except as required by Government Rules. If any Government Rule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 Authority in accordance with Government Rules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7"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Borrower</w:t>
      </w:r>
      <w:r>
        <w:rPr>
          <w:rFonts w:ascii="Times New Roman" w:cs="Times New Roman" w:eastAsia="Times New Roman" w:hAnsi="Times New Roman"/>
          <w:sz w:val="22"/>
          <w:szCs w:val="22"/>
          <w:color w:val="auto"/>
        </w:rPr>
        <w:t>. The Borrower shall timely pay to the relevant Government Authority in accordance with Government Rules, or at the option of the Administrative Agent timely reimburse it for the payment of, any Other Taxes.</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Borrower</w:t>
      </w:r>
      <w:r>
        <w:rPr>
          <w:rFonts w:ascii="Times New Roman" w:cs="Times New Roman" w:eastAsia="Times New Roman" w:hAnsi="Times New Roman"/>
          <w:sz w:val="22"/>
          <w:szCs w:val="22"/>
          <w:color w:val="auto"/>
        </w:rPr>
        <w:t xml:space="preserve">. The Borrower shall indemnify each Recipient, within ten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 Authority. A certificate as to the amount of such payment or liability delivered to the Borrower by a Senior Lender (with a copy to the Administrative Agent), or by the Administrative Agent on its own behalf or on behalf of a Senior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98" w:lineRule="exact"/>
        <w:rPr>
          <w:sz w:val="20"/>
          <w:szCs w:val="20"/>
          <w:color w:val="auto"/>
        </w:rPr>
      </w:pPr>
    </w:p>
    <w:p>
      <w:pPr>
        <w:jc w:val="both"/>
        <w:ind w:left="1300" w:hanging="644"/>
        <w:spacing w:after="0" w:line="262" w:lineRule="auto"/>
        <w:tabs>
          <w:tab w:leader="none" w:pos="129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Senior Lenders</w:t>
      </w:r>
      <w:r>
        <w:rPr>
          <w:rFonts w:ascii="Times New Roman" w:cs="Times New Roman" w:eastAsia="Times New Roman" w:hAnsi="Times New Roman"/>
          <w:sz w:val="21"/>
          <w:szCs w:val="21"/>
          <w:color w:val="auto"/>
        </w:rPr>
        <w:t xml:space="preserve">. Each Senior Lender shall severally indemnify the Administrative Agent, within ten days after demand therefor, for (i) any Indemnified Taxes attributable to such Senior Lender (but only to the extent that the Borrower has not already indemnified the Administrative Agent for such Indemnified Taxes and without limiting the obligation of the Borrower to do so), (ii) any Taxes attributable to such Senior Lender’s failure to comply with the provisions of </w:t>
      </w:r>
      <w:r>
        <w:rPr>
          <w:rFonts w:ascii="Times New Roman" w:cs="Times New Roman" w:eastAsia="Times New Roman" w:hAnsi="Times New Roman"/>
          <w:sz w:val="21"/>
          <w:szCs w:val="21"/>
          <w:u w:val="single" w:color="auto"/>
          <w:color w:val="auto"/>
        </w:rPr>
        <w:t>Section 12.4(d)</w:t>
      </w:r>
      <w:r>
        <w:rPr>
          <w:rFonts w:ascii="Times New Roman" w:cs="Times New Roman" w:eastAsia="Times New Roman" w:hAnsi="Times New Roman"/>
          <w:sz w:val="21"/>
          <w:szCs w:val="21"/>
          <w:color w:val="auto"/>
        </w:rPr>
        <w:t xml:space="preserve"> relating to the maintenance of a Participant Register and</w:t>
      </w:r>
    </w:p>
    <w:p>
      <w:pPr>
        <w:spacing w:after="0" w:line="1" w:lineRule="exact"/>
        <w:rPr>
          <w:rFonts w:ascii="Times New Roman" w:cs="Times New Roman" w:eastAsia="Times New Roman" w:hAnsi="Times New Roman"/>
          <w:sz w:val="21"/>
          <w:szCs w:val="21"/>
          <w:color w:val="auto"/>
        </w:rPr>
      </w:pPr>
    </w:p>
    <w:p>
      <w:pPr>
        <w:jc w:val="both"/>
        <w:ind w:left="1300" w:firstLine="4"/>
        <w:spacing w:after="0" w:line="245" w:lineRule="auto"/>
        <w:tabs>
          <w:tab w:leader="none" w:pos="1731"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Excluded Taxes attributable to such Senior Lender, in each case, that are payable or paid by the Administrative Agent in connection with any Financing Document, and any reasonable expenses arising therefrom or with respect thereto, whether or not such Taxes were correctly or legally imposed or asserted by the relevant Government Authority. A certificate as to the amount of such payment or liability delivered to any Senior Lender by the Administrative Agent shall be conclusive absent manifest error. Each Senior Lender hereby authorizes the Administrative Agent to set off and apply any and all amounts at any time owing to such Senior Lender under any Financing Document or otherwise payable by the Administrative Agent to the Senior Lender from any other source against any amount due to the Administrative Agent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the Borrower to a Government Authority pursuant to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 Authority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4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Lender that is entitled to an exemption from or reduction of withholding Tax with respect to payments made under any Financing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Senior Lender, if reasonably requested by the Borrower or the Administrative Agent, shall deliver such other documentation prescribed by Government Rules or reasonably requested by the Borrower or the Administrative Agent as will enable the Borrower or the Administrative Agent to determine whether or not such Senior Lender is subject to backup withholding or information reporting requirements. Notwithstanding anything to the contrary in the preceding two sentences, the completion, execution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submission of such documentation (other than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98" w:lineRule="exact"/>
        <w:rPr>
          <w:sz w:val="20"/>
          <w:szCs w:val="20"/>
          <w:color w:val="auto"/>
        </w:rPr>
      </w:pPr>
    </w:p>
    <w:p>
      <w:pPr>
        <w:jc w:val="both"/>
        <w:ind w:left="1960"/>
        <w:spacing w:after="0" w:line="256" w:lineRule="auto"/>
        <w:rPr>
          <w:sz w:val="20"/>
          <w:szCs w:val="20"/>
          <w:color w:val="auto"/>
        </w:rPr>
      </w:pPr>
      <w:r>
        <w:rPr>
          <w:rFonts w:ascii="Times New Roman" w:cs="Times New Roman" w:eastAsia="Times New Roman" w:hAnsi="Times New Roman"/>
          <w:sz w:val="22"/>
          <w:szCs w:val="22"/>
          <w:color w:val="auto"/>
        </w:rPr>
        <w:t xml:space="preserve">documentation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4.2(g)(ii)</w:t>
      </w:r>
      <w:r>
        <w:rPr>
          <w:rFonts w:ascii="Times New Roman" w:cs="Times New Roman" w:eastAsia="Times New Roman" w:hAnsi="Times New Roman"/>
          <w:sz w:val="22"/>
          <w:szCs w:val="22"/>
          <w:color w:val="auto"/>
        </w:rPr>
        <w:t>) shall not be required if in the Senior Lender’s reasonable judgment such completion, execution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or submission would subject such Senior Lender to any material unreimbursed cost or expense or would materially prejudice the legal or commercial position of such Senior Lender.</w:t>
      </w:r>
    </w:p>
    <w:p>
      <w:pPr>
        <w:spacing w:after="0" w:line="176" w:lineRule="exact"/>
        <w:rPr>
          <w:sz w:val="20"/>
          <w:szCs w:val="20"/>
          <w:color w:val="auto"/>
        </w:rPr>
      </w:pPr>
    </w:p>
    <w:p>
      <w:pPr>
        <w:ind w:left="1940" w:hanging="636"/>
        <w:spacing w:after="0"/>
        <w:tabs>
          <w:tab w:leader="none" w:pos="19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19" w:lineRule="exact"/>
        <w:rPr>
          <w:rFonts w:ascii="Times New Roman" w:cs="Times New Roman" w:eastAsia="Times New Roman" w:hAnsi="Times New Roman"/>
          <w:sz w:val="22"/>
          <w:szCs w:val="22"/>
          <w:color w:val="auto"/>
        </w:rPr>
      </w:pPr>
    </w:p>
    <w:p>
      <w:pPr>
        <w:jc w:val="both"/>
        <w:ind w:left="2600" w:hanging="648"/>
        <w:spacing w:after="0" w:line="253" w:lineRule="auto"/>
        <w:tabs>
          <w:tab w:leader="none" w:pos="2589"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Lender that is a U.S. Person shall deliver to the Borrower and the Administrative Agent on or about the date on which such Senior Lender becomes a Senior Lender under this Agreement (and from time to time thereafter upon the reasonable request of the Borrower or the Administrative Agent), executed copies of IRS Form W-9 certifying that such Senior Lender is exempt from U.S. federal backup withholding tax;</w:t>
      </w:r>
    </w:p>
    <w:p>
      <w:pPr>
        <w:spacing w:after="0" w:line="178" w:lineRule="exact"/>
        <w:rPr>
          <w:rFonts w:ascii="Times New Roman" w:cs="Times New Roman" w:eastAsia="Times New Roman" w:hAnsi="Times New Roman"/>
          <w:sz w:val="22"/>
          <w:szCs w:val="22"/>
          <w:color w:val="auto"/>
        </w:rPr>
      </w:pPr>
    </w:p>
    <w:p>
      <w:pPr>
        <w:jc w:val="both"/>
        <w:ind w:left="2600" w:hanging="648"/>
        <w:spacing w:after="0" w:line="253" w:lineRule="auto"/>
        <w:tabs>
          <w:tab w:leader="none" w:pos="2591"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about the date on which such Foreign Lender becomes a Senior Lender under this Agreement (and from time to time thereafter upon the reasonable request of the Borrower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jc w:val="both"/>
        <w:ind w:left="3240" w:hanging="640"/>
        <w:spacing w:after="0" w:line="249" w:lineRule="auto"/>
        <w:tabs>
          <w:tab w:leader="none" w:pos="3235"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Financing Document, executed copies of IRS Form W-8BEN or IRS Form W-8BEN-E establishing an exemption from, or reduction of, U.S. federal withholding Tax pursuant to the “interest” article of such tax treaty and (y) with respect to any other applicable payments under any Financing Document, IRS Form W-8BEN or IRS Form W-8BEN-E establishing an exemption from, or reduction of, U.S. federal withholding Tax pursuant to the “business profits” or “other income” article of such tax treaty;</w:t>
      </w:r>
    </w:p>
    <w:p>
      <w:pPr>
        <w:spacing w:after="0" w:line="18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33" w:lineRule="exact"/>
        <w:rPr>
          <w:rFonts w:ascii="Times New Roman" w:cs="Times New Roman" w:eastAsia="Times New Roman" w:hAnsi="Times New Roman"/>
          <w:sz w:val="22"/>
          <w:szCs w:val="22"/>
          <w:color w:val="auto"/>
        </w:rPr>
      </w:pPr>
    </w:p>
    <w:p>
      <w:pPr>
        <w:ind w:left="3240" w:right="20" w:hanging="640"/>
        <w:spacing w:after="0" w:line="271" w:lineRule="auto"/>
        <w:tabs>
          <w:tab w:leader="none" w:pos="3235"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8" w:lineRule="exact"/>
        <w:rPr>
          <w:sz w:val="20"/>
          <w:szCs w:val="20"/>
          <w:color w:val="auto"/>
        </w:rPr>
      </w:pPr>
    </w:p>
    <w:p>
      <w:pPr>
        <w:jc w:val="both"/>
        <w:ind w:left="3240"/>
        <w:spacing w:after="0" w:line="268" w:lineRule="auto"/>
        <w:rPr>
          <w:sz w:val="20"/>
          <w:szCs w:val="20"/>
          <w:color w:val="auto"/>
        </w:rPr>
      </w:pPr>
      <w:r>
        <w:rPr>
          <w:rFonts w:ascii="Times New Roman" w:cs="Times New Roman" w:eastAsia="Times New Roman" w:hAnsi="Times New Roman"/>
          <w:sz w:val="21"/>
          <w:szCs w:val="21"/>
          <w:u w:val="single" w:color="auto"/>
          <w:color w:val="auto"/>
        </w:rPr>
        <w:t>Exhibit D-1</w:t>
      </w:r>
      <w:r>
        <w:rPr>
          <w:rFonts w:ascii="Times New Roman" w:cs="Times New Roman" w:eastAsia="Times New Roman" w:hAnsi="Times New Roman"/>
          <w:sz w:val="21"/>
          <w:szCs w:val="21"/>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1"/>
          <w:szCs w:val="21"/>
          <w:b w:val="1"/>
          <w:bCs w:val="1"/>
          <w:color w:val="auto"/>
        </w:rPr>
        <w:t>U.S. Tax 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Certificate</w:t>
      </w:r>
      <w:r>
        <w:rPr>
          <w:rFonts w:ascii="Times New Roman" w:cs="Times New Roman" w:eastAsia="Times New Roman" w:hAnsi="Times New Roman"/>
          <w:sz w:val="21"/>
          <w:szCs w:val="21"/>
          <w:color w:val="auto"/>
        </w:rPr>
        <w:t>”) and (y) executed copies of IRS Form W-8BEN or IRS Form W-8BEN-E; or</w:t>
      </w:r>
    </w:p>
    <w:p>
      <w:pPr>
        <w:spacing w:after="0" w:line="164" w:lineRule="exact"/>
        <w:rPr>
          <w:sz w:val="20"/>
          <w:szCs w:val="20"/>
          <w:color w:val="auto"/>
        </w:rPr>
      </w:pPr>
    </w:p>
    <w:p>
      <w:pPr>
        <w:jc w:val="both"/>
        <w:ind w:left="3240" w:hanging="640"/>
        <w:spacing w:after="0" w:line="249" w:lineRule="auto"/>
        <w:tabs>
          <w:tab w:leader="none" w:pos="3235"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xml:space="preserve">, IRS Form W-9, 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xml:space="preserve"> on behalf of each such direct and indirect partner;</w:t>
      </w:r>
    </w:p>
    <w:p>
      <w:pPr>
        <w:spacing w:after="0" w:line="181" w:lineRule="exact"/>
        <w:rPr>
          <w:rFonts w:ascii="Times New Roman" w:cs="Times New Roman" w:eastAsia="Times New Roman" w:hAnsi="Times New Roman"/>
          <w:sz w:val="22"/>
          <w:szCs w:val="22"/>
          <w:color w:val="auto"/>
        </w:rPr>
      </w:pPr>
    </w:p>
    <w:p>
      <w:pPr>
        <w:jc w:val="both"/>
        <w:ind w:left="2600" w:hanging="648"/>
        <w:spacing w:after="0" w:line="264" w:lineRule="auto"/>
        <w:tabs>
          <w:tab w:leader="none" w:pos="2591"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about the date on which such Foreign Lender becomes a Senior Lender under this Agreement (and from time to time thereafter upon the reasonable request of the Borrower or the Administrative Agent), executed copies of any other form prescribed by Government Rules as a basis for claiming exemption from or a reduction in U.S. federal withholding Tax, duly completed, together with such supplementary documentation as may be prescribed by Government Rules to permit the Borrower or the Administrative Agent to determine the withholding or deduction required to be made; and</w:t>
      </w:r>
    </w:p>
    <w:p>
      <w:pPr>
        <w:spacing w:after="0" w:line="169" w:lineRule="exact"/>
        <w:rPr>
          <w:rFonts w:ascii="Times New Roman" w:cs="Times New Roman" w:eastAsia="Times New Roman" w:hAnsi="Times New Roman"/>
          <w:sz w:val="21"/>
          <w:szCs w:val="21"/>
          <w:color w:val="auto"/>
        </w:rPr>
      </w:pPr>
    </w:p>
    <w:p>
      <w:pPr>
        <w:jc w:val="both"/>
        <w:ind w:left="2600" w:hanging="648"/>
        <w:spacing w:after="0" w:line="253" w:lineRule="auto"/>
        <w:tabs>
          <w:tab w:leader="none" w:pos="258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Senior Lender under any Financing Document would be subject to U.S. federal withholding Tax imposed by FATCA if such Senior Lender were to fail to comply with the applicable reporting requirements of FATCA (including those contained in Section 1471(b) or 1472(b) of the Code, as applicable), such Senior Lender shall deliver to the Borrower and the Administrative Agent at the time or times prescribed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-2945765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98" w:lineRule="exact"/>
        <w:rPr>
          <w:sz w:val="20"/>
          <w:szCs w:val="20"/>
          <w:color w:val="auto"/>
        </w:rPr>
      </w:pPr>
    </w:p>
    <w:p>
      <w:pPr>
        <w:jc w:val="both"/>
        <w:ind w:left="2600"/>
        <w:spacing w:after="0" w:line="266" w:lineRule="auto"/>
        <w:rPr>
          <w:sz w:val="20"/>
          <w:szCs w:val="20"/>
          <w:color w:val="auto"/>
        </w:rPr>
      </w:pPr>
      <w:r>
        <w:rPr>
          <w:rFonts w:ascii="Times New Roman" w:cs="Times New Roman" w:eastAsia="Times New Roman" w:hAnsi="Times New Roman"/>
          <w:sz w:val="21"/>
          <w:szCs w:val="21"/>
          <w:color w:val="auto"/>
        </w:rPr>
        <w:t>and at such time or times reasonably requested by the Borrower or the Administrative Agent such documentation prescribed by Government Rules (including as prescribed by Section 1471(b)(3)(C)</w:t>
      </w:r>
    </w:p>
    <w:p>
      <w:pPr>
        <w:spacing w:after="0" w:line="2" w:lineRule="exact"/>
        <w:rPr>
          <w:sz w:val="20"/>
          <w:szCs w:val="20"/>
          <w:color w:val="auto"/>
        </w:rPr>
      </w:pPr>
    </w:p>
    <w:p>
      <w:pPr>
        <w:jc w:val="both"/>
        <w:ind w:left="2600"/>
        <w:spacing w:after="0" w:line="246" w:lineRule="auto"/>
        <w:tabs>
          <w:tab w:leader="none" w:pos="2882" w:val="left"/>
        </w:tabs>
        <w:numPr>
          <w:ilvl w:val="2"/>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Senior Lender has complied with such Senior Lender’s obligations under FATCA or to determine the amount, if any, to deduct and withhold from such payment. Solely for purposes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202"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Senior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Administrative Agent</w:t>
      </w:r>
      <w:r>
        <w:rPr>
          <w:rFonts w:ascii="Times New Roman" w:cs="Times New Roman" w:eastAsia="Times New Roman" w:hAnsi="Times New Roman"/>
          <w:sz w:val="22"/>
          <w:szCs w:val="22"/>
          <w:color w:val="auto"/>
        </w:rPr>
        <w:t>. The Administrative Agent (and any successor or supplemental Administrative Agent on the date it becomes the Administrative Agent) shall provide the Borrower with two duly completed original copies of, if it is not a U.S. Person, IRS Form W-8ECI or W-8BEN-E with respect to payments to be received by it as a beneficial owner and, if applicable, IRS Form W-8IMY (together with required accompanying documentation) with respect to payments to be received by it on behalf of the Senior Lenders, and shall update such forms periodically upon the reasonable request of the Borrower. In the event that the Administrative Agent is a U.S. Person that is not a corporation, the Administrative Agent shall provide the Borrower with two duly completed original copies of IRS Form W-9.</w:t>
      </w:r>
    </w:p>
    <w:p>
      <w:pPr>
        <w:spacing w:after="0" w:line="195"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28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with respect to the Taxes giving rise to such refund), net of all out-of-pocket expenses (including Taxes) of such indemnified party and without interest (other than any interest paid by the relevant Government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2"/>
          <w:szCs w:val="22"/>
          <w:u w:val="single" w:color="auto"/>
          <w:color w:val="auto"/>
        </w:rPr>
        <w:t>Section 4.2(i)</w:t>
      </w:r>
      <w:r>
        <w:rPr>
          <w:rFonts w:ascii="Times New Roman" w:cs="Times New Roman" w:eastAsia="Times New Roman" w:hAnsi="Times New Roman"/>
          <w:sz w:val="22"/>
          <w:szCs w:val="22"/>
          <w:color w:val="auto"/>
        </w:rPr>
        <w:t xml:space="preserve"> (plus any penalties, interest or other charges imposed by the relevant Government Authority) in the event that such indemnified party is required to repay such refund to such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Authority. Notwithstanding anything to the contrary in this </w:t>
      </w:r>
      <w:r>
        <w:rPr>
          <w:rFonts w:ascii="Times New Roman" w:cs="Times New Roman" w:eastAsia="Times New Roman" w:hAnsi="Times New Roman"/>
          <w:sz w:val="22"/>
          <w:szCs w:val="22"/>
          <w:u w:val="single" w:color="auto"/>
          <w:color w:val="auto"/>
        </w:rPr>
        <w:t>Section 4.2(i)</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w:t>
      </w:r>
      <w:r>
        <w:rPr>
          <w:rFonts w:ascii="Times New Roman" w:cs="Times New Roman" w:eastAsia="Times New Roman" w:hAnsi="Times New Roman"/>
          <w:sz w:val="22"/>
          <w:szCs w:val="22"/>
          <w:u w:val="single" w:color="auto"/>
          <w:color w:val="auto"/>
        </w:rPr>
        <w:t>Section 4.2(i)</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4.2(i)</w:t>
      </w:r>
      <w:r>
        <w:rPr>
          <w:rFonts w:ascii="Times New Roman" w:cs="Times New Roman" w:eastAsia="Times New Roman" w:hAnsi="Times New Roman"/>
          <w:sz w:val="22"/>
          <w:szCs w:val="22"/>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5" w:lineRule="exact"/>
        <w:rPr>
          <w:sz w:val="20"/>
          <w:szCs w:val="20"/>
          <w:color w:val="auto"/>
        </w:rPr>
      </w:pPr>
    </w:p>
    <w:p>
      <w:pPr>
        <w:jc w:val="both"/>
        <w:ind w:left="1300" w:hanging="644"/>
        <w:spacing w:after="0" w:line="252" w:lineRule="auto"/>
        <w:tabs>
          <w:tab w:leader="none" w:pos="1288"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Senior Lender, the termination of the Senior Loan Commitment, and the repayment, satisfaction or discharge of all obligations under any Financing Document.</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37" w:lineRule="exact"/>
        <w:rPr>
          <w:sz w:val="20"/>
          <w:szCs w:val="20"/>
          <w:color w:val="auto"/>
        </w:rPr>
      </w:pPr>
    </w:p>
    <w:p>
      <w:pPr>
        <w:ind w:left="1300" w:right="20" w:hanging="644"/>
        <w:spacing w:after="0" w:line="271" w:lineRule="auto"/>
        <w:tabs>
          <w:tab w:leader="none" w:pos="129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makes each representation and warranty set forth in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on the Closing Date to, and in favor of, the Administrative Agent, each of the Senior Lenders and each other Party hereto.</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representations and warranties set forth in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shall survive the Closing Date but shall not be deemed to be repeated by the Borrower at any time after the Closing Date.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Disclosure</w:t>
      </w:r>
    </w:p>
    <w:p>
      <w:pPr>
        <w:spacing w:after="0" w:line="237"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 xml:space="preserve">This Agreement and the documents, certificates or other writings delivered to the Senior Lenders by or on behalf of the Borrower prior to the date hereof in connection with the transactions contemplated hereby and the financial statements set forth on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xml:space="preserve"> (this Agreement and such documents, certificates or other writings and such financial statements, including those provided through Intralinks, (and, in each case, any updates thereto) delivered to each Senior Lender being referred to, collectively, as the “</w:t>
      </w:r>
      <w:r>
        <w:rPr>
          <w:rFonts w:ascii="Times New Roman" w:cs="Times New Roman" w:eastAsia="Times New Roman" w:hAnsi="Times New Roman"/>
          <w:sz w:val="22"/>
          <w:szCs w:val="22"/>
          <w:b w:val="1"/>
          <w:bCs w:val="1"/>
          <w:color w:val="auto"/>
        </w:rPr>
        <w:t>Disclosure Documents</w:t>
      </w:r>
      <w:r>
        <w:rPr>
          <w:rFonts w:ascii="Times New Roman" w:cs="Times New Roman" w:eastAsia="Times New Roman" w:hAnsi="Times New Roman"/>
          <w:sz w:val="22"/>
          <w:szCs w:val="22"/>
          <w:color w:val="auto"/>
        </w:rPr>
        <w:t xml:space="preserve">”), taken as a whole, do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with respect to any projected financial information, forecasts, estimates, or forward-looking information, information of a general economic or general industry nature or pro forma calculation made in the Disclosure Documents, including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-361315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98"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 xml:space="preserve">respect to the start of operations of the Project, the Project Completion Date, final capital costs or operating costs of the Development, oil prices, Gas prices, LNG prices, electricity prices, Gas reserves, rates of production, Gas market supplies, LNG market demand, exchange rates or interest rates, rates of taxation, rates of inflation, transportation volumes or any other forecasts, projections, assumptions, estimates or pro forma calculations, the Borrower represents only that such information was based on assumptions made in good faith and believed to be reasonable at the time and the Borrower makes no representation as to the actual attainability of any projections set forth in the Disclosure Documents, or any such other items listed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and (b) the Borrower makes no representation with respect to any information or material provided by a Consultant (except to the extent such information or material originated with the Borrower). There is no fact known to the Borrower that could reasonably be expected to have a Material Adverse Effect that has not been set forth herein or in the Disclosure Documents.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Good Standing of the Borrower; Power and Authority</w:t>
      </w:r>
    </w:p>
    <w:p>
      <w:pPr>
        <w:spacing w:after="0" w:line="224" w:lineRule="exact"/>
        <w:rPr>
          <w:sz w:val="20"/>
          <w:szCs w:val="20"/>
          <w:color w:val="auto"/>
        </w:rPr>
      </w:pPr>
    </w:p>
    <w:p>
      <w:pPr>
        <w:jc w:val="both"/>
        <w:ind w:left="1300" w:hanging="644"/>
        <w:spacing w:after="0" w:line="257" w:lineRule="auto"/>
        <w:tabs>
          <w:tab w:leader="none" w:pos="129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been duly formed and is existing and in good standing as a limited liability company under the laws of the State of Texas, with power and authority (limited liability company and other) to own its properties and conduct its business as described in the Disclosure Documents.</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duly qualified to do business as a foreign entity in good standing in all other jurisdictions in which its ownership or lease of property or the conduct of its business requires such qualification, except where the failure to be so qualified or be in good standing would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ind w:left="1300" w:hanging="644"/>
        <w:spacing w:after="0" w:line="295" w:lineRule="auto"/>
        <w:tabs>
          <w:tab w:leader="none" w:pos="129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the limited liability company power and authority to execute and deliver, and to perform its obligations under, each of this Agreement, the Senior Loan Notes, and the other applicable Financing Documents.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Subsidiaries</w:t>
      </w:r>
    </w:p>
    <w:p>
      <w:pPr>
        <w:spacing w:after="0" w:line="237"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Each subsidiary of the Borrower has been duly formed and is existing and in good standing under the laws of the jurisdiction of its formation, with power and authority (limited liability company) to own its properties and conduct its business as described in the Disclosure Documents; and each subsidiary of the Borrower is duly qualified to do business as a foreign entity in good standing in all other jurisdictions in which its ownership or lease of property or the conduct of its business requires such qualification, except where failure to be so qualified would not reasonably be expected to result in a Material Adverse Effect; all of the issued and outstanding limited liability company interests of each subsidiary of the Borrower have been duly authorized and validly issued and are fully paid and nonassessable; and the limited liability company interests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9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subsidiary of the Borrower that are owned by the Borrower, are owned free from liens, encumbrances and defects other than Permitted Liens and as disclosed in the Disclosure Documents.</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Corporate Structure; Ownership of Shares of Subsidiaries</w:t>
      </w:r>
    </w:p>
    <w:p>
      <w:pPr>
        <w:spacing w:after="0" w:line="224" w:lineRule="exact"/>
        <w:rPr>
          <w:sz w:val="20"/>
          <w:szCs w:val="20"/>
          <w:color w:val="auto"/>
        </w:rPr>
      </w:pPr>
    </w:p>
    <w:p>
      <w:pPr>
        <w:jc w:val="both"/>
        <w:ind w:left="1300" w:hanging="644"/>
        <w:spacing w:after="0" w:line="256" w:lineRule="auto"/>
        <w:tabs>
          <w:tab w:leader="none" w:pos="1297"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5.5</w:t>
      </w:r>
      <w:r>
        <w:rPr>
          <w:rFonts w:ascii="Times New Roman" w:cs="Times New Roman" w:eastAsia="Times New Roman" w:hAnsi="Times New Roman"/>
          <w:sz w:val="22"/>
          <w:szCs w:val="22"/>
          <w:color w:val="auto"/>
        </w:rPr>
        <w:t xml:space="preserve"> contains (except as noted therein) complete and correct lists of the Borrower’s subsidiaries as of the Closing Date, direct or indirect, showing, as to each subsidiary, the name thereof, the jurisdiction of its organization, the percentage of shares of each class of its capital stock or similar equity interests outstanding owned by the Borrower and each other subsidiary.</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outstanding shares of capital stock or similar equity interests of each subsidiary shown in </w:t>
      </w:r>
      <w:r>
        <w:rPr>
          <w:rFonts w:ascii="Times New Roman" w:cs="Times New Roman" w:eastAsia="Times New Roman" w:hAnsi="Times New Roman"/>
          <w:sz w:val="22"/>
          <w:szCs w:val="22"/>
          <w:u w:val="single" w:color="auto"/>
          <w:color w:val="auto"/>
        </w:rPr>
        <w:t>Schedule 5.5</w:t>
      </w:r>
      <w:r>
        <w:rPr>
          <w:rFonts w:ascii="Times New Roman" w:cs="Times New Roman" w:eastAsia="Times New Roman" w:hAnsi="Times New Roman"/>
          <w:sz w:val="22"/>
          <w:szCs w:val="22"/>
          <w:color w:val="auto"/>
        </w:rPr>
        <w:t xml:space="preserve"> as being owned by the Borrower or a subsidiary as of the Closing Date will have been validly issued, fully paid and non-assessable and owned by the Borrower or another subsidiary free and clear of any Lien that is prohibited by this Agreement or the Common Terms Agreement as of the Closing Date.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Authorization of Agreement</w:t>
      </w:r>
    </w:p>
    <w:p>
      <w:pPr>
        <w:spacing w:after="0" w:line="22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This Agreement has been duly authorized, executed and delivered by the Borrower in accordance with its terms, and constitutes a valid and legally binding obligation of the Borrower, enforceable in accordance with its terms, subject to bankruptcy, insolvency, fraudulent transfer, reorganization, moratorium and similar laws of general applicability relating to or affecting creditors’ rights and to general equity principles.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Absence of Further Requirements</w:t>
      </w:r>
    </w:p>
    <w:p>
      <w:pPr>
        <w:spacing w:after="0" w:line="23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 xml:space="preserve">No consent, approval, authorization, or order of, or filing or registration with, any </w:t>
      </w:r>
      <w:r>
        <w:rPr>
          <w:rFonts w:ascii="Times New Roman" w:cs="Times New Roman" w:eastAsia="Times New Roman" w:hAnsi="Times New Roman"/>
          <w:sz w:val="22"/>
          <w:szCs w:val="22"/>
          <w:color w:val="auto"/>
          <w:strike w:val="1"/>
        </w:rPr>
        <w:t>person</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(including any governmental agency or body or any court) is required for the Borrower’s execution, delivery and performance of this Agreement or the consummation of the transactions contemplated by this Agreement, except those that, if not obtained or made, would not, individually or in the aggregate, have a Material Adverse Effect.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Title to Property</w:t>
      </w:r>
    </w:p>
    <w:p>
      <w:pPr>
        <w:spacing w:after="0" w:line="224" w:lineRule="exact"/>
        <w:rPr>
          <w:sz w:val="20"/>
          <w:szCs w:val="20"/>
          <w:color w:val="auto"/>
        </w:rPr>
      </w:pPr>
    </w:p>
    <w:p>
      <w:pPr>
        <w:jc w:val="both"/>
        <w:ind w:left="1300" w:hanging="644"/>
        <w:spacing w:after="0" w:line="263" w:lineRule="auto"/>
        <w:tabs>
          <w:tab w:leader="none" w:pos="1297"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to the knowledge of the Borrower, its subsidiaries have good and indefeasible title to all real property and good title to all personal property described in the Disclosure Documents as owned by the Borrower and its subsidiaries, free and clear of all </w:t>
      </w:r>
      <w:r>
        <w:rPr>
          <w:rFonts w:ascii="Times New Roman" w:cs="Times New Roman" w:eastAsia="Times New Roman" w:hAnsi="Times New Roman"/>
          <w:sz w:val="21"/>
          <w:szCs w:val="21"/>
          <w:color w:val="auto"/>
          <w:strike w:val="1"/>
        </w:rPr>
        <w:t>liens, charges, encumbrances and defects</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xml:space="preserve"> except (i) Permitted Liens,</w:t>
      </w:r>
    </w:p>
    <w:p>
      <w:pPr>
        <w:spacing w:after="0" w:line="1" w:lineRule="exact"/>
        <w:rPr>
          <w:rFonts w:ascii="Times New Roman" w:cs="Times New Roman" w:eastAsia="Times New Roman" w:hAnsi="Times New Roman"/>
          <w:sz w:val="21"/>
          <w:szCs w:val="21"/>
          <w:color w:val="auto"/>
        </w:rPr>
      </w:pPr>
    </w:p>
    <w:p>
      <w:pPr>
        <w:ind w:left="1300" w:firstLine="4"/>
        <w:spacing w:after="0" w:line="259" w:lineRule="auto"/>
        <w:tabs>
          <w:tab w:leader="none" w:pos="163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and subject to limitations contained, in the Disclosure Documents, or (iii) as do not materially interfere with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9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such properties taken as a whole as they have been used in the past and are proposed to be used in the future as described in the Disclosure Documents.</w:t>
      </w:r>
    </w:p>
    <w:p>
      <w:pPr>
        <w:spacing w:after="0" w:line="158" w:lineRule="exact"/>
        <w:rPr>
          <w:sz w:val="20"/>
          <w:szCs w:val="20"/>
          <w:color w:val="auto"/>
        </w:rPr>
      </w:pPr>
    </w:p>
    <w:p>
      <w:pPr>
        <w:jc w:val="both"/>
        <w:ind w:left="1300" w:hanging="644"/>
        <w:spacing w:after="0" w:line="250" w:lineRule="auto"/>
        <w:tabs>
          <w:tab w:leader="none" w:pos="129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real property and buildings held under lease or sublease by the Borrower and, to the knowledge of the Borrower, its subsidiaries, are held under valid and subsisting and enforceable leases or subleases, as applicable, free from </w:t>
      </w:r>
      <w:r>
        <w:rPr>
          <w:rFonts w:ascii="Times New Roman" w:cs="Times New Roman" w:eastAsia="Times New Roman" w:hAnsi="Times New Roman"/>
          <w:sz w:val="22"/>
          <w:szCs w:val="22"/>
          <w:color w:val="auto"/>
          <w:strike w:val="1"/>
        </w:rPr>
        <w:t>liens, charges, encumbrances and defects</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except (i) Permitted Liens, (ii) as do not materially interfere with the use of the properties of the Borrower and its subsidiaries as they have been used in the past and otherwise as described in the Disclosure Documents, and (iii) as are proposed to be used in the future as described in the Disclosure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such leases or subleases, as applicable, the enforceability thereof may be limited by bankruptcy, insolvency, fraudulent transfer, reorganization, moratorium and similar laws relating to or affecting creditors’ rights and remedies and by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-368935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color w:val="auto"/>
        </w:rPr>
        <w:t>Absence of Defaults and Conflicts Resulting from Transaction</w:t>
      </w:r>
    </w:p>
    <w:p>
      <w:pPr>
        <w:spacing w:after="0" w:line="22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 xml:space="preserve">The execution, delivery and performance of this Agreement will not result in a breach or violation of any of the terms and provisions of, or constitute a default or a Debt Repayment Triggering Event under, or result in the imposition of any </w:t>
      </w:r>
      <w:r>
        <w:rPr>
          <w:rFonts w:ascii="Times New Roman" w:cs="Times New Roman" w:eastAsia="Times New Roman" w:hAnsi="Times New Roman"/>
          <w:sz w:val="22"/>
          <w:szCs w:val="22"/>
          <w:color w:val="auto"/>
          <w:strike w:val="1"/>
        </w:rPr>
        <w:t>lien,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charge or encumbrance</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upon any property or assets of the Borrower or its subsidiaries pursuant to (a) the certificate of formation or limited liability company agreement of the Borrower or its subsidiaries, (b) any statute, any rule, regulation or order of any governmental agency or body or any court, domestic or foreign, having jurisdiction over the Borrower or its subsidiaries or any of their properties, or (c) any agreement or instrument to which the Borrower or its subsidiaries is a party or by which the Borrower or its subsidiaries is bound or to which any of the properties of the Borrower or its subsidiaries is subject, except, in the case of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(c), for any breaches, violations, defaults, liens, charges or encumbrances that, individually or in the aggregate, would not result in a Material Adverse Effect. As of the date hereof, no Debt Repayment Triggering Event exists.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color w:val="auto"/>
        </w:rPr>
        <w:t>Absence of Existing Defaults and Conflicts</w:t>
      </w:r>
    </w:p>
    <w:p>
      <w:pPr>
        <w:spacing w:after="0" w:line="224" w:lineRule="exact"/>
        <w:rPr>
          <w:sz w:val="20"/>
          <w:szCs w:val="20"/>
          <w:color w:val="auto"/>
        </w:rPr>
      </w:pPr>
    </w:p>
    <w:p>
      <w:pPr>
        <w:ind w:left="1300" w:hanging="644"/>
        <w:spacing w:after="0" w:line="271" w:lineRule="auto"/>
        <w:tabs>
          <w:tab w:leader="none" w:pos="129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to the knowledge of the Borrower, its subsidiaries is in violation of its respective certificate of formation or limited liability company agreement.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to the knowledge of the Borrower, its subsidiaries is in default (or with the giving of notice or lapse of time would be in default) under any existing obligation, agreement, covenant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or condition contained in any indenture, loan agreement, mortgage, lease or other agreement or instrument to which any of them is a party or by which any of them is bound or to which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9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the properties of any of them is subject or in violation of any law or statute or any judgment, order, rule or regulation of any court, arbitrator or governmental or regulatory authority having jurisdiction over the Borrower, or any of its properties or, to the knowledge of the Borrower, its subsidiaries and their properties, except such defaults or violations that would not, individually or in the aggregate, result in a Material Adverse Effect.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Possession of Licenses and Permits</w:t>
      </w:r>
    </w:p>
    <w:p>
      <w:pPr>
        <w:spacing w:after="0" w:line="224" w:lineRule="exact"/>
        <w:rPr>
          <w:sz w:val="20"/>
          <w:szCs w:val="20"/>
          <w:color w:val="auto"/>
        </w:rPr>
      </w:pPr>
    </w:p>
    <w:p>
      <w:pPr>
        <w:jc w:val="both"/>
        <w:ind w:left="1300" w:hanging="644"/>
        <w:spacing w:after="0" w:line="253" w:lineRule="auto"/>
        <w:tabs>
          <w:tab w:leader="none" w:pos="129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the Borrower and, to the knowledge of the Borrower, its subsidiaries possess, and are in compliance with the terms of, all certificates, authorizations, franchises, licenses and permits issued by the appropriate governmental agencies or bodies (collectively, “</w:t>
      </w: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necessary or material to the Project at its current stage of development, except where the failure to so possess or comply would not, individually or in the aggregate, result in a Material Adverse Effect.</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the Borrower and, to the knowledge of the Borrower, its subsidiaries have not received any notice of proceedings relating to the revocation or modification of any Licenses that, if determined adversely to the Borrower or its subsidiaries, would individually or in the aggregate have a Material Adverse Effect.</w:t>
      </w:r>
    </w:p>
    <w:p>
      <w:pPr>
        <w:spacing w:after="0" w:line="192"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Licenses possessed by the Borrower and its subsidiaries are valid and in full force and effect, except where the invalidity of such Licenses or the failure of such Licenses to be in full force and effect would not, individually or in the aggregate, result in a Material Adverse Effect.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Absence of Labor Dispute</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No material labor dispute involving or affecting the Borrower or, to the knowledge of the Borrower, any of its subsidiaries exists or, to the knowledge of the Borrower, is imminent, which could reasonably be expected to have a Material Adverse Effect.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color w:val="auto"/>
        </w:rPr>
        <w:t>Possession of Intellectual Property</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Except as would not have a Material Adverse Effect, the Borrower owns or possesses, or can acquire on reasonable terms, adequate trademarks, trade names and other rights to inventions, know how, patents, copyrights, confidential information and other intellectual property (collectively, “</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necessary to conduct the business now operated or proposed in the Disclosure Documents to be conducted by them, and have not received any notice of nor are they aware of any infringement of or conflict with asserted rights of others with respect to any Intellectual Property Rights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9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determined adversely to the Borrower or its subsidiaries, would individually or in the aggregate have a Material Adverse Effect.</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color w:val="auto"/>
        </w:rPr>
        <w:t>Environmental Laws</w:t>
      </w:r>
    </w:p>
    <w:p>
      <w:pPr>
        <w:spacing w:after="0" w:line="224" w:lineRule="exact"/>
        <w:rPr>
          <w:sz w:val="20"/>
          <w:szCs w:val="20"/>
          <w:color w:val="auto"/>
        </w:rPr>
      </w:pPr>
    </w:p>
    <w:p>
      <w:pPr>
        <w:jc w:val="both"/>
        <w:ind w:left="1300" w:hanging="644"/>
        <w:spacing w:after="0" w:line="247" w:lineRule="auto"/>
        <w:tabs>
          <w:tab w:leader="none" w:pos="129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or as would not individually or in the aggregate have a Material Adverse Effect, (i) neither the Borrower nor, to the knowledge of the Borrower, its subsidiaries is in violation of, or has any liability under, any federal, state or local, law, rule, regulation, ordinance, code, other requirement or rule of law (including common law), or decision or order of any governmental agency, governmental body or court, relating to pollution, to the use, handling, transportation, treatment, storage, discharge, disposal or Release of Hazardous Substances, to the protection or restoration of the environment or natural resources (including biota), to health and safety including as such relates to exposure to Hazardous Substances, and to natural resource damages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(ii) neither the Borrower nor, to the knowledge of the Borrower, its subsidiaries is liable or allegedly liable for any Release or threatened Release of Hazardous Substances, including at any off-site treatment, storage or disposal site, (iii) neither the Borrower nor, to the knowledge of the Borrower, its subsidiaries is subject to any claim by any governmental agency or governmental body or person relating to Environmental Laws or Hazardous Substances, (iv) the Borrower and, to the knowledge of the Borrower, its subsidiaries have received and are in compliance with all, and have no liability under any, permits, licenses, authorizations, identification numbers or other approvals required under applicable Environmental Laws to conduct their respective businesses as currently conducted, and (v) to the knowledge of the Borrower, there are no facts or circumstances that would reasonably be expected to result in a violation of, liability under, or claim pursuant to any Environmental Law.</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means (i) any “hazardous substance” as defined in the Comprehensive Environmental Response, Compensation and Liability Act of 1980, as amended, (ii) any “hazardous waste” as defined in the Resource Conservation and Recovery Act, as amended, (iii) any petroleum or petroleum product, (iv) any polychlorinated biphenyl and (v) any pollutant or contaminant or hazardous, dangerous or toxic chemical, material, waste or substance regulated under or within the meaning of any applicable Environmental Law or which can give rise to liability under any Environmental Law. The term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means any release, spill, emission, discharge, deposit, disposal, leaking, pumping, pouring, dumping, emptying, injection or leaching into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color w:val="auto"/>
        </w:rPr>
        <w:t>Statistical and Market-Related Data</w:t>
      </w:r>
    </w:p>
    <w:p>
      <w:pPr>
        <w:spacing w:after="0" w:line="224"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The third-party statistical and market-related data included in the Disclosure Documents are based on or derived from sources that the Borrower believes to be reliable and accurate in all material respects.</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color w:val="auto"/>
        </w:rPr>
        <w:t>Litigation</w:t>
      </w:r>
    </w:p>
    <w:p>
      <w:pPr>
        <w:spacing w:after="0" w:line="22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 xml:space="preserve">Except as described in the Disclosure Documents or on </w:t>
      </w:r>
      <w:r>
        <w:rPr>
          <w:rFonts w:ascii="Times New Roman" w:cs="Times New Roman" w:eastAsia="Times New Roman" w:hAnsi="Times New Roman"/>
          <w:sz w:val="21"/>
          <w:szCs w:val="21"/>
          <w:u w:val="single" w:color="auto"/>
          <w:color w:val="auto"/>
        </w:rPr>
        <w:t>Schedule 5.16</w:t>
      </w:r>
      <w:r>
        <w:rPr>
          <w:rFonts w:ascii="Times New Roman" w:cs="Times New Roman" w:eastAsia="Times New Roman" w:hAnsi="Times New Roman"/>
          <w:sz w:val="21"/>
          <w:szCs w:val="21"/>
          <w:color w:val="auto"/>
        </w:rPr>
        <w:t xml:space="preserve">, there is no (a) action, suit or proceeding before or by any court, arbitrator or governmental agency, body or official, domestic or foreign, now pending or, to the knowledge of the Borrower, threatened, to which it is or may be a party or to which its or, to the knowledge of the Borrower, its subsidiaries’ business or property is or may be subject, (b) statute, rule, regulation or order that has been enacted, adopted or issued by any governmental agency with respect to the Borrower or, to the knowledge of the Borrower, its subsidiaries, or (c) injunction, restraining order or order of any nature issued by a federal or state court or foreign court of competent jurisdiction, to which the Borrower or, to the knowledge of the Borrower, its subsidiaries is or may be subject, that, in the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(i) would, individually or in the aggregate have a Material Adverse Effect or</w:t>
      </w:r>
    </w:p>
    <w:p>
      <w:pPr>
        <w:spacing w:after="0" w:line="2" w:lineRule="exact"/>
        <w:rPr>
          <w:sz w:val="20"/>
          <w:szCs w:val="20"/>
          <w:color w:val="auto"/>
        </w:rPr>
      </w:pPr>
    </w:p>
    <w:p>
      <w:pPr>
        <w:ind w:left="640" w:firstLine="6"/>
        <w:spacing w:after="0" w:line="248" w:lineRule="auto"/>
        <w:tabs>
          <w:tab w:leader="none" w:pos="101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validity of this Agreement, the Common Terms Agreement or the Collateral and Intercreditor Agreement.</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color w:val="auto"/>
        </w:rPr>
        <w:t>Financial Statements; Material Liabilities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 xml:space="preserve">The financial statements included in the Disclosure Documents (and set forth on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present fairly in all material respects the financial position of the Borrower as of the dates thereof and its results of operations and cash flows for the periods shown, and such financial statements have been prepared in conformity with the generally accepted accounting principles in the United States applied on a consistent basis (subject to normal year-end adjustments and footnote disclosure in the case of interim financial statements). The Borrower and its subsidiaries do not have any material liabilities that are not disclosed in the Disclosure Documents.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5.18.</w:t>
      </w:r>
      <w:r>
        <w:rPr>
          <w:sz w:val="20"/>
          <w:szCs w:val="20"/>
          <w:color w:val="auto"/>
        </w:rPr>
        <w:tab/>
      </w:r>
      <w:r>
        <w:rPr>
          <w:rFonts w:ascii="Times New Roman" w:cs="Times New Roman" w:eastAsia="Times New Roman" w:hAnsi="Times New Roman"/>
          <w:sz w:val="21"/>
          <w:szCs w:val="21"/>
          <w:b w:val="1"/>
          <w:bCs w:val="1"/>
          <w:color w:val="auto"/>
        </w:rPr>
        <w:t>No Material Adverse Change in Business</w:t>
      </w:r>
    </w:p>
    <w:p>
      <w:pPr>
        <w:spacing w:after="0" w:line="22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Except as disclosed in the Disclosure Documents, since the end of the period covered by the latest audited financial statements included in the Disclosure Documents: (a) there has been no change in the membership interest or units of the Borrower or any material adverse change, or any development involving a prospective material adverse change, in or affecting the financial condition, business, properties or results of operations of the Borrower and its subsidiaries, taken as a whole, that is material and adverse</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(b) there has been no dividend or distribution of any kind declared, paid or made by the Borrower on any class of its limited liability company interests</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(c) there has been no change in the limited liability company interests, short-term indebtedness, long-term indebtedness,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8"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current assets or net assets of the Borrower and its subsidiaries, that is material and adverse</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(d) neither the Borrower nor any of its subsidiaries has sustained any loss or interference with its business from fire, explosion, flood or other calamity, whether or not covered by insurance, that is material and adverse.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5.19.</w:t>
      </w:r>
      <w:r>
        <w:rPr>
          <w:sz w:val="20"/>
          <w:szCs w:val="20"/>
          <w:color w:val="auto"/>
        </w:rPr>
        <w:tab/>
      </w:r>
      <w:r>
        <w:rPr>
          <w:rFonts w:ascii="Times New Roman" w:cs="Times New Roman" w:eastAsia="Times New Roman" w:hAnsi="Times New Roman"/>
          <w:sz w:val="21"/>
          <w:szCs w:val="21"/>
          <w:b w:val="1"/>
          <w:bCs w:val="1"/>
          <w:color w:val="auto"/>
        </w:rPr>
        <w:t>Investment Company Act</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Borrower is not and, after the borrowing of the Senior Loans and the application of the proceeds thereof as described in the Disclosure Documents, will not be an “investment company” as defined in the United States Investment Company Act of 1940, as amended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5.20.</w:t>
      </w:r>
      <w:r>
        <w:rPr>
          <w:sz w:val="20"/>
          <w:szCs w:val="20"/>
          <w:color w:val="auto"/>
        </w:rPr>
        <w:tab/>
      </w:r>
      <w:r>
        <w:rPr>
          <w:rFonts w:ascii="Times New Roman" w:cs="Times New Roman" w:eastAsia="Times New Roman" w:hAnsi="Times New Roman"/>
          <w:sz w:val="21"/>
          <w:szCs w:val="21"/>
          <w:b w:val="1"/>
          <w:bCs w:val="1"/>
          <w:color w:val="auto"/>
        </w:rPr>
        <w:t>Regulations T, U, X</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Neither the borrowing of the Senior Loans, nor the application of the proceeds thereof by the Borrower as described in the Disclosure Documents, will violate Regulation T, Regulation U</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or Regulation X of the Board of Governors of the Federal Reserve System.</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5.21.</w:t>
      </w:r>
      <w:r>
        <w:rPr>
          <w:sz w:val="20"/>
          <w:szCs w:val="20"/>
          <w:color w:val="auto"/>
        </w:rPr>
        <w:tab/>
      </w:r>
      <w:r>
        <w:rPr>
          <w:rFonts w:ascii="Times New Roman" w:cs="Times New Roman" w:eastAsia="Times New Roman" w:hAnsi="Times New Roman"/>
          <w:sz w:val="21"/>
          <w:szCs w:val="21"/>
          <w:b w:val="1"/>
          <w:bCs w:val="1"/>
          <w:color w:val="auto"/>
        </w:rPr>
        <w:t>Anti-Corruption Laws, Anti-Terrorism and Money Laundering Laws</w:t>
      </w:r>
    </w:p>
    <w:p>
      <w:pPr>
        <w:spacing w:after="0" w:line="224" w:lineRule="exact"/>
        <w:rPr>
          <w:sz w:val="20"/>
          <w:szCs w:val="20"/>
          <w:color w:val="auto"/>
        </w:rPr>
      </w:pPr>
    </w:p>
    <w:p>
      <w:pPr>
        <w:jc w:val="both"/>
        <w:ind w:left="1300" w:hanging="644"/>
        <w:spacing w:after="0" w:line="268" w:lineRule="auto"/>
        <w:tabs>
          <w:tab w:leader="none" w:pos="1297"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 any of its subsidiaries, or, to the Borrower’s Knowledge, any director, officer or employee of the Borrower or any subsidiary (i) is in violation of any Anti-Terrorism and Money Laundering Laws, (ii) is in violation of any Anti-Corruption Laws, or (iii) to the Borrower’s Knowledge, has taken any action directly or indirectly that the Borrower reasonably believes gives rise to circumstances presently in existence that could constitute a violation of any Anti-Corruption Laws or Anti-Terrorism and Money Laundering Laws.</w:t>
      </w:r>
    </w:p>
    <w:p>
      <w:pPr>
        <w:spacing w:after="0" w:line="163" w:lineRule="exact"/>
        <w:rPr>
          <w:rFonts w:ascii="Times New Roman" w:cs="Times New Roman" w:eastAsia="Times New Roman" w:hAnsi="Times New Roman"/>
          <w:sz w:val="21"/>
          <w:szCs w:val="21"/>
          <w:color w:val="auto"/>
        </w:rPr>
      </w:pPr>
    </w:p>
    <w:p>
      <w:pPr>
        <w:jc w:val="both"/>
        <w:ind w:left="1300" w:hanging="644"/>
        <w:spacing w:after="0" w:line="256" w:lineRule="auto"/>
        <w:tabs>
          <w:tab w:leader="none" w:pos="129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instituted and maintains policies and procedures, including appropriate controls, reasonably designed to promote compliance by the Borrower and its subsidiaries, and its and their directors, officers, employees, and authorized agents with Anti-Corruption Laws and Anti-Terrorism and Money Laundering Laws (to the extent applicable).</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Senior Loans will not be used by the Borrower and any of its subsidiaries, directly or knowingly indirectly, in violation of any Anti-Corruption Laws or Anti-Terrorism and Money Laundering Laws (to the extent applicable), including through the making of any bribe or unlawful payment.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5.22.</w:t>
      </w:r>
      <w:r>
        <w:rPr>
          <w:sz w:val="20"/>
          <w:szCs w:val="20"/>
          <w:color w:val="auto"/>
        </w:rPr>
        <w:tab/>
      </w:r>
      <w:r>
        <w:rPr>
          <w:rFonts w:ascii="Times New Roman" w:cs="Times New Roman" w:eastAsia="Times New Roman" w:hAnsi="Times New Roman"/>
          <w:sz w:val="21"/>
          <w:szCs w:val="21"/>
          <w:b w:val="1"/>
          <w:bCs w:val="1"/>
          <w:color w:val="auto"/>
        </w:rPr>
        <w:t>Sanctions</w:t>
      </w:r>
    </w:p>
    <w:p>
      <w:pPr>
        <w:spacing w:after="0" w:line="237" w:lineRule="exact"/>
        <w:rPr>
          <w:sz w:val="20"/>
          <w:szCs w:val="20"/>
          <w:color w:val="auto"/>
        </w:rPr>
      </w:pPr>
    </w:p>
    <w:p>
      <w:pPr>
        <w:ind w:left="1300" w:right="20" w:hanging="644"/>
        <w:spacing w:after="0" w:line="271" w:lineRule="auto"/>
        <w:tabs>
          <w:tab w:leader="none" w:pos="129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borrowing of the Senior Loans nor the use of proceeds of the Senior Loans by the Borrower or any subsidiary will violate or cause any violation by any Person of applicable Sanctions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98" w:lineRule="exact"/>
        <w:rPr>
          <w:sz w:val="20"/>
          <w:szCs w:val="20"/>
          <w:color w:val="auto"/>
        </w:rPr>
      </w:pPr>
    </w:p>
    <w:p>
      <w:pPr>
        <w:ind w:left="1300" w:hanging="644"/>
        <w:spacing w:after="0" w:line="271" w:lineRule="auto"/>
        <w:tabs>
          <w:tab w:leader="none" w:pos="129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nor, to the knowledge of the Borrower, any subsidiary, nor any director, officer, or employee of any of the foregoing, is a Restricted Person.</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instituted and maintains policies and procedures, including appropriate controls, reasonably designed to promote compliance by the Borrower and its subsidiaries, and its and their directors, officers, employees, and authorized agents with Sanctions Regulations.</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24" w:lineRule="exact"/>
        <w:rPr>
          <w:sz w:val="20"/>
          <w:szCs w:val="20"/>
          <w:color w:val="auto"/>
        </w:rPr>
      </w:pPr>
    </w:p>
    <w:p>
      <w:pPr>
        <w:ind w:left="1300" w:hanging="644"/>
        <w:spacing w:after="0" w:line="271" w:lineRule="auto"/>
        <w:tabs>
          <w:tab w:leader="none" w:pos="129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or, to the knowledge of the Borrower, any of its subsidiaries is classified as an association (or publicly traded partnership) taxable as a corporation for U.S. federal income tax purposes.</w:t>
      </w:r>
    </w:p>
    <w:p>
      <w:pPr>
        <w:spacing w:after="0" w:line="171"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Borrower or a subsidiary, as the case may be, has established adequate reserves in accordance with GAAP.</w:t>
      </w:r>
    </w:p>
    <w:p>
      <w:pPr>
        <w:spacing w:after="0" w:line="172" w:lineRule="exact"/>
        <w:rPr>
          <w:rFonts w:ascii="Times New Roman" w:cs="Times New Roman" w:eastAsia="Times New Roman" w:hAnsi="Times New Roman"/>
          <w:sz w:val="21"/>
          <w:szCs w:val="21"/>
          <w:color w:val="auto"/>
        </w:rPr>
      </w:pPr>
    </w:p>
    <w:p>
      <w:pPr>
        <w:ind w:left="1300" w:right="20" w:hanging="644"/>
        <w:spacing w:after="0" w:line="271" w:lineRule="auto"/>
        <w:tabs>
          <w:tab w:leader="none" w:pos="129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knows of no basis for any other tax or assessment that could, individually or in the aggregate, reasonably be expected to have a Material Adverse Effect.</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5.24.</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22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2"/>
          <w:szCs w:val="22"/>
          <w:color w:val="auto"/>
        </w:rPr>
        <w:t>All insurance required to be obtained on the date hereof by the insurance requirements set forth in Exhibit E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to the CFAA has been obtained and is in full force and effect; the Borrower and its subsidiaries are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the terms of such policies and instruments in all material respects; and all premiums due and payable on the date hereof on all such insurance have been paid.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b w:val="1"/>
          <w:bCs w:val="1"/>
          <w:color w:val="auto"/>
        </w:rPr>
        <w:t>ERISA</w:t>
      </w:r>
    </w:p>
    <w:p>
      <w:pPr>
        <w:spacing w:after="0" w:line="22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The Borrower does not maintain, contribute to or have an obligation to maintain or contribute to, and has not, at any time within the past six years, maintained, contributed to or been obligated to maintain or contribute to, or have any liability in respect of, any employee benefit plan which is subject to Title I or Title IV of ERISA or section 4975 of the Code (a “</w:t>
      </w:r>
      <w:r>
        <w:rPr>
          <w:rFonts w:ascii="Times New Roman" w:cs="Times New Roman" w:eastAsia="Times New Roman" w:hAnsi="Times New Roman"/>
          <w:sz w:val="22"/>
          <w:szCs w:val="22"/>
          <w:b w:val="1"/>
          <w:bCs w:val="1"/>
          <w:color w:val="auto"/>
        </w:rPr>
        <w:t>U.S. Plan</w:t>
      </w:r>
      <w:r>
        <w:rPr>
          <w:rFonts w:ascii="Times New Roman" w:cs="Times New Roman" w:eastAsia="Times New Roman" w:hAnsi="Times New Roman"/>
          <w:sz w:val="22"/>
          <w:szCs w:val="22"/>
          <w:color w:val="auto"/>
        </w:rPr>
        <w:t>”), including any liability of any U.S. Plan of any ERISA Affiliate, other than joint and several contingent liability of an ERISA Affiliate that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98"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and is not reasonably expected to be imposed on the Borrower. The Borrower has never been at any time within the past six years, a “party in interest” (as defined in section 3(14) of ERISA) or a “disqualified person” (as defined in section 4975 of the Code) with respect to any U.S. Plan.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5.26.</w:t>
      </w:r>
      <w:r>
        <w:rPr>
          <w:sz w:val="20"/>
          <w:szCs w:val="20"/>
          <w:color w:val="auto"/>
        </w:rPr>
        <w:tab/>
      </w:r>
      <w:r>
        <w:rPr>
          <w:rFonts w:ascii="Times New Roman" w:cs="Times New Roman" w:eastAsia="Times New Roman" w:hAnsi="Times New Roman"/>
          <w:sz w:val="21"/>
          <w:szCs w:val="21"/>
          <w:b w:val="1"/>
          <w:bCs w:val="1"/>
          <w:color w:val="auto"/>
        </w:rPr>
        <w:t>Material Project Documents</w:t>
      </w:r>
    </w:p>
    <w:p>
      <w:pPr>
        <w:spacing w:after="0" w:line="224" w:lineRule="exact"/>
        <w:rPr>
          <w:sz w:val="20"/>
          <w:szCs w:val="20"/>
          <w:color w:val="auto"/>
        </w:rPr>
      </w:pPr>
    </w:p>
    <w:p>
      <w:pPr>
        <w:jc w:val="both"/>
        <w:ind w:left="1300" w:hanging="644"/>
        <w:spacing w:after="0" w:line="251" w:lineRule="auto"/>
        <w:tabs>
          <w:tab w:leader="none" w:pos="129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EPC Contracts, the Initial Offtake Agreements, and each RG Facility Agreement are each in full force and effect (assuming due execution, authorization, and delivery by the parties thereto other than the Borrower), subject to any conditions subsequent contained therein and each constitutes a valid and binding obligation of the Borrower and, to the Borrower’s knowledge, each other party thereto. As of the date hereof, all conditions precedent to the obligations of the parties under the P1 EPC Contracts, the Initial Offtake Agreements, and each RG Facility Agreement that are required for the current stage of Development have been satisfied or waived.</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Disclosure Documents, the Borrower is not in default of any of the P1 EPC Contracts, the Initial Offtake Agreements, or any RG Facility Agreement, and, to the Borrower’s knowledge, no default by any other party thereto exists under any provision of any of the P1 EPC Contracts, the Initial Offtake Agreements, or any RG Facility Agreement.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5.27.</w:t>
      </w:r>
      <w:r>
        <w:rPr>
          <w:sz w:val="20"/>
          <w:szCs w:val="20"/>
          <w:color w:val="auto"/>
        </w:rPr>
        <w:tab/>
      </w:r>
      <w:r>
        <w:rPr>
          <w:rFonts w:ascii="Times New Roman" w:cs="Times New Roman" w:eastAsia="Times New Roman" w:hAnsi="Times New Roman"/>
          <w:sz w:val="21"/>
          <w:szCs w:val="21"/>
          <w:b w:val="1"/>
          <w:bCs w:val="1"/>
          <w:color w:val="auto"/>
        </w:rPr>
        <w:t>Solvency</w:t>
      </w:r>
    </w:p>
    <w:p>
      <w:pPr>
        <w:spacing w:after="0" w:line="224" w:lineRule="exact"/>
        <w:rPr>
          <w:sz w:val="20"/>
          <w:szCs w:val="20"/>
          <w:color w:val="auto"/>
        </w:rPr>
      </w:pPr>
    </w:p>
    <w:p>
      <w:pPr>
        <w:ind w:left="1300" w:hanging="644"/>
        <w:spacing w:after="0" w:line="284" w:lineRule="auto"/>
        <w:tabs>
          <w:tab w:leader="none" w:pos="129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after giving pro forma effect to the borrowing of the Senior Loans and the use of proceeds therefrom as indicated in the Disclosure Documents, the Borrower will be Solvent.</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5.27</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 particular date, that on such date (i) the present fair market value (or present fair saleable value) of the assets of the Borrower is not less than the total amount required to pay the liabilities of the Borrower on its total existing debt and other liabilities (including contingent liabilities) as they become absolute and matured; (ii) the Borrower is able to pay its debts and other liabilities, contingent obligations and commitments as they mature and become due in the normal course of business; (iii) assuming consummation of the borrowing of the Senior Loans as contemplated by this Agreement and the Disclosure Documents, the Borrower does not intend to, and does not believe that it will, incur debts or other liabilities beyond its ability to pay as such debts and other liabilities mature; and (iv) the Borrower is not engaged in any business or transaction, and is not about to engage in any business or transaction, for which its assets would constitute unreasonably small capital after giving due consideration to the prevailing practice in the industry in which the Borrower is engaged.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5.28.</w:t>
      </w:r>
      <w:r>
        <w:rPr>
          <w:sz w:val="20"/>
          <w:szCs w:val="20"/>
          <w:color w:val="auto"/>
        </w:rPr>
        <w:tab/>
      </w:r>
      <w:r>
        <w:rPr>
          <w:rFonts w:ascii="Times New Roman" w:cs="Times New Roman" w:eastAsia="Times New Roman" w:hAnsi="Times New Roman"/>
          <w:sz w:val="21"/>
          <w:szCs w:val="21"/>
          <w:b w:val="1"/>
          <w:bCs w:val="1"/>
          <w:color w:val="auto"/>
        </w:rPr>
        <w:t>Senior Security Documents</w:t>
      </w:r>
    </w:p>
    <w:p>
      <w:pPr>
        <w:spacing w:after="0" w:line="224" w:lineRule="exact"/>
        <w:rPr>
          <w:sz w:val="20"/>
          <w:szCs w:val="20"/>
          <w:color w:val="auto"/>
        </w:rPr>
      </w:pPr>
    </w:p>
    <w:p>
      <w:pPr>
        <w:jc w:val="both"/>
        <w:ind w:left="1300" w:hanging="644"/>
        <w:spacing w:after="0" w:line="256" w:lineRule="auto"/>
        <w:tabs>
          <w:tab w:leader="none" w:pos="129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P1 Security Agreement and the P1 Accounts Agreement are effective to create, in favor of the P1 Collateral Agent for the benefit of the Senior Secured Parties, as collateral security for the payment and performance of the obligations secured thereby, a valid and enforceable security interest in the Collateral covered or purported to be covered thereby.</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recordation of the Common Deed of Trust, the CFCo Deed of Trust, and the P1 Deed of Trust and the prior filing of the UCC-1 financing statements in connection with the Senior Security Documents, with the priority created thereby are sufficient to perfect by such recordation or filing in each jurisdiction where required to perfect the lien and security interest in personal property and fixtures described therein, and it is not necessary to make any new filings or take any other action to perfect, or to maintain the perfection, of such liens and security interests.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5.29.</w:t>
      </w:r>
      <w:r>
        <w:rPr>
          <w:sz w:val="20"/>
          <w:szCs w:val="20"/>
          <w:color w:val="auto"/>
        </w:rPr>
        <w:tab/>
      </w:r>
      <w:r>
        <w:rPr>
          <w:rFonts w:ascii="Times New Roman" w:cs="Times New Roman" w:eastAsia="Times New Roman" w:hAnsi="Times New Roman"/>
          <w:sz w:val="21"/>
          <w:szCs w:val="21"/>
          <w:b w:val="1"/>
          <w:bCs w:val="1"/>
          <w:color w:val="auto"/>
        </w:rPr>
        <w:t>Secured Debt</w:t>
      </w:r>
    </w:p>
    <w:p>
      <w:pPr>
        <w:spacing w:after="0" w:line="220" w:lineRule="exact"/>
        <w:rPr>
          <w:sz w:val="20"/>
          <w:szCs w:val="20"/>
          <w:color w:val="auto"/>
        </w:rPr>
      </w:pPr>
    </w:p>
    <w:p>
      <w:pPr>
        <w:ind w:left="640" w:right="20"/>
        <w:spacing w:after="0" w:line="275" w:lineRule="auto"/>
        <w:rPr>
          <w:sz w:val="20"/>
          <w:szCs w:val="20"/>
          <w:color w:val="auto"/>
        </w:rPr>
      </w:pPr>
      <w:r>
        <w:rPr>
          <w:rFonts w:ascii="Times New Roman" w:cs="Times New Roman" w:eastAsia="Times New Roman" w:hAnsi="Times New Roman"/>
          <w:sz w:val="22"/>
          <w:szCs w:val="22"/>
          <w:color w:val="auto"/>
        </w:rPr>
        <w:t xml:space="preserve">The Senior Loans will constitute Senior Secured Debt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other Senior Secured Debt and will be secured by the Collateral equally and ratably with all other Senior Secured Debt.</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5.30.</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Indebtedness; </w:t>
      </w:r>
      <w:r>
        <w:rPr>
          <w:rFonts w:ascii="Times New Roman" w:cs="Times New Roman" w:eastAsia="Times New Roman" w:hAnsi="Times New Roman"/>
          <w:sz w:val="21"/>
          <w:szCs w:val="21"/>
          <w:b w:val="1"/>
          <w:bCs w:val="1"/>
          <w:color w:val="auto"/>
        </w:rPr>
        <w:t>Liens</w:t>
      </w:r>
    </w:p>
    <w:p>
      <w:pPr>
        <w:spacing w:after="0" w:line="224" w:lineRule="exact"/>
        <w:rPr>
          <w:sz w:val="20"/>
          <w:szCs w:val="20"/>
          <w:color w:val="auto"/>
        </w:rPr>
      </w:pPr>
    </w:p>
    <w:p>
      <w:pPr>
        <w:ind w:left="1300" w:hanging="644"/>
        <w:spacing w:after="0"/>
        <w:tabs>
          <w:tab w:leader="none" w:pos="13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Borrower has no Indebtedness other than Permitted Indebtedness.</w:t>
      </w:r>
    </w:p>
    <w:p>
      <w:pPr>
        <w:spacing w:after="0" w:line="233"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5"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(i) there is no Lien on any assets or property of the Borrower other than Permitted Liens and (ii) except for Permitted Liens, neither the Borrower nor any subsidiary has agreed or consented to cause or permit any of its property, whether now owned or hereafter acquired, to be subject to a Lien that secures Indebtedness or to cause or permit in the future (upon the happening of a contingency or otherwise) any of its property, whether now owned or hereafter acquired, to be subject to a Lien that secures Indebtedness.</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Senior Secured Debt Documents, any Material Project Documents, or as otherwise disclosed on </w:t>
      </w:r>
      <w:r>
        <w:rPr>
          <w:rFonts w:ascii="Times New Roman" w:cs="Times New Roman" w:eastAsia="Times New Roman" w:hAnsi="Times New Roman"/>
          <w:sz w:val="22"/>
          <w:szCs w:val="22"/>
          <w:u w:val="single" w:color="auto"/>
          <w:color w:val="auto"/>
        </w:rPr>
        <w:t>Schedule 5.30</w:t>
      </w:r>
      <w:r>
        <w:rPr>
          <w:rFonts w:ascii="Times New Roman" w:cs="Times New Roman" w:eastAsia="Times New Roman" w:hAnsi="Times New Roman"/>
          <w:sz w:val="22"/>
          <w:szCs w:val="22"/>
          <w:color w:val="auto"/>
        </w:rPr>
        <w:t>, neither the Borrower nor any of its subsidiaries is a party to, or otherwise subject to any provision contained in, its organizational documents, any instrument evidencing Indebtedness for borrowed money of the Borrower or such subsidiary, or any agreement related thereto that limits the amount of, or otherwise imposes restrictions on the incurring of, Indebtedness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5.31.</w:t>
      </w:r>
      <w:r>
        <w:rPr>
          <w:sz w:val="20"/>
          <w:szCs w:val="20"/>
          <w:color w:val="auto"/>
        </w:rPr>
        <w:tab/>
      </w:r>
      <w:r>
        <w:rPr>
          <w:rFonts w:ascii="Times New Roman" w:cs="Times New Roman" w:eastAsia="Times New Roman" w:hAnsi="Times New Roman"/>
          <w:sz w:val="21"/>
          <w:szCs w:val="21"/>
          <w:b w:val="1"/>
          <w:bCs w:val="1"/>
          <w:color w:val="auto"/>
        </w:rPr>
        <w:t>Financing Documents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of the Financing Documents is in full force and effect and constitutes a valid and binding obligation of the Borrower.</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5.32.</w:t>
      </w:r>
      <w:r>
        <w:rPr>
          <w:sz w:val="20"/>
          <w:szCs w:val="20"/>
          <w:color w:val="auto"/>
        </w:rPr>
        <w:tab/>
      </w:r>
      <w:r>
        <w:rPr>
          <w:rFonts w:ascii="Times New Roman" w:cs="Times New Roman" w:eastAsia="Times New Roman" w:hAnsi="Times New Roman"/>
          <w:sz w:val="21"/>
          <w:szCs w:val="21"/>
          <w:b w:val="1"/>
          <w:bCs w:val="1"/>
          <w:color w:val="auto"/>
        </w:rPr>
        <w:t>Accounting Controls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The Borrower and, to the knowledge of the Borrower, its subsidiaries maintain a system of accounting controls that is sufficient to provide reasonable assurances that: (a) transactions are executed in accordance with management’s general or specific authorization; (b) transactions are recorded as necessary to permit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5.33.</w:t>
      </w:r>
      <w:r>
        <w:rPr>
          <w:sz w:val="20"/>
          <w:szCs w:val="20"/>
          <w:color w:val="auto"/>
        </w:rPr>
        <w:tab/>
      </w:r>
      <w:r>
        <w:rPr>
          <w:rFonts w:ascii="Times New Roman" w:cs="Times New Roman" w:eastAsia="Times New Roman" w:hAnsi="Times New Roman"/>
          <w:sz w:val="21"/>
          <w:szCs w:val="21"/>
          <w:b w:val="1"/>
          <w:bCs w:val="1"/>
          <w:color w:val="auto"/>
        </w:rPr>
        <w:t>Accountants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Grant Thornton LLP, who has certified certain financial statements of the Borrower and delivered its report with respect to the audited consolidated financial statements and schedules included in the Disclosure Documents, is an independent public accounting firm with respect to the Borrower in accordance with U.S. generally accepted accounting principles.</w:t>
      </w:r>
    </w:p>
    <w:p>
      <w:pPr>
        <w:spacing w:after="0" w:line="136"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PRECEDENT</w:t>
      </w:r>
    </w:p>
    <w:p>
      <w:pPr>
        <w:spacing w:after="0" w:line="233"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Closing Date</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The occurrence of the Closing Date and the effectiveness of the Senior Loan Commitments is subject to the satisfaction of each of the following conditions precedent to the satisfaction of each of the Administrative Agent and the Senior Lenders, unless, in each case, waived by each of the Administrative Agent and the Senior Lenders.</w:t>
      </w:r>
    </w:p>
    <w:p>
      <w:pPr>
        <w:spacing w:after="0" w:line="159" w:lineRule="exact"/>
        <w:rPr>
          <w:sz w:val="20"/>
          <w:szCs w:val="20"/>
          <w:color w:val="auto"/>
        </w:rPr>
      </w:pPr>
    </w:p>
    <w:p>
      <w:pPr>
        <w:jc w:val="both"/>
        <w:ind w:left="1300" w:hanging="644"/>
        <w:spacing w:after="0" w:line="257" w:lineRule="auto"/>
        <w:tabs>
          <w:tab w:leader="none" w:pos="129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Financing Documents</w:t>
      </w:r>
      <w:r>
        <w:rPr>
          <w:rFonts w:ascii="Times New Roman" w:cs="Times New Roman" w:eastAsia="Times New Roman" w:hAnsi="Times New Roman"/>
          <w:sz w:val="22"/>
          <w:szCs w:val="22"/>
          <w:color w:val="auto"/>
        </w:rPr>
        <w:t>. The Administrative Agent shall have received true, correct and complete copies of the following documents, each of which shall have been duly authorized, executed and delivered by the parties thereto:</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Terms Agreement;</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Intercreditor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Security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Deed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8" w:lineRule="exact"/>
        <w:rPr>
          <w:sz w:val="20"/>
          <w:szCs w:val="20"/>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Pledge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Accounts Agreement;</w:t>
      </w:r>
    </w:p>
    <w:p>
      <w:pPr>
        <w:spacing w:after="0" w:line="219" w:lineRule="exact"/>
        <w:rPr>
          <w:rFonts w:ascii="Times New Roman" w:cs="Times New Roman" w:eastAsia="Times New Roman" w:hAnsi="Times New Roman"/>
          <w:sz w:val="22"/>
          <w:szCs w:val="22"/>
          <w:color w:val="auto"/>
        </w:rPr>
      </w:pPr>
    </w:p>
    <w:p>
      <w:pPr>
        <w:ind w:left="1960" w:hanging="656"/>
        <w:spacing w:after="0" w:line="284" w:lineRule="auto"/>
        <w:tabs>
          <w:tab w:leader="none" w:pos="19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Equity Contribution Agreement, and, to the extent applicable, each Equity Guaranty (as defined in the P1 Equity Contribution Agreement) delivered thereunder on or prior to the Closing Date;</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Accounts Agreement;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Deed of Trust;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Fee Letters;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CFCo Deed of Trust; and</w:t>
      </w:r>
    </w:p>
    <w:p>
      <w:pPr>
        <w:spacing w:after="0" w:line="233"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6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Loan Notes (to the extent requested by any Senior Lender at least three Business Days prior to the Closing Date).</w:t>
      </w:r>
    </w:p>
    <w:p>
      <w:pPr>
        <w:spacing w:after="0" w:line="157" w:lineRule="exact"/>
        <w:rPr>
          <w:rFonts w:ascii="Times New Roman" w:cs="Times New Roman" w:eastAsia="Times New Roman" w:hAnsi="Times New Roman"/>
          <w:sz w:val="22"/>
          <w:szCs w:val="22"/>
          <w:color w:val="auto"/>
        </w:rPr>
      </w:pPr>
    </w:p>
    <w:p>
      <w:pPr>
        <w:jc w:val="both"/>
        <w:ind w:left="1300" w:right="20" w:hanging="644"/>
        <w:spacing w:after="0" w:line="252" w:lineRule="auto"/>
        <w:tabs>
          <w:tab w:leader="none" w:pos="129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Accession Agreements</w:t>
      </w:r>
      <w:r>
        <w:rPr>
          <w:rFonts w:ascii="Times New Roman" w:cs="Times New Roman" w:eastAsia="Times New Roman" w:hAnsi="Times New Roman"/>
          <w:sz w:val="22"/>
          <w:szCs w:val="22"/>
          <w:color w:val="auto"/>
        </w:rPr>
        <w:t>. The Administrative Agent shall have received true, correct and complete copies of the Common Terms Accession Agreement and the CIA Accession Confirmation, each of which shall have been duly authorized, executed and delivered by the Administrative Agent as Senior Secured Debt Holder Representative or Senior Secured Creditor Representative (as applicable) on behalf of the Senior Lenders.</w:t>
      </w:r>
    </w:p>
    <w:p>
      <w:pPr>
        <w:spacing w:after="0" w:line="192" w:lineRule="exact"/>
        <w:rPr>
          <w:rFonts w:ascii="Times New Roman" w:cs="Times New Roman" w:eastAsia="Times New Roman" w:hAnsi="Times New Roman"/>
          <w:sz w:val="22"/>
          <w:szCs w:val="22"/>
          <w:color w:val="auto"/>
        </w:rPr>
      </w:pPr>
    </w:p>
    <w:p>
      <w:pPr>
        <w:ind w:left="1300" w:hanging="644"/>
        <w:spacing w:after="0" w:line="271" w:lineRule="auto"/>
        <w:tabs>
          <w:tab w:leader="none" w:pos="129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the Borrower in this Agreement shall be true and correct when made and on the Closing Date.</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The Borrower shall have performed and complied with all agreements and conditions contained in this Agreement required to be performed or complied with by it prior to or on the Closing Date.</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The Borrower shall have delivered to the Administrative Agent an Officer’s Certificate, dated the Closing Date, certifying (i) that the conditions specified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have been fulfilled and (ii) as to (A) the resolutions attached thereto and other corporate proceedings relating to the authorization, execution and delivery of this Agreement and (B) the Borrower’s organizational documents as then in effect.</w:t>
      </w:r>
    </w:p>
    <w:p>
      <w:pPr>
        <w:spacing w:after="0" w:line="178" w:lineRule="exact"/>
        <w:rPr>
          <w:rFonts w:ascii="Times New Roman" w:cs="Times New Roman" w:eastAsia="Times New Roman" w:hAnsi="Times New Roman"/>
          <w:sz w:val="22"/>
          <w:szCs w:val="22"/>
          <w:color w:val="auto"/>
        </w:rPr>
      </w:pPr>
    </w:p>
    <w:p>
      <w:pPr>
        <w:ind w:left="1300" w:hanging="644"/>
        <w:spacing w:after="0" w:line="284" w:lineRule="auto"/>
        <w:tabs>
          <w:tab w:leader="none" w:pos="130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of Counsel</w:t>
      </w:r>
      <w:r>
        <w:rPr>
          <w:rFonts w:ascii="Times New Roman" w:cs="Times New Roman" w:eastAsia="Times New Roman" w:hAnsi="Times New Roman"/>
          <w:sz w:val="22"/>
          <w:szCs w:val="22"/>
          <w:color w:val="auto"/>
        </w:rPr>
        <w:t>. The Administrative Agent shall have received the following legal opinions, each in form and substance reasonably satisfactory to the Administrative Agent and the Senior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98" w:lineRule="exact"/>
        <w:rPr>
          <w:sz w:val="20"/>
          <w:szCs w:val="20"/>
          <w:color w:val="auto"/>
        </w:rPr>
      </w:pPr>
    </w:p>
    <w:p>
      <w:pPr>
        <w:ind w:left="1960" w:hanging="656"/>
        <w:spacing w:after="0" w:line="271" w:lineRule="auto"/>
        <w:tabs>
          <w:tab w:leader="none" w:pos="194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opinion of Latham &amp; Watkins LLP, transaction counsel to each of the Loan Parties, the Sponsor, and each of the RG Facility Entities;</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opinion of K&amp;L Gates LLP, special FERC and DOE regulatory counsel to the Borrower;</w:t>
      </w:r>
    </w:p>
    <w:p>
      <w:pPr>
        <w:spacing w:after="0" w:line="233"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6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opinion of Duggins Wren Mann &amp; Romero, LLP, with respect to certain regulatory and permitting matters;</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opinion of King &amp; Spalding LLP, real property and special Texas counsel to each of the Borrower and each of the RG Facility Entities; and</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substantive non-consolidation opinion of Latham &amp; Watkins LLP, special counsel to the Borrower and each of the RG Facility Entities, with respect to the bankruptcy-remote status of the Borrower and each of the RG Facility Entities.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 Reports</w:t>
      </w:r>
      <w:r>
        <w:rPr>
          <w:rFonts w:ascii="Times New Roman" w:cs="Times New Roman" w:eastAsia="Times New Roman" w:hAnsi="Times New Roman"/>
          <w:sz w:val="22"/>
          <w:szCs w:val="22"/>
          <w:color w:val="auto"/>
        </w:rPr>
        <w:t>. The Administrative Agent shall have received:</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due diligence report of the Independent Engineer, dated as of July 5, 2023, together with a reliance letter for such report;</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65" w:lineRule="auto"/>
        <w:tabs>
          <w:tab w:leader="none" w:pos="195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due diligence report of the Market Consultant, dated as of October 13, 2022, as supplemented by the AAR Shell LNG SPA Addendum, dated December 5, 2022, the Updated Galp Addendum, dated January 4, 2023, the ENN Addendum, dated January 5, 2023, the Second Updated Itochu Addendum, dated January 27, 2023; the H1 2023 Addendum, dated April 20, 2023; the Third Updated TotalEnergies Addendum, dated June 19, 2023; the Revised RGLNG Offtaker Economics Addendum, dated June 30, 2023, and the SPA Amendments Addendum, dated June 30, 2023, together with a reliance letter for such report;</w:t>
      </w:r>
    </w:p>
    <w:p>
      <w:pPr>
        <w:spacing w:after="0" w:line="182" w:lineRule="exact"/>
        <w:rPr>
          <w:rFonts w:ascii="Times New Roman" w:cs="Times New Roman" w:eastAsia="Times New Roman" w:hAnsi="Times New Roman"/>
          <w:sz w:val="21"/>
          <w:szCs w:val="21"/>
          <w:color w:val="auto"/>
        </w:rPr>
      </w:pPr>
    </w:p>
    <w:p>
      <w:pPr>
        <w:jc w:val="both"/>
        <w:ind w:left="1960" w:hanging="656"/>
        <w:spacing w:after="0" w:line="252" w:lineRule="auto"/>
        <w:tabs>
          <w:tab w:leader="none" w:pos="196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due diligence report of Norton Rose Fulbright US LLP, as the counsel to the Senior Lenders dated as of January 6, 2023 and as supplemented by the First Addendum, dated February 2, 2023, the Second Addendum, dated February 20, 2023, the Third Addendum, dated February 27, 2023, the Fourth Addendum, dated May 24, 2023, and the Fifth Addendum, dated June 28, 2023;</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 of the Environmental Advisor (including (A) the Environmental Advisor’s analysis of the Borrower’s compliance with the Equator Principles (and setting forth any recommendations for actions necessary to achieve compliance, if applicable) and (B) the Environmental and Social Action Plan), dated as of August 12, 2022, as supplemented by the ESDD Addenda, dated May 5, 2023, the Rio Grande LNG ESAP Update,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98"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April 4, 2023, and the Rio Grande LNG ESAP Update, dated June 29, 2023, together with a reliance letter for such report; and</w:t>
      </w:r>
    </w:p>
    <w:p>
      <w:pPr>
        <w:spacing w:after="0" w:line="158" w:lineRule="exact"/>
        <w:rPr>
          <w:sz w:val="20"/>
          <w:szCs w:val="20"/>
          <w:color w:val="auto"/>
        </w:rPr>
      </w:pPr>
    </w:p>
    <w:p>
      <w:pPr>
        <w:jc w:val="both"/>
        <w:ind w:left="1960" w:hanging="656"/>
        <w:spacing w:after="0" w:line="263" w:lineRule="auto"/>
        <w:tabs>
          <w:tab w:leader="none" w:pos="195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 of the Shipping Consultant, dated as of October 2022, as supplemented by the Update Report, dated December 28, 2022, the Update Report, dated March 30, 2023, and the Update Report, dated June 29, 2023, together with a reliance letter for such report.</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the Borrower shall have paid on or before the Closing Date (i) the reasonable and documented fees, charges and disbursements of the Senior Lenders’ special counsel referred to in </w:t>
      </w:r>
      <w:r>
        <w:rPr>
          <w:rFonts w:ascii="Times New Roman" w:cs="Times New Roman" w:eastAsia="Times New Roman" w:hAnsi="Times New Roman"/>
          <w:sz w:val="22"/>
          <w:szCs w:val="22"/>
          <w:u w:val="single" w:color="auto"/>
          <w:color w:val="auto"/>
        </w:rPr>
        <w:t>Section (f)</w:t>
      </w:r>
      <w:r>
        <w:rPr>
          <w:rFonts w:ascii="Times New Roman" w:cs="Times New Roman" w:eastAsia="Times New Roman" w:hAnsi="Times New Roman"/>
          <w:sz w:val="22"/>
          <w:szCs w:val="22"/>
          <w:color w:val="auto"/>
        </w:rPr>
        <w:t xml:space="preserve"> to the extent reflected in a written statement of such counsel rendered to the Borrower at least three Business Day prior to the Closing Date (or such lesser time as may be agreed by the Borrower) and (ii) the fees payable to the Administrative Agent pursuant to the Administrative Agent Fee Letter.</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8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Corporate Structure</w:t>
      </w:r>
      <w:r>
        <w:rPr>
          <w:rFonts w:ascii="Times New Roman" w:cs="Times New Roman" w:eastAsia="Times New Roman" w:hAnsi="Times New Roman"/>
          <w:sz w:val="22"/>
          <w:szCs w:val="22"/>
          <w:color w:val="auto"/>
        </w:rPr>
        <w:t>. Except as contemplated in the Disclosure Documents, the Borrower shall not have changed its jurisdiction of incorporation or organization, as applicable, or been a party to any merger or consolidation or succeeded to all or any substantial part of the liabilities of any other entity, at any time following December 31, 2022.</w:t>
      </w:r>
    </w:p>
    <w:p>
      <w:pPr>
        <w:spacing w:after="0" w:line="192"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28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FERC Authorization and DOE Export Authorization</w:t>
      </w:r>
      <w:r>
        <w:rPr>
          <w:rFonts w:ascii="Times New Roman" w:cs="Times New Roman" w:eastAsia="Times New Roman" w:hAnsi="Times New Roman"/>
          <w:sz w:val="22"/>
          <w:szCs w:val="22"/>
          <w:color w:val="auto"/>
        </w:rPr>
        <w:t>. The Administrative Agent shall have received evidence satisfactory to the Senior Lenders that each of the DOE Export Authorizations and FERC Authorization (i) has been duly obtained, (ii) is in full force and effect, (iii) is held in the name of the Borrower, (iv) is not the subject of any pending rehearing by or to DOE/FE or FERC, and (v) is free from conditions or requirements (A) the compliance or non-compliance with which could reasonably be expected to have a Material Adverse Effect or</w:t>
      </w:r>
    </w:p>
    <w:p>
      <w:pPr>
        <w:spacing w:after="0" w:line="1" w:lineRule="exact"/>
        <w:rPr>
          <w:rFonts w:ascii="Times New Roman" w:cs="Times New Roman" w:eastAsia="Times New Roman" w:hAnsi="Times New Roman"/>
          <w:sz w:val="22"/>
          <w:szCs w:val="22"/>
          <w:color w:val="auto"/>
        </w:rPr>
      </w:pPr>
    </w:p>
    <w:p>
      <w:pPr>
        <w:ind w:left="130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which the Borrower does not expect to be able to satisfy on or prior to the commencement of the relevant stage of Development.</w:t>
      </w:r>
    </w:p>
    <w:p>
      <w:pPr>
        <w:spacing w:after="0" w:line="170"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The Collateral shall be subject to the perfected first priority Lien (subject only to Permitted Liens) established pursuant to, and to the extent required to be perfected as of the Closing Date under, the Senior Security Documents.</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8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The Administrative Agent shall have received an Officer’s Certificate, dated the Closing Date, certifying the existence of sufficient funds needed to achieve Substantial Completion under each P1 EPC Contract by the Date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98" w:lineRule="exact"/>
        <w:rPr>
          <w:sz w:val="20"/>
          <w:szCs w:val="20"/>
          <w:color w:val="auto"/>
        </w:rPr>
      </w:pPr>
    </w:p>
    <w:p>
      <w:pPr>
        <w:ind w:left="1300" w:hanging="644"/>
        <w:spacing w:after="0" w:line="271" w:lineRule="auto"/>
        <w:tabs>
          <w:tab w:leader="none" w:pos="128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Rating of Senior Loans</w:t>
      </w:r>
      <w:r>
        <w:rPr>
          <w:rFonts w:ascii="Times New Roman" w:cs="Times New Roman" w:eastAsia="Times New Roman" w:hAnsi="Times New Roman"/>
          <w:sz w:val="22"/>
          <w:szCs w:val="22"/>
          <w:color w:val="auto"/>
        </w:rPr>
        <w:t>. Each Senior Lender shall have received evidence reasonably satisfactory to counsel for the Senior Lenders that Senior Loans have been assigned a rating equal to or better than BBB by Kroll.</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CUSIP Number</w:t>
      </w:r>
      <w:r>
        <w:rPr>
          <w:rFonts w:ascii="Times New Roman" w:cs="Times New Roman" w:eastAsia="Times New Roman" w:hAnsi="Times New Roman"/>
          <w:sz w:val="22"/>
          <w:szCs w:val="22"/>
          <w:color w:val="auto"/>
        </w:rPr>
        <w:t>. On or prior to the Closing Date, a “CUSIP” Number issued by Standard &amp; Poor’s CUSIP Service Bureau (in cooperation with the SVO) shall have been obtained for the Senior Loans.</w:t>
      </w:r>
    </w:p>
    <w:p>
      <w:pPr>
        <w:spacing w:after="0" w:line="14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On the Closing Date, the Financing Documents (other than this Agreement) shall be in full force and effect, and no Default or Event of Default (as such terms are defined in each such Financing Document) under any Financing Document shall have occurred and be continuing.</w:t>
      </w:r>
    </w:p>
    <w:p>
      <w:pPr>
        <w:spacing w:after="0" w:line="172" w:lineRule="exact"/>
        <w:rPr>
          <w:rFonts w:ascii="Times New Roman" w:cs="Times New Roman" w:eastAsia="Times New Roman" w:hAnsi="Times New Roman"/>
          <w:sz w:val="22"/>
          <w:szCs w:val="22"/>
          <w:color w:val="auto"/>
        </w:rPr>
      </w:pPr>
    </w:p>
    <w:p>
      <w:pPr>
        <w:ind w:left="1300" w:right="20" w:hanging="644"/>
        <w:spacing w:after="0" w:line="284" w:lineRule="auto"/>
        <w:tabs>
          <w:tab w:leader="none" w:pos="129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Regulatory Requirements</w:t>
      </w:r>
      <w:r>
        <w:rPr>
          <w:rFonts w:ascii="Times New Roman" w:cs="Times New Roman" w:eastAsia="Times New Roman" w:hAnsi="Times New Roman"/>
          <w:sz w:val="22"/>
          <w:szCs w:val="22"/>
          <w:color w:val="auto"/>
        </w:rPr>
        <w:t>. Each Senior Lender shall have received, or had access to, to the extent requested at least three Business Days prior to the Closing Date:</w:t>
      </w:r>
    </w:p>
    <w:p>
      <w:pPr>
        <w:spacing w:after="0" w:line="143"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Beneficial Ownership Certification from the Borrower if it qualifies as a “legal entity customer” under the Beneficial Ownership Regulation; and</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required by bank regulatory authorities under applicable KYC Requirements.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Conditions to Senior Loan Borrowing Date</w:t>
      </w:r>
    </w:p>
    <w:p>
      <w:pPr>
        <w:spacing w:after="0" w:line="237"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The obligation of each Senior Lender to make its Senior Loans on the Senior Loan Borrowing Date shall be subject to the satisfaction or waiver of the following conditions:</w:t>
      </w:r>
    </w:p>
    <w:p>
      <w:pPr>
        <w:spacing w:after="0" w:line="144" w:lineRule="exact"/>
        <w:rPr>
          <w:sz w:val="20"/>
          <w:szCs w:val="20"/>
          <w:color w:val="auto"/>
        </w:rPr>
      </w:pPr>
    </w:p>
    <w:p>
      <w:pPr>
        <w:ind w:left="1300" w:hanging="644"/>
        <w:spacing w:after="0" w:line="271" w:lineRule="auto"/>
        <w:tabs>
          <w:tab w:leader="none" w:pos="129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Senior Loan Borrowing</w:t>
      </w:r>
      <w:r>
        <w:rPr>
          <w:rFonts w:ascii="Times New Roman" w:cs="Times New Roman" w:eastAsia="Times New Roman" w:hAnsi="Times New Roman"/>
          <w:sz w:val="22"/>
          <w:szCs w:val="22"/>
          <w:color w:val="auto"/>
        </w:rPr>
        <w:t xml:space="preserve">. The Administrative Agent shall have received a duly executed Borrowing Notice, as required by and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The Administrative Agent shall have received for its own account, or for the account of each Senior Lender under this Agreement entitled thereto, all fees due and payable pursuant to this Agreement, the Bank Fee Letters and any other Financing Document and all costs and expenses (including costs, fees and expenses of legal counsel and Consultants) payable hereunder or thereunder for which invoices have been presented.</w:t>
      </w:r>
    </w:p>
    <w:p>
      <w:pPr>
        <w:spacing w:after="0" w:line="178" w:lineRule="exact"/>
        <w:rPr>
          <w:rFonts w:ascii="Times New Roman" w:cs="Times New Roman" w:eastAsia="Times New Roman" w:hAnsi="Times New Roman"/>
          <w:sz w:val="22"/>
          <w:szCs w:val="22"/>
          <w:color w:val="auto"/>
        </w:rPr>
      </w:pPr>
    </w:p>
    <w:p>
      <w:pPr>
        <w:ind w:left="1300" w:hanging="644"/>
        <w:spacing w:after="0" w:line="271" w:lineRule="auto"/>
        <w:tabs>
          <w:tab w:leader="none" w:pos="129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Default</w:t>
      </w:r>
      <w:r>
        <w:rPr>
          <w:rFonts w:ascii="Times New Roman" w:cs="Times New Roman" w:eastAsia="Times New Roman" w:hAnsi="Times New Roman"/>
          <w:sz w:val="22"/>
          <w:szCs w:val="22"/>
          <w:color w:val="auto"/>
        </w:rPr>
        <w:t>. No Default or Event of Default has occurred and is continuing on such date or will result from the consummation of the transactions contemplated by the Credit Agreement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94"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 xml:space="preserve">The Borrower covenants and agrees that until the Discharge Date, it shall perform or observe or cause to be performed or observed (as applicable) each of the following obligations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in favor and for the benefit of the Administrative Agent and each Senior Lender.</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Distributions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Borrower will not make or agree to make, directly or indirectly, any Distributions unless:</w:t>
      </w:r>
    </w:p>
    <w:p>
      <w:pPr>
        <w:spacing w:after="0" w:line="220" w:lineRule="exact"/>
        <w:rPr>
          <w:sz w:val="20"/>
          <w:szCs w:val="20"/>
          <w:color w:val="auto"/>
        </w:rPr>
      </w:pPr>
    </w:p>
    <w:p>
      <w:pPr>
        <w:ind w:left="1300" w:hanging="644"/>
        <w:spacing w:after="0"/>
        <w:tabs>
          <w:tab w:leader="none" w:pos="13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Distribution is in compliance with the Common Terms Agreement and the P1 Accounts Agreement;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 or Event of Default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has occurred and is continuing;</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29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actual Credit Agreement LNG Sales Mandatory Prepayment Event or Unmatured Credit Agreement LNG Sales Mandatory Prepayment Event has occurred and is continuing as of the date of the proposed Distribution (i) in respect of which the prepayment or cancellation of Senior Secured Debt, if any, required by the occurrence of such event pursuant this Agreement or any other Senior Secured Debt Instrument has not been made in full or (ii) P1 Distribution Collateral has been provided to the P1 Collateral Agent in an amount equal to the lesser of (A) the amount of the Distribution that is proposed to be made and (B) the maximum amount that would be mandatorily payable pursuant to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and any other Senior Secured Debt Instrument as a result of the relevant Credit Agreement LNG Sales Mandatory Prepayment Event, that will be drawn or called and deposited in cash in accordance with the P1 Accounts Agreement by the Borrower in the event that a mandatory prepayment of Senior Secured Debt is triggered pursuant to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or any other Senior Secured Debt Instrument if the Borrower does not have sufficient cash available pursuant to Section 3.11(f) (</w:t>
      </w:r>
      <w:r>
        <w:rPr>
          <w:rFonts w:ascii="Times New Roman" w:cs="Times New Roman" w:eastAsia="Times New Roman" w:hAnsi="Times New Roman"/>
          <w:sz w:val="22"/>
          <w:szCs w:val="22"/>
          <w:i w:val="1"/>
          <w:iCs w:val="1"/>
          <w:color w:val="auto"/>
        </w:rPr>
        <w:t>P1 Debt Prepayment Account</w:t>
      </w:r>
      <w:r>
        <w:rPr>
          <w:rFonts w:ascii="Times New Roman" w:cs="Times New Roman" w:eastAsia="Times New Roman" w:hAnsi="Times New Roman"/>
          <w:sz w:val="22"/>
          <w:szCs w:val="22"/>
          <w:color w:val="auto"/>
        </w:rPr>
        <w:t>) of the P1 Accounts Agreement to make such mandatory prepayment;</w:t>
      </w:r>
    </w:p>
    <w:p>
      <w:pPr>
        <w:spacing w:after="0" w:line="184"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Extraordinary Distribution from the P1 Pre-Completion Revenue Account in accordance with Section 3.2(c) (</w:t>
      </w:r>
      <w:r>
        <w:rPr>
          <w:rFonts w:ascii="Times New Roman" w:cs="Times New Roman" w:eastAsia="Times New Roman" w:hAnsi="Times New Roman"/>
          <w:sz w:val="22"/>
          <w:szCs w:val="22"/>
          <w:i w:val="1"/>
          <w:iCs w:val="1"/>
          <w:color w:val="auto"/>
        </w:rPr>
        <w:t>P1 Pre-Completion Revenue Account</w:t>
      </w:r>
      <w:r>
        <w:rPr>
          <w:rFonts w:ascii="Times New Roman" w:cs="Times New Roman" w:eastAsia="Times New Roman" w:hAnsi="Times New Roman"/>
          <w:sz w:val="22"/>
          <w:szCs w:val="22"/>
          <w:color w:val="auto"/>
        </w:rPr>
        <w:t>) of the P1 Accounts Agreement:</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CTA Default or CTA Event of Default has occurred and is continuing;</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Completion (as defined in the T1/T2 EPC Contract) of the Train 1 Facility shall have occurred, as confirmed by the Independent Engineer;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98" w:lineRule="exact"/>
        <w:rPr>
          <w:sz w:val="20"/>
          <w:szCs w:val="20"/>
          <w:color w:val="auto"/>
        </w:rPr>
      </w:pPr>
    </w:p>
    <w:p>
      <w:pPr>
        <w:ind w:left="1960" w:hanging="656"/>
        <w:spacing w:after="0" w:line="271" w:lineRule="auto"/>
        <w:tabs>
          <w:tab w:leader="none" w:pos="196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Projected DSCR for the four Fiscal Quarter period commencing on the projected Initial Principal Payment Date shall not be less than 1.40:1.00;</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certificate:</w:t>
      </w:r>
    </w:p>
    <w:p>
      <w:pPr>
        <w:spacing w:after="0" w:line="233" w:lineRule="exact"/>
        <w:rPr>
          <w:rFonts w:ascii="Times New Roman" w:cs="Times New Roman" w:eastAsia="Times New Roman" w:hAnsi="Times New Roman"/>
          <w:sz w:val="22"/>
          <w:szCs w:val="22"/>
          <w:color w:val="auto"/>
        </w:rPr>
      </w:pPr>
    </w:p>
    <w:p>
      <w:pPr>
        <w:jc w:val="both"/>
        <w:ind w:left="2600" w:hanging="648"/>
        <w:spacing w:after="0" w:line="252" w:lineRule="auto"/>
        <w:tabs>
          <w:tab w:leader="none" w:pos="2589"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confirming that Substantial Completion (as defined in the T1/T2 EPC Contract) of the Train 2 Facility and Substantial Completion (as defined in the T3 EPC Contract) of the Train 3 Facility, and the occurrence of the Project Completion Date is reasonably expected to occur on or before the Date Certain; and</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63" w:lineRule="auto"/>
        <w:tabs>
          <w:tab w:leader="none" w:pos="2591"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sufficiency of funds available to the Borrower to complete the Train 2 Facility (as defined in the T1/T2 EPC Contract), the Train 3 Facility (as defined in the T3 EPC Contract) and the P1 Common Facilities.</w:t>
      </w:r>
    </w:p>
    <w:p>
      <w:pPr>
        <w:spacing w:after="0" w:line="167"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955"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Designated Offtake Agreements with an aggregate amount of ACQ required to achieve a Credit Agreement Projected DSCR of at least 1.40:1.00 based on the Base Case Forecast shall be in full force and effect;</w:t>
      </w:r>
    </w:p>
    <w:p>
      <w:pPr>
        <w:spacing w:after="0" w:line="131" w:lineRule="exact"/>
        <w:rPr>
          <w:rFonts w:ascii="Times New Roman" w:cs="Times New Roman" w:eastAsia="Times New Roman" w:hAnsi="Times New Roman"/>
          <w:sz w:val="21"/>
          <w:szCs w:val="21"/>
          <w:color w:val="auto"/>
        </w:rPr>
      </w:pPr>
    </w:p>
    <w:p>
      <w:pPr>
        <w:jc w:val="both"/>
        <w:ind w:left="1960" w:hanging="656"/>
        <w:spacing w:after="0" w:line="265" w:lineRule="auto"/>
        <w:tabs>
          <w:tab w:leader="none" w:pos="1948"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Date of First Commercial Delivery</w:t>
      </w:r>
      <w:r>
        <w:rPr>
          <w:rFonts w:ascii="Times New Roman" w:cs="Times New Roman" w:eastAsia="Times New Roman" w:hAnsi="Times New Roman"/>
          <w:sz w:val="22"/>
          <w:szCs w:val="22"/>
          <w:color w:val="auto"/>
        </w:rPr>
        <w:t xml:space="preserve">” with respect to the Train 1 Facility under, and as defined in, each of the Initial Offtake Agreements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of the definition thereof shall have occurred; and</w:t>
      </w:r>
    </w:p>
    <w:p>
      <w:pPr>
        <w:spacing w:after="0" w:line="16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 or Event of Default under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 xml:space="preserve"> shall have occurred and be continuing;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Distributions other than Extraordinary Distributions:</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Historical DSCR as of the Fiscal Quarter most recently ended or then ending is at least 1.25 to 1.00; and</w:t>
      </w:r>
    </w:p>
    <w:p>
      <w:pPr>
        <w:spacing w:after="0" w:line="171"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4"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Contracted Projected DSCR for the next four Fiscal Quarter period is at least 1.25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may, at its option, exclude any amounts comprising of scheduled bullet or balloon principal payments of Senior Secured Debt that was pre-funded with proceeds of Replacement Debt or other Indebtedness.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Use of Proceeds</w:t>
      </w:r>
    </w:p>
    <w:p>
      <w:pPr>
        <w:spacing w:after="0" w:line="237"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The Borrower shall use the proceeds of the Senior Loans solely to pay for a portion of P1 Project Costs. The Borrower shall not use any part of the proceeds of any Senior Loans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9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purchase or carry any Margin Stock (as defined in Regulation U of the Board of Governors of the Federal Reserve System).</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Incurrence of Indebtedness</w:t>
      </w:r>
    </w:p>
    <w:p>
      <w:pPr>
        <w:spacing w:after="0" w:line="224" w:lineRule="exact"/>
        <w:rPr>
          <w:sz w:val="20"/>
          <w:szCs w:val="20"/>
          <w:color w:val="auto"/>
        </w:rPr>
      </w:pPr>
    </w:p>
    <w:p>
      <w:pPr>
        <w:jc w:val="both"/>
        <w:ind w:left="1300" w:hanging="644"/>
        <w:spacing w:after="0" w:line="255" w:lineRule="auto"/>
        <w:tabs>
          <w:tab w:leader="none" w:pos="129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directly or indirectly, create, incur, assume, permit, suffer to exist or otherwise be or become liable with respect to, contingently or otherwise (collectively, “</w:t>
      </w:r>
      <w:r>
        <w:rPr>
          <w:rFonts w:ascii="Times New Roman" w:cs="Times New Roman" w:eastAsia="Times New Roman" w:hAnsi="Times New Roman"/>
          <w:sz w:val="22"/>
          <w:szCs w:val="22"/>
          <w:b w:val="1"/>
          <w:bCs w:val="1"/>
          <w:color w:val="auto"/>
        </w:rPr>
        <w:t>incur</w:t>
      </w:r>
      <w:r>
        <w:rPr>
          <w:rFonts w:ascii="Times New Roman" w:cs="Times New Roman" w:eastAsia="Times New Roman" w:hAnsi="Times New Roman"/>
          <w:sz w:val="22"/>
          <w:szCs w:val="22"/>
          <w:color w:val="auto"/>
        </w:rPr>
        <w:t>”) any Replacement Debt unless</w:t>
      </w:r>
    </w:p>
    <w:p>
      <w:pPr>
        <w:spacing w:after="0" w:line="1" w:lineRule="exact"/>
        <w:rPr>
          <w:rFonts w:ascii="Times New Roman" w:cs="Times New Roman" w:eastAsia="Times New Roman" w:hAnsi="Times New Roman"/>
          <w:sz w:val="22"/>
          <w:szCs w:val="22"/>
          <w:color w:val="auto"/>
        </w:rPr>
      </w:pPr>
    </w:p>
    <w:p>
      <w:pPr>
        <w:jc w:val="both"/>
        <w:ind w:left="1300" w:firstLine="4"/>
        <w:spacing w:after="0" w:line="246" w:lineRule="auto"/>
        <w:tabs>
          <w:tab w:leader="none" w:pos="1585"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demonstrated, by delivery of an updated Base Case Forecast that (after taking into account the incurrence of such Replacement Debt) the Credit Agreement Projected DSCR commencing on the Initial Principal Payment Date and for each rolling four Fiscal Quarter period (as of the end of each Fiscal Quarter) through the Notional Amortization Period shall not be less than 1.40:1.00;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Credit Agreement Projected CFADS used to calculate the Credit Agreement Projected DSCR shall assume, if such Replacement Debt is incurred prior to the Project Completion Date, that all Senior Secured Debt Commitments will be fully drawn, (3) </w:t>
      </w:r>
      <w:r>
        <w:rPr>
          <w:rFonts w:ascii="Times New Roman" w:cs="Times New Roman" w:eastAsia="Times New Roman" w:hAnsi="Times New Roman"/>
          <w:sz w:val="22"/>
          <w:szCs w:val="22"/>
          <w:color w:val="auto"/>
          <w:strike w:val="1"/>
        </w:rPr>
        <w:t>a Specified Rating Reaffirmation shall have occurred, (iii)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w:t>
      </w:r>
      <w:r>
        <w:rPr>
          <w:rFonts w:ascii="Times New Roman" w:cs="Times New Roman" w:eastAsia="Times New Roman" w:hAnsi="Times New Roman"/>
          <w:sz w:val="22"/>
          <w:szCs w:val="22"/>
          <w:color w:val="auto"/>
        </w:rPr>
        <w:t xml:space="preserve"> weighted average life to maturity of the Replacement Debt shall be longer than the weighted average life to maturity of the Senior Secured Debt being replaced, and </w:t>
      </w:r>
      <w:r>
        <w:rPr>
          <w:rFonts w:ascii="Times New Roman" w:cs="Times New Roman" w:eastAsia="Times New Roman" w:hAnsi="Times New Roman"/>
          <w:sz w:val="22"/>
          <w:szCs w:val="22"/>
          <w:color w:val="auto"/>
          <w:strike w:val="1"/>
        </w:rPr>
        <w:t>(iv)</w:t>
      </w:r>
      <w:r>
        <w:rPr>
          <w:rFonts w:ascii="Times New Roman" w:cs="Times New Roman" w:eastAsia="Times New Roman" w:hAnsi="Times New Roman"/>
          <w:sz w:val="22"/>
          <w:szCs w:val="22"/>
          <w:color w:val="auto"/>
        </w:rPr>
        <w:t>(4) the final maturity date of the Replacement Debt shall occur after the maturity date of the Senior Secured Debt being replaced.</w:t>
      </w:r>
    </w:p>
    <w:p>
      <w:pPr>
        <w:spacing w:after="0" w:line="189"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295"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not incur any Supplemental Debt (other than Funding Shortfall Debt which shall be governed by </w:t>
      </w:r>
      <w:r>
        <w:rPr>
          <w:rFonts w:ascii="Times New Roman" w:cs="Times New Roman" w:eastAsia="Times New Roman" w:hAnsi="Times New Roman"/>
          <w:sz w:val="21"/>
          <w:szCs w:val="21"/>
          <w:u w:val="single" w:color="auto"/>
          <w:color w:val="auto"/>
        </w:rPr>
        <w:t>Section 7.3(d)</w:t>
      </w:r>
      <w:r>
        <w:rPr>
          <w:rFonts w:ascii="Times New Roman" w:cs="Times New Roman" w:eastAsia="Times New Roman" w:hAnsi="Times New Roman"/>
          <w:sz w:val="21"/>
          <w:szCs w:val="21"/>
          <w:color w:val="auto"/>
        </w:rPr>
        <w:t xml:space="preserve"> below) in an amount greater than $250,000,000 unless </w:t>
      </w:r>
      <w:r>
        <w:rPr>
          <w:rFonts w:ascii="Times New Roman" w:cs="Times New Roman" w:eastAsia="Times New Roman" w:hAnsi="Times New Roman"/>
          <w:sz w:val="21"/>
          <w:szCs w:val="21"/>
          <w:color w:val="auto"/>
          <w:strike w:val="1"/>
        </w:rPr>
        <w:t>(i)</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the Borrower shall have demonstrated by delivery of an updated Base Case Forecast that (after taking into account the incurrence of such Supplemental Debt) the Credit Agreement Projected DSCR commencing on the Initial Principal Payment Date and for each rolling four Fiscal Quarter period (as of the end of each Fiscal Quarter) through the Notional Amortization Period shall not be less than 1.40:1.00;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the Credit Agreement Projected CFADS used to calculate the Credit Agreement Projected DSCR shall assume that all commitments for Supplemental Debt will be fully drawn as of the date on which such Supplemental Debt is incurred and </w:t>
      </w:r>
      <w:r>
        <w:rPr>
          <w:rFonts w:ascii="Times New Roman" w:cs="Times New Roman" w:eastAsia="Times New Roman" w:hAnsi="Times New Roman"/>
          <w:sz w:val="21"/>
          <w:szCs w:val="21"/>
          <w:color w:val="auto"/>
          <w:strike w:val="1"/>
        </w:rPr>
        <w:t>(ii) Kroll</w:t>
      </w:r>
      <w:r>
        <w:rPr>
          <w:rFonts w:ascii="Times New Roman" w:cs="Times New Roman" w:eastAsia="Times New Roman" w:hAnsi="Times New Roman"/>
          <w:sz w:val="21"/>
          <w:szCs w:val="21"/>
          <w:u w:val="single" w:color="auto"/>
          <w:color w:val="auto"/>
        </w:rPr>
        <w:t>(ii) any Specified Rating Agency</w:t>
      </w:r>
      <w:r>
        <w:rPr>
          <w:rFonts w:ascii="Times New Roman" w:cs="Times New Roman" w:eastAsia="Times New Roman" w:hAnsi="Times New Roman"/>
          <w:sz w:val="21"/>
          <w:szCs w:val="21"/>
          <w:color w:val="auto"/>
        </w:rPr>
        <w:t xml:space="preserve"> reaffirms that the rating of the Senior Loans will not, as a result of the incurrence of such Supplemental Debt, be lower than the lower of (A) </w:t>
      </w:r>
      <w:r>
        <w:rPr>
          <w:rFonts w:ascii="Times New Roman" w:cs="Times New Roman" w:eastAsia="Times New Roman" w:hAnsi="Times New Roman"/>
          <w:sz w:val="21"/>
          <w:szCs w:val="21"/>
          <w:color w:val="auto"/>
          <w:strike w:val="1"/>
        </w:rPr>
        <w:t>BBB</w:t>
      </w:r>
      <w:r>
        <w:rPr>
          <w:rFonts w:ascii="Times New Roman" w:cs="Times New Roman" w:eastAsia="Times New Roman" w:hAnsi="Times New Roman"/>
          <w:sz w:val="21"/>
          <w:szCs w:val="21"/>
          <w:u w:val="single" w:color="auto"/>
          <w:color w:val="auto"/>
        </w:rPr>
        <w:t>the Required Rating</w:t>
      </w:r>
      <w:r>
        <w:rPr>
          <w:rFonts w:ascii="Times New Roman" w:cs="Times New Roman" w:eastAsia="Times New Roman" w:hAnsi="Times New Roman"/>
          <w:sz w:val="21"/>
          <w:szCs w:val="21"/>
          <w:color w:val="auto"/>
        </w:rPr>
        <w:t xml:space="preserve"> and</w:t>
      </w:r>
    </w:p>
    <w:p>
      <w:pPr>
        <w:spacing w:after="0" w:line="10" w:lineRule="exact"/>
        <w:rPr>
          <w:rFonts w:ascii="Times New Roman" w:cs="Times New Roman" w:eastAsia="Times New Roman" w:hAnsi="Times New Roman"/>
          <w:sz w:val="21"/>
          <w:szCs w:val="21"/>
          <w:color w:val="auto"/>
        </w:rPr>
      </w:pPr>
    </w:p>
    <w:p>
      <w:pPr>
        <w:ind w:left="130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 the rating of the Senior Loans by </w:t>
      </w:r>
      <w:r>
        <w:rPr>
          <w:rFonts w:ascii="Times New Roman" w:cs="Times New Roman" w:eastAsia="Times New Roman" w:hAnsi="Times New Roman"/>
          <w:sz w:val="22"/>
          <w:szCs w:val="22"/>
          <w:color w:val="auto"/>
          <w:strike w:val="1"/>
        </w:rPr>
        <w:t>Kroll</w:t>
      </w:r>
      <w:r>
        <w:rPr>
          <w:rFonts w:ascii="Times New Roman" w:cs="Times New Roman" w:eastAsia="Times New Roman" w:hAnsi="Times New Roman"/>
          <w:sz w:val="22"/>
          <w:szCs w:val="22"/>
          <w:u w:val="single" w:color="auto"/>
          <w:color w:val="auto"/>
        </w:rPr>
        <w:t>any Specified Rating Agency</w:t>
      </w:r>
      <w:r>
        <w:rPr>
          <w:rFonts w:ascii="Times New Roman" w:cs="Times New Roman" w:eastAsia="Times New Roman" w:hAnsi="Times New Roman"/>
          <w:sz w:val="22"/>
          <w:szCs w:val="22"/>
          <w:color w:val="auto"/>
        </w:rPr>
        <w:t xml:space="preserve"> immediately prior to such incurrence of such Supplemental Debt.</w:t>
      </w:r>
    </w:p>
    <w:p>
      <w:pPr>
        <w:spacing w:after="0" w:line="168"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29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incur any Relevering Debt unless (i) prior to the Project Completion Date, (A) such Relevering Debt is Reinstatement Debt or (B) (1) the incurrence of such Relevering Debt would not cause the Debt to Equity Ratio to exceed 75:25 and (2) upon the incurrence of such Relevering Debt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6011545</wp:posOffset>
            </wp:positionH>
            <wp:positionV relativeFrom="paragraph">
              <wp:posOffset>-3772535</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-1663700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98"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1"/>
          <w:szCs w:val="21"/>
          <w:color w:val="auto"/>
        </w:rPr>
        <w:t xml:space="preserve">Reinstatement Debt), the Senior Loans shall be rated by any </w:t>
      </w:r>
      <w:r>
        <w:rPr>
          <w:rFonts w:ascii="Times New Roman" w:cs="Times New Roman" w:eastAsia="Times New Roman" w:hAnsi="Times New Roman"/>
          <w:sz w:val="21"/>
          <w:szCs w:val="21"/>
          <w:color w:val="auto"/>
          <w:strike w:val="1"/>
        </w:rPr>
        <w:t>one of Moody’s, S&amp;P, Fitch, Kroll,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DBRS</w:t>
      </w:r>
      <w:r>
        <w:rPr>
          <w:rFonts w:ascii="Times New Roman" w:cs="Times New Roman" w:eastAsia="Times New Roman" w:hAnsi="Times New Roman"/>
          <w:sz w:val="21"/>
          <w:szCs w:val="21"/>
          <w:u w:val="single" w:color="auto"/>
          <w:color w:val="auto"/>
        </w:rPr>
        <w:t>Specified Rating Agency</w:t>
      </w:r>
      <w:r>
        <w:rPr>
          <w:rFonts w:ascii="Times New Roman" w:cs="Times New Roman" w:eastAsia="Times New Roman" w:hAnsi="Times New Roman"/>
          <w:sz w:val="21"/>
          <w:szCs w:val="21"/>
          <w:color w:val="auto"/>
        </w:rPr>
        <w:t xml:space="preserve"> and at least one such rating shall be equal to or better than </w:t>
      </w:r>
      <w:r>
        <w:rPr>
          <w:rFonts w:ascii="Times New Roman" w:cs="Times New Roman" w:eastAsia="Times New Roman" w:hAnsi="Times New Roman"/>
          <w:sz w:val="21"/>
          <w:szCs w:val="21"/>
          <w:color w:val="auto"/>
          <w:strike w:val="1"/>
        </w:rPr>
        <w:t>Baa2 by Moody’s, BBB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by S&amp;P, BBB by Fitch, BBB by Kroll, or BBB by DBRS</w:t>
      </w:r>
      <w:r>
        <w:rPr>
          <w:rFonts w:ascii="Times New Roman" w:cs="Times New Roman" w:eastAsia="Times New Roman" w:hAnsi="Times New Roman"/>
          <w:sz w:val="21"/>
          <w:szCs w:val="21"/>
          <w:u w:val="single" w:color="auto"/>
          <w:color w:val="auto"/>
        </w:rPr>
        <w:t>the Required Rating</w:t>
      </w:r>
      <w:r>
        <w:rPr>
          <w:rFonts w:ascii="Times New Roman" w:cs="Times New Roman" w:eastAsia="Times New Roman" w:hAnsi="Times New Roman"/>
          <w:sz w:val="21"/>
          <w:szCs w:val="21"/>
          <w:color w:val="auto"/>
        </w:rPr>
        <w:t xml:space="preserve">, and (ii) following the Project Completion Date, (A) the Borrower shall have demonstrated by delivery of an updated Base Case Forecast that (after taking into account the incurrence of such Relevering Debt) the Credit Agreement Projected DSCR commencing on the Initial Principal Payment Date and for each rolling four Fiscal Quarter period (as of the end of each Fiscal Quarter) through the Notional Amortization Period shall not be less than 1.40:1.00 and (B) upon the incurrence of such Relevering Debt (other than Reinstatement Debt), the Senior Loans shall be rated by any </w:t>
      </w:r>
      <w:r>
        <w:rPr>
          <w:rFonts w:ascii="Times New Roman" w:cs="Times New Roman" w:eastAsia="Times New Roman" w:hAnsi="Times New Roman"/>
          <w:sz w:val="21"/>
          <w:szCs w:val="21"/>
          <w:color w:val="auto"/>
          <w:strike w:val="1"/>
        </w:rPr>
        <w:t>one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Moody’s, S&amp;P, Fitch, Kroll, or DBRS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Specified Rating Agency</w:t>
      </w:r>
      <w:r>
        <w:rPr>
          <w:rFonts w:ascii="Times New Roman" w:cs="Times New Roman" w:eastAsia="Times New Roman" w:hAnsi="Times New Roman"/>
          <w:sz w:val="21"/>
          <w:szCs w:val="21"/>
          <w:color w:val="auto"/>
        </w:rPr>
        <w:t xml:space="preserve"> and at least one such rating shall be equal to or better than </w:t>
      </w:r>
      <w:r>
        <w:rPr>
          <w:rFonts w:ascii="Times New Roman" w:cs="Times New Roman" w:eastAsia="Times New Roman" w:hAnsi="Times New Roman"/>
          <w:sz w:val="21"/>
          <w:szCs w:val="21"/>
          <w:color w:val="auto"/>
          <w:strike w:val="1"/>
        </w:rPr>
        <w:t>Baa2 by Moody’s, BBB by S&amp;P, BBB by Fitch, BBB by Kroll, or BBB by DBRS</w:t>
      </w:r>
      <w:r>
        <w:rPr>
          <w:rFonts w:ascii="Times New Roman" w:cs="Times New Roman" w:eastAsia="Times New Roman" w:hAnsi="Times New Roman"/>
          <w:sz w:val="21"/>
          <w:szCs w:val="21"/>
          <w:u w:val="single" w:color="auto"/>
          <w:color w:val="auto"/>
        </w:rPr>
        <w:t>the Required Rating</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left="1300" w:hanging="644"/>
        <w:spacing w:after="0" w:line="261" w:lineRule="auto"/>
        <w:tabs>
          <w:tab w:leader="none" w:pos="1295"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not incur any Funding Shortfall Debt unless (i) the Borrower shall have demonstrated by delivery of an updated Base Case Forecast that (after taking into account the incurrence of such Funding Shortfall Debt) the Credit Agreement Projected DSCR commencing on Initial Principal Payment Date and for each rolling four Fiscal Quarter period (as of the end of each Fiscal Quarter) through the Notional Amortization Period shall not be less than 1.40:1.00;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the Credit Agreement Projected CFADS used to calculate the Credit Agreement Projected DSCR shall assume, if such Funding Shortfall Debt is incurred prior to the Project Completion Date, that all commitments for Funding Shortfall Debt will be fully drawn as of the date on which such Funding Shortfall Debt is incurred and (ii) </w:t>
      </w:r>
      <w:r>
        <w:rPr>
          <w:rFonts w:ascii="Times New Roman" w:cs="Times New Roman" w:eastAsia="Times New Roman" w:hAnsi="Times New Roman"/>
          <w:sz w:val="21"/>
          <w:szCs w:val="21"/>
          <w:color w:val="auto"/>
          <w:strike w:val="1"/>
        </w:rPr>
        <w:t>Kroll</w:t>
      </w:r>
      <w:r>
        <w:rPr>
          <w:rFonts w:ascii="Times New Roman" w:cs="Times New Roman" w:eastAsia="Times New Roman" w:hAnsi="Times New Roman"/>
          <w:sz w:val="21"/>
          <w:szCs w:val="21"/>
          <w:color w:val="auto"/>
        </w:rPr>
        <w:t xml:space="preserve">any Specified Rating Agency reaffirms that the rating of the Senior Loans will not, as a result of the incurrence of such Funding Shortfall Debt, be lower than the lower of (A) </w:t>
      </w:r>
      <w:r>
        <w:rPr>
          <w:rFonts w:ascii="Times New Roman" w:cs="Times New Roman" w:eastAsia="Times New Roman" w:hAnsi="Times New Roman"/>
          <w:sz w:val="21"/>
          <w:szCs w:val="21"/>
          <w:color w:val="auto"/>
          <w:strike w:val="1"/>
        </w:rPr>
        <w:t>BBB</w:t>
      </w:r>
      <w:r>
        <w:rPr>
          <w:rFonts w:ascii="Times New Roman" w:cs="Times New Roman" w:eastAsia="Times New Roman" w:hAnsi="Times New Roman"/>
          <w:sz w:val="21"/>
          <w:szCs w:val="21"/>
          <w:u w:val="single" w:color="auto"/>
          <w:color w:val="auto"/>
        </w:rPr>
        <w:t>the Required Rating</w:t>
      </w:r>
      <w:r>
        <w:rPr>
          <w:rFonts w:ascii="Times New Roman" w:cs="Times New Roman" w:eastAsia="Times New Roman" w:hAnsi="Times New Roman"/>
          <w:sz w:val="21"/>
          <w:szCs w:val="21"/>
          <w:color w:val="auto"/>
        </w:rPr>
        <w:t xml:space="preserve"> and (B) the rating of the Senior Loans by </w:t>
      </w:r>
      <w:r>
        <w:rPr>
          <w:rFonts w:ascii="Times New Roman" w:cs="Times New Roman" w:eastAsia="Times New Roman" w:hAnsi="Times New Roman"/>
          <w:sz w:val="21"/>
          <w:szCs w:val="21"/>
          <w:color w:val="auto"/>
          <w:strike w:val="1"/>
        </w:rPr>
        <w:t>Kroll</w:t>
      </w:r>
      <w:r>
        <w:rPr>
          <w:rFonts w:ascii="Times New Roman" w:cs="Times New Roman" w:eastAsia="Times New Roman" w:hAnsi="Times New Roman"/>
          <w:sz w:val="21"/>
          <w:szCs w:val="21"/>
          <w:u w:val="single" w:color="auto"/>
          <w:color w:val="auto"/>
        </w:rPr>
        <w:t>any 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Rating Agency</w:t>
      </w:r>
      <w:r>
        <w:rPr>
          <w:rFonts w:ascii="Times New Roman" w:cs="Times New Roman" w:eastAsia="Times New Roman" w:hAnsi="Times New Roman"/>
          <w:sz w:val="21"/>
          <w:szCs w:val="21"/>
          <w:color w:val="auto"/>
        </w:rPr>
        <w:t xml:space="preserve"> immediately prior to such incurrence of such </w:t>
      </w:r>
      <w:r>
        <w:rPr>
          <w:rFonts w:ascii="Times New Roman" w:cs="Times New Roman" w:eastAsia="Times New Roman" w:hAnsi="Times New Roman"/>
          <w:sz w:val="21"/>
          <w:szCs w:val="21"/>
          <w:color w:val="auto"/>
          <w:strike w:val="1"/>
        </w:rPr>
        <w:t>Supplemental</w:t>
      </w:r>
      <w:r>
        <w:rPr>
          <w:rFonts w:ascii="Times New Roman" w:cs="Times New Roman" w:eastAsia="Times New Roman" w:hAnsi="Times New Roman"/>
          <w:sz w:val="21"/>
          <w:szCs w:val="21"/>
          <w:u w:val="single" w:color="auto"/>
          <w:color w:val="auto"/>
        </w:rPr>
        <w:t>Funding Shortfall</w:t>
      </w:r>
      <w:r>
        <w:rPr>
          <w:rFonts w:ascii="Times New Roman" w:cs="Times New Roman" w:eastAsia="Times New Roman" w:hAnsi="Times New Roman"/>
          <w:sz w:val="21"/>
          <w:szCs w:val="21"/>
          <w:color w:val="auto"/>
        </w:rPr>
        <w:t xml:space="preserve"> Debt.</w:t>
      </w:r>
    </w:p>
    <w:p>
      <w:pPr>
        <w:spacing w:after="0" w:line="17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incur any Working Capital Debt unless each of the following conditions is satisfied:</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Working Capital Debt (including the then-outstanding funded and unfunded commitments in respect of the CD Revolving Loans) may not at any time exceed $3,000,000,000; and</w:t>
      </w:r>
    </w:p>
    <w:p>
      <w:pPr>
        <w:spacing w:after="0" w:line="163" w:lineRule="exact"/>
        <w:rPr>
          <w:rFonts w:ascii="Times New Roman" w:cs="Times New Roman" w:eastAsia="Times New Roman" w:hAnsi="Times New Roman"/>
          <w:sz w:val="22"/>
          <w:szCs w:val="22"/>
          <w:color w:val="auto"/>
        </w:rPr>
      </w:pPr>
    </w:p>
    <w:p>
      <w:pPr>
        <w:ind w:left="1960" w:hanging="656"/>
        <w:spacing w:after="0" w:line="275" w:lineRule="auto"/>
        <w:tabs>
          <w:tab w:leader="none" w:pos="1954"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 set forth in Section 2.3(c)(ii) (</w:t>
      </w:r>
      <w:r>
        <w:rPr>
          <w:rFonts w:ascii="Times New Roman" w:cs="Times New Roman" w:eastAsia="Times New Roman" w:hAnsi="Times New Roman"/>
          <w:sz w:val="22"/>
          <w:szCs w:val="22"/>
          <w:i w:val="1"/>
          <w:iCs w:val="1"/>
          <w:color w:val="auto"/>
        </w:rPr>
        <w:t>Working Capital Debt</w:t>
      </w:r>
      <w:r>
        <w:rPr>
          <w:rFonts w:ascii="Times New Roman" w:cs="Times New Roman" w:eastAsia="Times New Roman" w:hAnsi="Times New Roman"/>
          <w:sz w:val="22"/>
          <w:szCs w:val="22"/>
          <w:color w:val="auto"/>
        </w:rPr>
        <w:t>) of the Common Terms Agreement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-2439035</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-1950720</wp:posOffset>
            </wp:positionV>
            <wp:extent cx="1943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Maintenance of Designated Offtake Agreements</w:t>
      </w:r>
    </w:p>
    <w:p>
      <w:pPr>
        <w:spacing w:after="0" w:line="224" w:lineRule="exact"/>
        <w:rPr>
          <w:sz w:val="20"/>
          <w:szCs w:val="20"/>
          <w:color w:val="auto"/>
        </w:rPr>
      </w:pPr>
    </w:p>
    <w:p>
      <w:pPr>
        <w:jc w:val="both"/>
        <w:ind w:left="1300" w:hanging="644"/>
        <w:spacing w:after="0" w:line="247" w:lineRule="auto"/>
        <w:tabs>
          <w:tab w:leader="none" w:pos="1297"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at all times maintain Designated Offtake Agreements providing for commitments to purchase LNG in quantities at least equal to the Base Committed Quantity for each such Qualified Offtake Agreement’s applicable Qualified Term. If any Designated Offtake Agreement has terminated, the Borrower shall either (i) designate another Qualified Offtake Agreement or enter into one or more additional Designated Offtake Agreements within 180 days following such termination to the extent necessary to meet the Base Committed Quantity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end of such 180-day period, the Borrower is diligently pursuing one or more replacement Qualified Offtake Agreements, such period will be extended for an additional period (not to exceed ninety days) during which the Borrower reasonably expects to enter into such replacement Designated Offtake Agreement(s) as long as the implementation of such extension could not reasonably be expected to result in a Material Adverse Effect) or (ii) make a prepayment, offer to make a prepayment (including any offer pursuant to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or cancel commitments in respect of Senior Secured Debt. The principal amount of the Senior Secured Debt (which shall not extend to any Working Capital Debt unless only Working Capital Debt is then outstanding) that the Borrower shall repay or offer to prepay and/or the amount of undrawn Senior Secured Debt commitments that the Borrower shall cancel in accordance with the foregoing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be (x) the aggregate principal amount of Senior Secured Debt (excluding principal amounts with respect to Working Capital Debt unless only Working Capital Debt is then outstanding) then outstanding plus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Credit Agreement Projected DSCR of less than 1.20:1.00 for the period starting from the first Quarterly Payment Date for the repayment of principal after the end of the applicable cure period to the end of the calendar year in which such Quarterly Payment Date occurs, and for each calendar year thereafter through the Credit Agreement Maturity Date (based on a Base Case Forecast updated only to take into account each Designated Offtake Agreement in effect at such time (including any new Designated Offtake Agreements entered into to replace a Designated Offtake Agreement whose termination triggered the foregoing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permit the occurrence of any Impairment of any Required Export Authorization in respect of any Designated Offtake Agreement unless the Borrower:</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a reasonable remediation plan (setting forth in reasonable detail proposed steps to reinstate the Required Export Authorization, to designate any existing Qualified Offtake Agreement as a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-4107815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8" w:lineRule="exact"/>
        <w:rPr>
          <w:sz w:val="20"/>
          <w:szCs w:val="20"/>
          <w:color w:val="auto"/>
        </w:rPr>
      </w:pPr>
    </w:p>
    <w:p>
      <w:pPr>
        <w:jc w:val="both"/>
        <w:ind w:left="1960"/>
        <w:spacing w:after="0" w:line="253" w:lineRule="auto"/>
        <w:rPr>
          <w:sz w:val="20"/>
          <w:szCs w:val="20"/>
          <w:color w:val="auto"/>
        </w:rPr>
      </w:pPr>
      <w:r>
        <w:rPr>
          <w:rFonts w:ascii="Times New Roman" w:cs="Times New Roman" w:eastAsia="Times New Roman" w:hAnsi="Times New Roman"/>
          <w:sz w:val="22"/>
          <w:szCs w:val="22"/>
          <w:color w:val="auto"/>
        </w:rPr>
        <w:t>Offtake Agreement, or to modify any Designated Offtake Agreement arrangements, such as through diversions or alternative delivery or sale arrangements, such that such DOE Export Authorization is no longer a Required Export Authorization within 360 days following such occurrence) with respect to any or all such Designated Offtake Agreements (each such item an “</w:t>
      </w:r>
      <w:r>
        <w:rPr>
          <w:rFonts w:ascii="Times New Roman" w:cs="Times New Roman" w:eastAsia="Times New Roman" w:hAnsi="Times New Roman"/>
          <w:sz w:val="22"/>
          <w:szCs w:val="22"/>
          <w:b w:val="1"/>
          <w:bCs w:val="1"/>
          <w:color w:val="auto"/>
        </w:rPr>
        <w:t>Export Authorization Remediation</w:t>
      </w:r>
      <w:r>
        <w:rPr>
          <w:rFonts w:ascii="Times New Roman" w:cs="Times New Roman" w:eastAsia="Times New Roman" w:hAnsi="Times New Roman"/>
          <w:sz w:val="22"/>
          <w:szCs w:val="22"/>
          <w:color w:val="auto"/>
        </w:rPr>
        <w:t>”) within thirty days following such occurrence;</w:t>
      </w:r>
    </w:p>
    <w:p>
      <w:pPr>
        <w:spacing w:after="0" w:line="179" w:lineRule="exact"/>
        <w:rPr>
          <w:sz w:val="20"/>
          <w:szCs w:val="20"/>
          <w:color w:val="auto"/>
        </w:rPr>
      </w:pPr>
    </w:p>
    <w:p>
      <w:pPr>
        <w:ind w:left="1940" w:hanging="636"/>
        <w:spacing w:after="0"/>
        <w:tabs>
          <w:tab w:leader="none" w:pos="194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diligently pursues such Export Authorization Remediation; and</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60" w:lineRule="auto"/>
        <w:tabs>
          <w:tab w:leader="none" w:pos="1960"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causes such Export Authorization Remediation to take effect within 180 days following the occurrence of the Impairment;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have a further 180 days to effect an Export Authorization Remediation if the following conditions are met: (A) the Borrower is diligently pursuing its plan for the Export Authorization Remediation; (B) the Impairment of the Required Export Authorization of such Designated Offtake Agreement could not reasonably be expected to result in a Material Adverse Effect during such subsequent cure period; and (C) the Administrative Agent has received a certification from the Borrower, prior to the expiration of the initial 180 day period, confirming that the conditions in </w:t>
      </w:r>
      <w:r>
        <w:rPr>
          <w:rFonts w:ascii="Times New Roman" w:cs="Times New Roman" w:eastAsia="Times New Roman" w:hAnsi="Times New Roman"/>
          <w:sz w:val="21"/>
          <w:szCs w:val="21"/>
          <w:u w:val="single" w:color="auto"/>
          <w:color w:val="auto"/>
        </w:rPr>
        <w:t>subparts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proviso have been met, together with documentation reasonably supporting its certification, which may include, to the extent relevant and applicable, a description of the plans being undertaken for the Export Authorization Remediation (although commercially sensitive information may be omitted), any measures being taken by the Borrower to address the underlying cause of the Impairment to the extent relevant to the Impairment and Export Authorization Remediation, any legal measures being undertaken to reverse the Impairment, any interim cash flow mitigation measures being taken by the Borrower (including sales of spot cargoes), any modification to Offtake Agreement arrangements such that the Impaired DOE Export Authorization is no longer a Required Export Authorization with respect to any or all such Designated Offtake Agreements, and the impact on the Borrower projected Cash Flow during the subsequent cure period, and the Administrative Agent (acting at the instruction of the Majority Senior Lenders, which instructions shall be given by the Senior Lenders acting reasonably) has not objected to such certification within thirty days following delivery thereof.</w:t>
      </w:r>
    </w:p>
    <w:p>
      <w:pPr>
        <w:spacing w:after="0" w:line="173" w:lineRule="exact"/>
        <w:rPr>
          <w:rFonts w:ascii="Times New Roman" w:cs="Times New Roman" w:eastAsia="Times New Roman" w:hAnsi="Times New Roman"/>
          <w:sz w:val="21"/>
          <w:szCs w:val="21"/>
          <w:color w:val="auto"/>
        </w:rPr>
      </w:pPr>
    </w:p>
    <w:p>
      <w:pPr>
        <w:jc w:val="both"/>
        <w:ind w:left="1300" w:hanging="644"/>
        <w:spacing w:after="0" w:line="252" w:lineRule="auto"/>
        <w:tabs>
          <w:tab w:leader="none" w:pos="1297"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consent to any sale, transfer, assignment or disposition by any counterparty to a Designated Offtake Agreement of its interest in or rights or obligations under such Designated Offtake Agreement (if the Borrower has such consent rights under the applicable Designated Offtake Agreement) except for (i) as could not reasonably be expected to have a Material Adverse Effect, (ii)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-3631565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98"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1"/>
          <w:szCs w:val="21"/>
          <w:color w:val="auto"/>
        </w:rPr>
        <w:t>assignments and transfers permitted or contemplated in the P1 Collateral Documents, (iii) assignments by a counterparty to its Affiliate as contemplated in, and in accordance with the terms of, the applicable Designated Offtake Agreement, and (iv) any assignments to any other Person so long as, (A) after giving effect to such assignment, the Borrower shall have received written confirmation from any Recognized Credit Rating Agency to the effect that the Recognized Credit Rating Agency has considered the contemplated transaction and that, if such event occurs, such Recognized Credit Rating Agency would reaffirm the then current rating of the Senior Loans (or assign a higher rating) as of the date of such event or (B) the assignee of such Designated Offtake Agreement has at least one rating from any Recognized Credit Rating Agency that is the same or better than any rating of the original counterparty to such Designated Offtake Agreement by any Recognized Credit Rating Agency.</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Maintenance of Liens</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Without limiting the right of the Borrower to consummate Asset Sales in accordance with the Common Terms Agreement, the Borrower will preserve and maintain good, legal and valid title to, or rights in, the Collateral free and clear of Liens (other than Permitted Liens).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1"/>
          <w:szCs w:val="21"/>
          <w:b w:val="1"/>
          <w:bCs w:val="1"/>
          <w:color w:val="auto"/>
        </w:rPr>
        <w:t>Maintenance of Ratings</w:t>
      </w:r>
    </w:p>
    <w:p>
      <w:pPr>
        <w:spacing w:after="0" w:line="224"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 xml:space="preserve">The Borrower shall use its commercially reasonable efforts to cause the Senior Loans to be rated by </w:t>
      </w:r>
      <w:r>
        <w:rPr>
          <w:rFonts w:ascii="Times New Roman" w:cs="Times New Roman" w:eastAsia="Times New Roman" w:hAnsi="Times New Roman"/>
          <w:sz w:val="22"/>
          <w:szCs w:val="22"/>
          <w:color w:val="auto"/>
          <w:strike w:val="1"/>
        </w:rPr>
        <w:t>Kroll</w:t>
      </w:r>
      <w:r>
        <w:rPr>
          <w:rFonts w:ascii="Times New Roman" w:cs="Times New Roman" w:eastAsia="Times New Roman" w:hAnsi="Times New Roman"/>
          <w:sz w:val="22"/>
          <w:szCs w:val="22"/>
          <w:u w:val="single" w:color="auto"/>
          <w:color w:val="auto"/>
        </w:rPr>
        <w:t>any 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21"/>
          <w:szCs w:val="21"/>
          <w:b w:val="1"/>
          <w:bCs w:val="1"/>
          <w:color w:val="auto"/>
        </w:rPr>
        <w:t>Senior Loans DSRA</w:t>
      </w:r>
    </w:p>
    <w:p>
      <w:pPr>
        <w:spacing w:after="0" w:line="237" w:lineRule="exact"/>
        <w:rPr>
          <w:sz w:val="20"/>
          <w:szCs w:val="20"/>
          <w:color w:val="auto"/>
        </w:rPr>
      </w:pPr>
    </w:p>
    <w:p>
      <w:pPr>
        <w:jc w:val="both"/>
        <w:ind w:left="1300" w:hanging="644"/>
        <w:spacing w:after="0" w:line="250" w:lineRule="auto"/>
        <w:tabs>
          <w:tab w:leader="none" w:pos="1297"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on or prior to the Project Completion Date, the Borrower shall cause the Senior Loans DSRA to be funded in cash and/or by DSR Credit Support in accordance with the P1 Accounts Agreement in an amount equal to the Senior Loans Debt Service Reserve Amount. For the avoidance of doubt, other than as expressly provided in the foregoing sentence, the funding of the Senior Loans DSRA shall not otherwise be an affirmative covenant hereunder or under any other Senior Secured Credit Document.</w:t>
      </w:r>
    </w:p>
    <w:p>
      <w:pPr>
        <w:spacing w:after="0" w:line="180"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definition of “DSRA Reserve Amount” set forth in the P1 Accounts Agreement, the amount required to be funded pursuant to this Agreement shall be the Senior Loan Debt Service Reserve Amount.</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21"/>
          <w:szCs w:val="21"/>
          <w:b w:val="1"/>
          <w:bCs w:val="1"/>
          <w:color w:val="auto"/>
        </w:rPr>
        <w:t>Material Project Documents</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The Borrower shall not agree to any material amendment or termination of any Material Project Document (other than any RG Facility Agreement) to which it is or becomes a party unless (a) a copy of such amendment or termination has been delivered to the P1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98"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Intercreditor Agent in advance of the effective date thereof along with a certificate of an Authorized Officer of the Borrower certifying that the proposed amendment or termination could not reasonably be expected to have a Material Adverse Effect or (b) the Borrower has obtained the consent of the Administrative Agent (acting at the instruction of a majority of the Senior Lenders) to such amendment or termination.</w:t>
      </w:r>
    </w:p>
    <w:p>
      <w:pPr>
        <w:spacing w:after="0" w:line="1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7.9.</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237"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The Borrower will, and will cause each of its subsidiaries to, maintain, with an insurer of recognized financial responsibility,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21"/>
          <w:szCs w:val="21"/>
          <w:b w:val="1"/>
          <w:bCs w:val="1"/>
          <w:color w:val="auto"/>
        </w:rPr>
        <w:t>Maintenance of Properties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 xml:space="preserve">The Borrower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shall not prevent the Borrower or any subsidiary from discontinuing the operation and the maintenance of any of its properties if such discontinuance is desirable in the conduct of its business and the Borrower has concluded that such discontinuance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5310505</wp:posOffset>
            </wp:positionH>
            <wp:positionV relativeFrom="paragraph">
              <wp:posOffset>-527050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21"/>
          <w:szCs w:val="21"/>
          <w:b w:val="1"/>
          <w:bCs w:val="1"/>
          <w:color w:val="auto"/>
        </w:rPr>
        <w:t>Books and Records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1"/>
          <w:szCs w:val="21"/>
          <w:color w:val="auto"/>
        </w:rPr>
        <w:t>The Borrower will, and will cause each of its subsidiaries to, maintain proper books of record and account in conformity with GAAP and all applicable requirements of any governmental authority having legal or regulatory jurisdiction over the Borrower or such subsidiary, as the case may be. The Borrower will, and will cause each of its subsidiaries to, keep books, records and accounts which, in reasonable detail, accurately reflect all transactions and dispositions of assets. The Borrower and its subsidiaries have devised a system of internal accounting controls sufficient to provide reasonable assurances that their respective books, records, and accounts accurately reflect all transactions and dispositions of assets in all material respects and the Borrower will, and will cause each of its subsidiaries to, continue to maintain such system.</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21"/>
          <w:szCs w:val="21"/>
          <w:b w:val="1"/>
          <w:bCs w:val="1"/>
          <w:color w:val="auto"/>
        </w:rPr>
        <w:t>Inspection Reports</w:t>
      </w:r>
    </w:p>
    <w:p>
      <w:pPr>
        <w:spacing w:after="0" w:line="237"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Upon the request of the Majority Senior Lenders or, if an Event of Default has occurred and is continuing, any Senior Lender, the Administrative Agent will request the P1 Intercreditor Agent to promptly (x) exercise its rights under Section 4.11 (</w:t>
      </w:r>
      <w:r>
        <w:rPr>
          <w:rFonts w:ascii="Times New Roman" w:cs="Times New Roman" w:eastAsia="Times New Roman" w:hAnsi="Times New Roman"/>
          <w:sz w:val="22"/>
          <w:szCs w:val="22"/>
          <w:i w:val="1"/>
          <w:iCs w:val="1"/>
          <w:color w:val="auto"/>
        </w:rPr>
        <w:t>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9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i w:val="1"/>
          <w:iCs w:val="1"/>
          <w:color w:val="auto"/>
        </w:rPr>
        <w:t>Inspections</w:t>
      </w:r>
      <w:r>
        <w:rPr>
          <w:rFonts w:ascii="Times New Roman" w:cs="Times New Roman" w:eastAsia="Times New Roman" w:hAnsi="Times New Roman"/>
          <w:sz w:val="22"/>
          <w:szCs w:val="22"/>
          <w:color w:val="auto"/>
        </w:rPr>
        <w:t>) of the Common Terms Agreement with respect to such matters referred to therein as may be requested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Senior Lender(s) in a written notice to the Administrative Agent and (y) deliver to the Administrative Agent (for further delivery to all Senior Lenders) a reasonably detailed report in respect of any exercise of the P1 Intercreditor Agent’s rights under Section 4.11 (</w:t>
      </w:r>
      <w:r>
        <w:rPr>
          <w:rFonts w:ascii="Times New Roman" w:cs="Times New Roman" w:eastAsia="Times New Roman" w:hAnsi="Times New Roman"/>
          <w:sz w:val="22"/>
          <w:szCs w:val="22"/>
          <w:i w:val="1"/>
          <w:iCs w:val="1"/>
          <w:color w:val="auto"/>
        </w:rPr>
        <w:t>Access; Inspections</w:t>
      </w:r>
      <w:r>
        <w:rPr>
          <w:rFonts w:ascii="Times New Roman" w:cs="Times New Roman" w:eastAsia="Times New Roman" w:hAnsi="Times New Roman"/>
          <w:sz w:val="22"/>
          <w:szCs w:val="22"/>
          <w:color w:val="auto"/>
        </w:rPr>
        <w:t>) of the Common Terms Agreement with respect to the matters requested by the Senior Lenders in such notice to the Administrative Agent. In any case, any such report shall be subject to the confidentiality provisions of Section 15.15 (</w:t>
      </w:r>
      <w:r>
        <w:rPr>
          <w:rFonts w:ascii="Times New Roman" w:cs="Times New Roman" w:eastAsia="Times New Roman" w:hAnsi="Times New Roman"/>
          <w:sz w:val="22"/>
          <w:szCs w:val="22"/>
          <w:i w:val="1"/>
          <w:iCs w:val="1"/>
          <w:color w:val="auto"/>
        </w:rPr>
        <w:t>Termination of Certain Information; Confidentiality</w:t>
      </w:r>
      <w:r>
        <w:rPr>
          <w:rFonts w:ascii="Times New Roman" w:cs="Times New Roman" w:eastAsia="Times New Roman" w:hAnsi="Times New Roman"/>
          <w:sz w:val="22"/>
          <w:szCs w:val="22"/>
          <w:color w:val="auto"/>
        </w:rPr>
        <w:t>) of the Collateral and Intercreditor Agreement or analogous confidentiality restrictions required by the Borrower.</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7.13.</w:t>
      </w:r>
      <w:r>
        <w:rPr>
          <w:sz w:val="20"/>
          <w:szCs w:val="20"/>
          <w:color w:val="auto"/>
        </w:rPr>
        <w:tab/>
      </w:r>
      <w:r>
        <w:rPr>
          <w:rFonts w:ascii="Times New Roman" w:cs="Times New Roman" w:eastAsia="Times New Roman" w:hAnsi="Times New Roman"/>
          <w:sz w:val="21"/>
          <w:szCs w:val="21"/>
          <w:b w:val="1"/>
          <w:bCs w:val="1"/>
          <w:color w:val="auto"/>
        </w:rPr>
        <w:t>Sanctions Regulations, Etc.</w:t>
      </w:r>
    </w:p>
    <w:p>
      <w:pPr>
        <w:spacing w:after="0" w:line="224"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The Borrower shall, and shall cause each of its subsidiaries to, comply in all material respects with Sanctions Regulations. Without limiting the foregoing, the Borrower agrees that if it obtains knowledge or receives any notice that the Borrower or its subsidiaries or any Person holding a legal or beneficial interest therein (whether directly or indirectly) is or becomes a Restricted Person, then the Borrower will comply with all applicable Sanctions Regulations with respect thereto. The Borrower will not, and will not permit any Person to directly or knowingly indirectly have any investment in or engage in any dealing or transaction (including using, lending, making payments of, contributing or otherwise making available, all or any part of, the proceeds of the Senior Loans or other transactions contemplated by this Agreement or any other Financing Document) with any Person if such investment, dealing or transaction (a) involves or is for the benefit of any Restricted Person or any Sanctioned Country except to the extent permitted for a Person required to comply with Sanctions Regulations, (b) would cause any Senior Lender or any Affiliate of such Senior Lender to be in violation of, or the subject of applicable Sanctions Regulations or (c) in any other manner that could reasonably be expected to result in any Person being in breach of any Sanctions Regulations (if any to the extent applicable to any of them) or becoming a Restricted Person.</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7.14.</w:t>
      </w:r>
      <w:r>
        <w:rPr>
          <w:sz w:val="20"/>
          <w:szCs w:val="20"/>
          <w:color w:val="auto"/>
        </w:rPr>
        <w:tab/>
      </w:r>
      <w:r>
        <w:rPr>
          <w:rFonts w:ascii="Times New Roman" w:cs="Times New Roman" w:eastAsia="Times New Roman" w:hAnsi="Times New Roman"/>
          <w:sz w:val="21"/>
          <w:szCs w:val="21"/>
          <w:b w:val="1"/>
          <w:bCs w:val="1"/>
          <w:color w:val="auto"/>
        </w:rPr>
        <w:t>Designated Offtake Agreements</w:t>
      </w:r>
    </w:p>
    <w:p>
      <w:pPr>
        <w:spacing w:after="0" w:line="224"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22"/>
          <w:szCs w:val="22"/>
          <w:color w:val="auto"/>
        </w:rPr>
        <w:t>Within thirty days after executing a Designated Offtake Agreement, the Borrower shall deliver to the Administrative Agent a Consent Agreement with respect to such Designated Offtake Agreement.</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7.15.</w:t>
      </w:r>
      <w:r>
        <w:rPr>
          <w:sz w:val="20"/>
          <w:szCs w:val="20"/>
          <w:color w:val="auto"/>
        </w:rPr>
        <w:tab/>
      </w:r>
      <w:r>
        <w:rPr>
          <w:rFonts w:ascii="Times New Roman" w:cs="Times New Roman" w:eastAsia="Times New Roman" w:hAnsi="Times New Roman"/>
          <w:sz w:val="21"/>
          <w:szCs w:val="21"/>
          <w:b w:val="1"/>
          <w:bCs w:val="1"/>
          <w:color w:val="auto"/>
        </w:rPr>
        <w:t>Accounts</w:t>
      </w:r>
    </w:p>
    <w:p>
      <w:pPr>
        <w:spacing w:after="0" w:line="224" w:lineRule="exact"/>
        <w:rPr>
          <w:sz w:val="20"/>
          <w:szCs w:val="20"/>
          <w:color w:val="auto"/>
        </w:rPr>
      </w:pPr>
    </w:p>
    <w:p>
      <w:pPr>
        <w:jc w:val="both"/>
        <w:ind w:left="640" w:right="20"/>
        <w:spacing w:after="0" w:line="271" w:lineRule="auto"/>
        <w:rPr>
          <w:sz w:val="20"/>
          <w:szCs w:val="20"/>
          <w:color w:val="auto"/>
        </w:rPr>
      </w:pPr>
      <w:r>
        <w:rPr>
          <w:rFonts w:ascii="Times New Roman" w:cs="Times New Roman" w:eastAsia="Times New Roman" w:hAnsi="Times New Roman"/>
          <w:sz w:val="22"/>
          <w:szCs w:val="22"/>
          <w:color w:val="auto"/>
        </w:rPr>
        <w:t>The Borrower shall not establish any bank accounts other than the P1 Accounts, the Distribution Account, and the Common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21"/>
          <w:szCs w:val="21"/>
          <w:b w:val="1"/>
          <w:bCs w:val="1"/>
          <w:color w:val="auto"/>
        </w:rPr>
        <w:t>Limitation on Formation of Controlled Subsidiaries</w:t>
      </w:r>
    </w:p>
    <w:p>
      <w:pPr>
        <w:spacing w:after="0" w:line="224"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The Borrower shall not form or create any new Controlled Subsidiaries other than the RG Facility Entities (during any period when such RG Facility Entities remain Controlled Subsidiaries).</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7.17.</w:t>
      </w:r>
      <w:r>
        <w:rPr>
          <w:sz w:val="20"/>
          <w:szCs w:val="20"/>
          <w:color w:val="auto"/>
        </w:rPr>
        <w:tab/>
      </w:r>
      <w:r>
        <w:rPr>
          <w:rFonts w:ascii="Times New Roman" w:cs="Times New Roman" w:eastAsia="Times New Roman" w:hAnsi="Times New Roman"/>
          <w:sz w:val="21"/>
          <w:szCs w:val="21"/>
          <w:b w:val="1"/>
          <w:bCs w:val="1"/>
          <w:color w:val="auto"/>
        </w:rPr>
        <w:t>Historical DSCR</w:t>
      </w:r>
    </w:p>
    <w:p>
      <w:pPr>
        <w:spacing w:after="0" w:line="224" w:lineRule="exact"/>
        <w:rPr>
          <w:sz w:val="20"/>
          <w:szCs w:val="20"/>
          <w:color w:val="auto"/>
        </w:rPr>
      </w:pPr>
    </w:p>
    <w:p>
      <w:pPr>
        <w:jc w:val="both"/>
        <w:ind w:left="1300" w:hanging="644"/>
        <w:spacing w:after="0" w:line="257" w:lineRule="auto"/>
        <w:tabs>
          <w:tab w:leader="none" w:pos="129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Together with the delivery of financial statements in accordance with </w:t>
      </w:r>
      <w:r>
        <w:rPr>
          <w:rFonts w:ascii="Times New Roman" w:cs="Times New Roman" w:eastAsia="Times New Roman" w:hAnsi="Times New Roman"/>
          <w:sz w:val="22"/>
          <w:szCs w:val="22"/>
          <w:u w:val="single" w:color="auto"/>
          <w:color w:val="auto"/>
        </w:rPr>
        <w:t>Section 8.1(a)(ii)</w:t>
      </w:r>
      <w:r>
        <w:rPr>
          <w:rFonts w:ascii="Times New Roman" w:cs="Times New Roman" w:eastAsia="Times New Roman" w:hAnsi="Times New Roman"/>
          <w:sz w:val="22"/>
          <w:szCs w:val="22"/>
          <w:color w:val="auto"/>
        </w:rPr>
        <w:t xml:space="preserve"> in respect of each full Fiscal Quarter occurring after the Initial Principal Payment Date, the Borrower shall calculate and deliver to the Administrative Agent and the Senior Lenders its calculation of the Historical DSCR.</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295"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 permit the Historical DSCR as of the end of any Fiscal Quarter from and following the Initial Principal Payment Date to be less than 1.10 to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failure to meet the required ratio as a result of a failure to maintain a Designated Offtake Agreement shall be addressed pursuant to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and not pursuant this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notwithstanding anything to the contrary herein or in any P1 Financing Document, if the Historical DSCR as of the end of any Fiscal Quarter following the Initial Principal Payment Date is (or would be) less than 1.10 to 1.00, then any direct or indirect owner of the Borrower shall have the right to provide cash to the Borrower, not later than twenty Business Days following the date of delivery of the calculation of the Historical DSCR as required pursuant to </w:t>
      </w:r>
      <w:r>
        <w:rPr>
          <w:rFonts w:ascii="Times New Roman" w:cs="Times New Roman" w:eastAsia="Times New Roman" w:hAnsi="Times New Roman"/>
          <w:sz w:val="21"/>
          <w:szCs w:val="21"/>
          <w:u w:val="single" w:color="auto"/>
          <w:color w:val="auto"/>
        </w:rPr>
        <w:t>Section 7.17(a)</w:t>
      </w:r>
      <w:r>
        <w:rPr>
          <w:rFonts w:ascii="Times New Roman" w:cs="Times New Roman" w:eastAsia="Times New Roman" w:hAnsi="Times New Roman"/>
          <w:sz w:val="21"/>
          <w:szCs w:val="21"/>
          <w:color w:val="auto"/>
        </w:rPr>
        <w:t xml:space="preserve"> by (i) transferring from the Distribution Account to the P1 Revenue Account or (ii) causing the Equity Owners to deposit in the P1 Revenue Account such amount as, when added to the otherwise applicable Cash Flow for purposes of calculating Historical CFADS for the applicable period, would cause the Historical DSCR for such period to equal or exceed 1.10 to 1.00 (and upon such transfer or deposit, any default under this </w:t>
      </w:r>
      <w:r>
        <w:rPr>
          <w:rFonts w:ascii="Times New Roman" w:cs="Times New Roman" w:eastAsia="Times New Roman" w:hAnsi="Times New Roman"/>
          <w:sz w:val="21"/>
          <w:szCs w:val="21"/>
          <w:u w:val="single" w:color="auto"/>
          <w:color w:val="auto"/>
        </w:rPr>
        <w:t>Section 7.17(b)</w:t>
      </w:r>
      <w:r>
        <w:rPr>
          <w:rFonts w:ascii="Times New Roman" w:cs="Times New Roman" w:eastAsia="Times New Roman" w:hAnsi="Times New Roman"/>
          <w:sz w:val="21"/>
          <w:szCs w:val="21"/>
          <w:color w:val="auto"/>
        </w:rPr>
        <w:t xml:space="preserve"> shall be deemed immediately cured)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have the right to cure a default of this </w:t>
      </w:r>
      <w:r>
        <w:rPr>
          <w:rFonts w:ascii="Times New Roman" w:cs="Times New Roman" w:eastAsia="Times New Roman" w:hAnsi="Times New Roman"/>
          <w:sz w:val="21"/>
          <w:szCs w:val="21"/>
          <w:u w:val="single" w:color="auto"/>
          <w:color w:val="auto"/>
        </w:rPr>
        <w:t>Section 7.17(b)</w:t>
      </w:r>
      <w:r>
        <w:rPr>
          <w:rFonts w:ascii="Times New Roman" w:cs="Times New Roman" w:eastAsia="Times New Roman" w:hAnsi="Times New Roman"/>
          <w:sz w:val="21"/>
          <w:szCs w:val="21"/>
          <w:color w:val="auto"/>
        </w:rPr>
        <w:t xml:space="preserve"> by operation hereof in respect of more than six Fiscal Quarters in aggregate prior to the Credit Agreement Maturity Date and in each four consecutive Fiscal Quarter period there shall be at least two Fiscal Quarters in which no cure of a default of this </w:t>
      </w:r>
      <w:r>
        <w:rPr>
          <w:rFonts w:ascii="Times New Roman" w:cs="Times New Roman" w:eastAsia="Times New Roman" w:hAnsi="Times New Roman"/>
          <w:sz w:val="21"/>
          <w:szCs w:val="21"/>
          <w:u w:val="single" w:color="auto"/>
          <w:color w:val="auto"/>
        </w:rPr>
        <w:t>Section 7.17(b)</w:t>
      </w:r>
      <w:r>
        <w:rPr>
          <w:rFonts w:ascii="Times New Roman" w:cs="Times New Roman" w:eastAsia="Times New Roman" w:hAnsi="Times New Roman"/>
          <w:sz w:val="21"/>
          <w:szCs w:val="21"/>
          <w:color w:val="auto"/>
        </w:rPr>
        <w:t xml:space="preserve"> shall have been made (it being expressly understood and agreed that a cure of a default of this </w:t>
      </w:r>
      <w:r>
        <w:rPr>
          <w:rFonts w:ascii="Times New Roman" w:cs="Times New Roman" w:eastAsia="Times New Roman" w:hAnsi="Times New Roman"/>
          <w:sz w:val="21"/>
          <w:szCs w:val="21"/>
          <w:u w:val="single" w:color="auto"/>
          <w:color w:val="auto"/>
        </w:rPr>
        <w:t>Section 7.17(b)</w:t>
      </w:r>
      <w:r>
        <w:rPr>
          <w:rFonts w:ascii="Times New Roman" w:cs="Times New Roman" w:eastAsia="Times New Roman" w:hAnsi="Times New Roman"/>
          <w:sz w:val="21"/>
          <w:szCs w:val="21"/>
          <w:color w:val="auto"/>
        </w:rPr>
        <w:t xml:space="preserve"> may be exercised in consecutive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-2494915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-2169160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6893560</wp:posOffset>
            </wp:positionH>
            <wp:positionV relativeFrom="paragraph">
              <wp:posOffset>-857885</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21"/>
          <w:szCs w:val="21"/>
          <w:b w:val="1"/>
          <w:bCs w:val="1"/>
          <w:color w:val="auto"/>
        </w:rPr>
        <w:t>Merger, Consolidation, or Sale of Assets</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The Borrower may not, directly or indirectly: consolidate, amalgamate or merge with or into another Person (regardless of whether the Borrower is the surviving entity); convert into another form of entity or continue in another jurisdiction where such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9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continuance would be adverse in any material respect to the Senior Lenders; sell, assign, transfer, lease, convey or otherwise dispose of all or substantially all of its properties or assets, in one or more related transactions, to another Person; or dissolve, liquidate, terminate, reorganize or wind up nor take any action to amend or modify its corporate constituent or governing documents where such amendment would be adverse in any material respect to the Senior Lenders, unless:</w:t>
      </w:r>
    </w:p>
    <w:p>
      <w:pPr>
        <w:spacing w:after="0" w:line="165" w:lineRule="exact"/>
        <w:rPr>
          <w:sz w:val="20"/>
          <w:szCs w:val="20"/>
          <w:color w:val="auto"/>
        </w:rPr>
      </w:pPr>
    </w:p>
    <w:p>
      <w:pPr>
        <w:jc w:val="both"/>
        <w:ind w:left="1300" w:hanging="644"/>
        <w:spacing w:after="0" w:line="257" w:lineRule="auto"/>
        <w:tabs>
          <w:tab w:leader="none" w:pos="129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Reaffirmation shall have occurred and, so long as the SSD Discharge Date with respect to the Senior Secured Debt under the CD Senior Notes Indenture has not occurred, a CD Indenture Rating Reaffirmation shall have occurred; or</w:t>
      </w:r>
    </w:p>
    <w:p>
      <w:pPr>
        <w:spacing w:after="0" w:line="172"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action or transaction has been approved by the Administrative Agent acting at the instruction of the Majority Senior Lenders.</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7.19.</w:t>
      </w:r>
      <w:r>
        <w:rPr>
          <w:sz w:val="20"/>
          <w:szCs w:val="20"/>
          <w:color w:val="auto"/>
        </w:rPr>
        <w:tab/>
      </w:r>
      <w:r>
        <w:rPr>
          <w:rFonts w:ascii="Times New Roman" w:cs="Times New Roman" w:eastAsia="Times New Roman" w:hAnsi="Times New Roman"/>
          <w:sz w:val="21"/>
          <w:szCs w:val="21"/>
          <w:b w:val="1"/>
          <w:bCs w:val="1"/>
          <w:color w:val="auto"/>
        </w:rPr>
        <w:t>Capital Improvements</w:t>
      </w:r>
    </w:p>
    <w:p>
      <w:pPr>
        <w:spacing w:after="0" w:line="220" w:lineRule="exact"/>
        <w:rPr>
          <w:sz w:val="20"/>
          <w:szCs w:val="20"/>
          <w:color w:val="auto"/>
        </w:rPr>
      </w:pPr>
    </w:p>
    <w:p>
      <w:pPr>
        <w:jc w:val="both"/>
        <w:ind w:left="1300" w:hanging="644"/>
        <w:spacing w:after="0" w:line="264" w:lineRule="auto"/>
        <w:tabs>
          <w:tab w:leader="none" w:pos="1297"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7.19(b)</w:t>
      </w:r>
      <w:r>
        <w:rPr>
          <w:rFonts w:ascii="Times New Roman" w:cs="Times New Roman" w:eastAsia="Times New Roman" w:hAnsi="Times New Roman"/>
          <w:sz w:val="21"/>
          <w:szCs w:val="21"/>
          <w:color w:val="auto"/>
        </w:rPr>
        <w:t xml:space="preserve"> and notwithstanding anything to the contrary in Section 5.14 (</w:t>
      </w:r>
      <w:r>
        <w:rPr>
          <w:rFonts w:ascii="Times New Roman" w:cs="Times New Roman" w:eastAsia="Times New Roman" w:hAnsi="Times New Roman"/>
          <w:sz w:val="21"/>
          <w:szCs w:val="21"/>
          <w:i w:val="1"/>
          <w:iCs w:val="1"/>
          <w:color w:val="auto"/>
        </w:rPr>
        <w:t>Capital Improvements</w:t>
      </w:r>
      <w:r>
        <w:rPr>
          <w:rFonts w:ascii="Times New Roman" w:cs="Times New Roman" w:eastAsia="Times New Roman" w:hAnsi="Times New Roman"/>
          <w:sz w:val="21"/>
          <w:szCs w:val="21"/>
          <w:color w:val="auto"/>
        </w:rPr>
        <w:t>) of the Common Terms Agreement, the Borrower shall not make any Discretionary Capital Improvements that are Major Capital Improvements or are funded by Supplemental Debt unless (i) (A) the plans and specifications of such Discretionary Capital Improvement have been reviewed and confirmed reasonable by the Independent Engineer in the Capital Improvement IE Certificate and (B) the Independent Engineer confirms in the Capital Improvement IE Certificate that such Discretionary Capital Improvement could not reasonably be expected to have a material and adverse impact on the Project or (ii) such Capital Improvements constitute Restoration Work.</w:t>
      </w:r>
    </w:p>
    <w:p>
      <w:pPr>
        <w:spacing w:after="0" w:line="169" w:lineRule="exact"/>
        <w:rPr>
          <w:rFonts w:ascii="Times New Roman" w:cs="Times New Roman" w:eastAsia="Times New Roman" w:hAnsi="Times New Roman"/>
          <w:sz w:val="21"/>
          <w:szCs w:val="21"/>
          <w:color w:val="auto"/>
        </w:rPr>
      </w:pPr>
    </w:p>
    <w:p>
      <w:pPr>
        <w:jc w:val="both"/>
        <w:ind w:left="1300" w:hanging="644"/>
        <w:spacing w:after="0" w:line="250" w:lineRule="auto"/>
        <w:tabs>
          <w:tab w:leader="none" w:pos="129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only fund Permitted Capital Improvements using (i) proceeds of Supplemental Debt, (ii) capital contributions or Permitted Subordinated Debt provided by the Pledgor or the Equity Owners that are in addition to the Cash Equity Financing, (iii) such funds on deposit in the Distribution Account or the P1 Distribution Reserve Account that are permitted to be distributed pursuant to Section 3.7 (</w:t>
      </w:r>
      <w:r>
        <w:rPr>
          <w:rFonts w:ascii="Times New Roman" w:cs="Times New Roman" w:eastAsia="Times New Roman" w:hAnsi="Times New Roman"/>
          <w:sz w:val="22"/>
          <w:szCs w:val="22"/>
          <w:i w:val="1"/>
          <w:iCs w:val="1"/>
          <w:color w:val="auto"/>
        </w:rPr>
        <w:t>P1 Distribution Reserve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of the P1 Accounts Agreement, (iv) Loss Proceeds, or (v) Indebtedness referred to in clause (m)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definition of Permitted Indebtedness. Prior to the commencement of work on such Permitted Capital Improvements, the Borrower shall provide evidence satisfactory to the P1 Administrative Agent that it has funds required to pay its allocated share of such Permitted Capital Improvements under the CFAA from the sources described in the previous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94"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COVENANTS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 xml:space="preserve">The Borrower covenants and agrees that until the Discharge Date, it shall perform or observe or cause to be performed or observed (as applicable) each of the obligations set forth in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in favor and for the benefit of the Administrative Agent and each Senior Lender.</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Reports</w:t>
      </w:r>
    </w:p>
    <w:p>
      <w:pPr>
        <w:spacing w:after="0" w:line="237" w:lineRule="exact"/>
        <w:rPr>
          <w:sz w:val="20"/>
          <w:szCs w:val="20"/>
          <w:color w:val="auto"/>
        </w:rPr>
      </w:pPr>
    </w:p>
    <w:p>
      <w:pPr>
        <w:jc w:val="both"/>
        <w:ind w:left="1300" w:hanging="644"/>
        <w:spacing w:after="0" w:line="261" w:lineRule="auto"/>
        <w:tabs>
          <w:tab w:leader="none" w:pos="1297"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furnish or cause to be furnished to the Administrative Agent (i) annual audited consolidated financial statements of the Borrower prepared in accordance with GAAP (together with notes thereto and a report thereon by an independent accountant of established national reputation), such statements to be so furnished within 120 days after the end of the Fiscal Year covered thereby and (ii) unaudited consolidated financial statements of the Borrower for each of the first three Fiscal Quarters of each Fiscal Year and the corresponding quarter and year-to-year period of the prior year prepared in all material respects on a basis consistent with the annual consolidated financial statements furnished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such statements to be so furnished within sixty days after the end of each such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give each Senior Lender prior written notice, which may be by e-mail, of the posting or filing of any financial statements pursuant to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upon request of any holder to receive paper copies of such forms, financial statements, other information and Officer’s Certificates or to receive them by email, the Borrower will promptly deliver paper copies or email them, as the case may be, to such holder.</w:t>
      </w:r>
    </w:p>
    <w:p>
      <w:pPr>
        <w:spacing w:after="0" w:line="169" w:lineRule="exact"/>
        <w:rPr>
          <w:rFonts w:ascii="Times New Roman" w:cs="Times New Roman" w:eastAsia="Times New Roman" w:hAnsi="Times New Roman"/>
          <w:sz w:val="21"/>
          <w:szCs w:val="21"/>
          <w:color w:val="auto"/>
        </w:rPr>
      </w:pPr>
    </w:p>
    <w:p>
      <w:pPr>
        <w:jc w:val="both"/>
        <w:ind w:left="1300" w:hanging="644"/>
        <w:spacing w:after="0" w:line="251" w:lineRule="auto"/>
        <w:tabs>
          <w:tab w:leader="none" w:pos="1295"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comply with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by posting the information described herein on a website or online data system no later than the date that the Borrower is required to provide those reports to the Administrative Agent and maintaining such posting for so long as any Senior Loans remain outstanding. Access to such reports on such website or online data system may be subject to a confidentiality acknowledgment and password protection;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other conditions may be imposed on access to such reports other than a representation by the Person accessing such reports that it is the Administrative Agent or a Senior Lender.</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such reports, information and documents to the Administrative Agent is for informational purposes only and the Administrative Agent’s receipt of such shall not constitute actual or constructive knowledge or notice of any information contained therein or determinable from information contained therein, including the Borrower’s compliance with any of its covenants hereunder (as to which the Administrative Agent is entitled to rely exclusively on Officer’s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-2783205</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3138170</wp:posOffset>
            </wp:positionH>
            <wp:positionV relativeFrom="paragraph">
              <wp:posOffset>-2457450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-1162685</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98" w:lineRule="exact"/>
        <w:rPr>
          <w:sz w:val="20"/>
          <w:szCs w:val="20"/>
          <w:color w:val="auto"/>
        </w:rPr>
      </w:pPr>
    </w:p>
    <w:p>
      <w:pPr>
        <w:jc w:val="both"/>
        <w:ind w:left="1300" w:hanging="644"/>
        <w:spacing w:after="0" w:line="257" w:lineRule="auto"/>
        <w:tabs>
          <w:tab w:leader="none" w:pos="129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any reports or other information required to be filed, delivered or furnished pursuant to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be deemed filed, delivered or furnished if filed electronically with the SEC through the SEC’s Electronic Data Gathering, Analysis and Retrieval System (or any successor system).</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7"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following receipt from the Borrower or the P1 Intercreditor Agent, shall furnish or cause to be furnished to each Senior Lender such information as the Administrative Agent receives pursuant to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from the P1 Intercreditor Agent pursuant to Article 6 (</w:t>
      </w:r>
      <w:r>
        <w:rPr>
          <w:rFonts w:ascii="Times New Roman" w:cs="Times New Roman" w:eastAsia="Times New Roman" w:hAnsi="Times New Roman"/>
          <w:sz w:val="22"/>
          <w:szCs w:val="22"/>
          <w:i w:val="1"/>
          <w:iCs w:val="1"/>
          <w:color w:val="auto"/>
        </w:rPr>
        <w:t>Reporting Requirements</w:t>
      </w:r>
      <w:r>
        <w:rPr>
          <w:rFonts w:ascii="Times New Roman" w:cs="Times New Roman" w:eastAsia="Times New Roman" w:hAnsi="Times New Roman"/>
          <w:sz w:val="22"/>
          <w:szCs w:val="22"/>
          <w:color w:val="auto"/>
        </w:rPr>
        <w:t>) of the Common Terms Agreement, in each case, promptly after receipt of such information by the Administrative Agent, unless such information is required to be delivered by the Borrower directly to the Senior Lenders pursuant to this Agreement.</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and in any event within five Business Days, after receipt from the CASA Advisor (as defined in the P1 CASA), deliver to the Administrative Agent and the Senior Lenders a copy of any material written statement, budget, plan or reports and any notice pursuant to Section 5.5 (</w:t>
      </w:r>
      <w:r>
        <w:rPr>
          <w:rFonts w:ascii="Times New Roman" w:cs="Times New Roman" w:eastAsia="Times New Roman" w:hAnsi="Times New Roman"/>
          <w:sz w:val="22"/>
          <w:szCs w:val="22"/>
          <w:i w:val="1"/>
          <w:iCs w:val="1"/>
          <w:color w:val="auto"/>
        </w:rPr>
        <w:t>Variance in a P1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Budget</w:t>
      </w:r>
      <w:r>
        <w:rPr>
          <w:rFonts w:ascii="Times New Roman" w:cs="Times New Roman" w:eastAsia="Times New Roman" w:hAnsi="Times New Roman"/>
          <w:sz w:val="22"/>
          <w:szCs w:val="22"/>
          <w:color w:val="auto"/>
        </w:rPr>
        <w:t>) of the P1 CASA, in each case, delivered to the Borrower under the P1 CASA (including any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budget, plan or report with respect to the Rio Grande Facility).</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thirty days after the end of each month up to and including the month during which the Project Completion Date occurs, the Borrower shall deliver to the Administrative Agent and Senior Lenders a monthly construction report from the Independent Engineer regarding the construction activities in relation to the Project carried out during such month based on the report delivered by the CASA Advisor under Section 3.3(j) (</w:t>
      </w:r>
      <w:r>
        <w:rPr>
          <w:rFonts w:ascii="Times New Roman" w:cs="Times New Roman" w:eastAsia="Times New Roman" w:hAnsi="Times New Roman"/>
          <w:sz w:val="22"/>
          <w:szCs w:val="22"/>
          <w:i w:val="1"/>
          <w:iCs w:val="1"/>
          <w:color w:val="auto"/>
        </w:rPr>
        <w:t>Requirements of Independent Engineers</w:t>
      </w:r>
      <w:r>
        <w:rPr>
          <w:rFonts w:ascii="Times New Roman" w:cs="Times New Roman" w:eastAsia="Times New Roman" w:hAnsi="Times New Roman"/>
          <w:sz w:val="22"/>
          <w:szCs w:val="22"/>
          <w:color w:val="auto"/>
        </w:rPr>
        <w:t>) of the P1 CASA and such other information reasonably requested by the Independent Engineer.</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and in any event within five Business Days, after receipt from the Operator, deliver to the Administrative Agent and the Senior Lenders a copy of any annual reports delivered pursuant to Section 3.7.4 (</w:t>
      </w:r>
      <w:r>
        <w:rPr>
          <w:rFonts w:ascii="Times New Roman" w:cs="Times New Roman" w:eastAsia="Times New Roman" w:hAnsi="Times New Roman"/>
          <w:sz w:val="22"/>
          <w:szCs w:val="22"/>
          <w:i w:val="1"/>
          <w:iCs w:val="1"/>
          <w:color w:val="auto"/>
        </w:rPr>
        <w:t>Annual Reports</w:t>
      </w:r>
      <w:r>
        <w:rPr>
          <w:rFonts w:ascii="Times New Roman" w:cs="Times New Roman" w:eastAsia="Times New Roman" w:hAnsi="Times New Roman"/>
          <w:sz w:val="22"/>
          <w:szCs w:val="22"/>
          <w:color w:val="auto"/>
        </w:rPr>
        <w:t>) of the O&amp;M Agreement delivered to the Borrower under the O&amp;M Agreement.</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w:t>
      </w:r>
    </w:p>
    <w:p>
      <w:pPr>
        <w:spacing w:after="0" w:line="233"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948"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unless otherwise specified, deliver within five Business Days after the Borrower obtains Knowledge of any of the following, written notice to the Administrative Agent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8" w:lineRule="exact"/>
        <w:rPr>
          <w:sz w:val="20"/>
          <w:szCs w:val="20"/>
          <w:color w:val="auto"/>
        </w:rPr>
      </w:pPr>
    </w:p>
    <w:p>
      <w:pPr>
        <w:jc w:val="both"/>
        <w:ind w:left="2600" w:hanging="648"/>
        <w:spacing w:after="0" w:line="257" w:lineRule="auto"/>
        <w:tabs>
          <w:tab w:leader="none" w:pos="2589"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cessation of material activities related to the development, construction, operation and/or maintenance of the Project not otherwise reflected in the Construction Budget and Schedule and that could reasonably be expected to exceed sixty consecutive days;</w:t>
      </w:r>
    </w:p>
    <w:p>
      <w:pPr>
        <w:spacing w:after="0" w:line="186"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ultimate beneficial ownership information of Borrower required to be provided in the Beneficial Ownership Certification most recently delivered to the Administrative Agent;</w:t>
      </w:r>
    </w:p>
    <w:p>
      <w:pPr>
        <w:spacing w:after="0" w:line="157" w:lineRule="exact"/>
        <w:rPr>
          <w:rFonts w:ascii="Times New Roman" w:cs="Times New Roman" w:eastAsia="Times New Roman" w:hAnsi="Times New Roman"/>
          <w:sz w:val="22"/>
          <w:szCs w:val="22"/>
          <w:color w:val="auto"/>
        </w:rPr>
      </w:pPr>
    </w:p>
    <w:p>
      <w:pPr>
        <w:jc w:val="both"/>
        <w:ind w:left="2600" w:hanging="648"/>
        <w:spacing w:after="0" w:line="253" w:lineRule="auto"/>
        <w:tabs>
          <w:tab w:leader="none" w:pos="259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occurrence or circumstance that could reasonably be expected to cause (1) an increase of more than $150,000,000 individually or in the aggregate in P1 Project Costs or (2) the actual expenditure with respect to any category of expenditure or any line item contained in the Annual Facility Budget to exceed the budgeted amount set forth in the Annual Facility Budget by any amount that would give rise to a vote of one or more Liquefaction Owners pursuant to the CFAA;</w:t>
      </w:r>
    </w:p>
    <w:p>
      <w:pPr>
        <w:spacing w:after="0" w:line="178" w:lineRule="exact"/>
        <w:rPr>
          <w:rFonts w:ascii="Times New Roman" w:cs="Times New Roman" w:eastAsia="Times New Roman" w:hAnsi="Times New Roman"/>
          <w:sz w:val="22"/>
          <w:szCs w:val="22"/>
          <w:color w:val="auto"/>
        </w:rPr>
      </w:pPr>
    </w:p>
    <w:p>
      <w:pPr>
        <w:jc w:val="both"/>
        <w:ind w:left="2600" w:hanging="648"/>
        <w:spacing w:after="0" w:line="265" w:lineRule="auto"/>
        <w:tabs>
          <w:tab w:leader="none" w:pos="2589"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outage or disability of any Train Facility or Common Facilities for a period of longer than seven days (except for regularly scheduled outages) or (2) any event which would entitle the Borrower to receive liquidated damages pursuant to Section 14.2.8 (</w:t>
      </w:r>
      <w:r>
        <w:rPr>
          <w:rFonts w:ascii="Times New Roman" w:cs="Times New Roman" w:eastAsia="Times New Roman" w:hAnsi="Times New Roman"/>
          <w:sz w:val="21"/>
          <w:szCs w:val="21"/>
          <w:i w:val="1"/>
          <w:iCs w:val="1"/>
          <w:color w:val="auto"/>
        </w:rPr>
        <w:t>Subsequent Train Facilities</w:t>
      </w:r>
      <w:r>
        <w:rPr>
          <w:rFonts w:ascii="Times New Roman" w:cs="Times New Roman" w:eastAsia="Times New Roman" w:hAnsi="Times New Roman"/>
          <w:sz w:val="21"/>
          <w:szCs w:val="21"/>
          <w:color w:val="auto"/>
        </w:rPr>
        <w:t>) of the CFAA or to receive and schedule “Default Quantities” pursuant to Section 14.2.9 (</w:t>
      </w:r>
      <w:r>
        <w:rPr>
          <w:rFonts w:ascii="Times New Roman" w:cs="Times New Roman" w:eastAsia="Times New Roman" w:hAnsi="Times New Roman"/>
          <w:sz w:val="21"/>
          <w:szCs w:val="21"/>
          <w:i w:val="1"/>
          <w:iCs w:val="1"/>
          <w:color w:val="auto"/>
        </w:rPr>
        <w:t>Subsequent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Train Facilities</w:t>
      </w:r>
      <w:r>
        <w:rPr>
          <w:rFonts w:ascii="Times New Roman" w:cs="Times New Roman" w:eastAsia="Times New Roman" w:hAnsi="Times New Roman"/>
          <w:sz w:val="21"/>
          <w:szCs w:val="21"/>
          <w:color w:val="auto"/>
        </w:rPr>
        <w:t>) of the CFAA, and, in each case, any additional information available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Borrower as may be reasonably requested by the P1 Intercreditor Agent in connection therewith;</w:t>
      </w:r>
    </w:p>
    <w:p>
      <w:pPr>
        <w:spacing w:after="0" w:line="168" w:lineRule="exact"/>
        <w:rPr>
          <w:rFonts w:ascii="Times New Roman" w:cs="Times New Roman" w:eastAsia="Times New Roman" w:hAnsi="Times New Roman"/>
          <w:sz w:val="21"/>
          <w:szCs w:val="21"/>
          <w:color w:val="auto"/>
        </w:rPr>
      </w:pPr>
    </w:p>
    <w:p>
      <w:pPr>
        <w:ind w:left="2600" w:hanging="648"/>
        <w:spacing w:after="0" w:line="271" w:lineRule="auto"/>
        <w:tabs>
          <w:tab w:leader="none" w:pos="259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proposed appointment, removal or change in the identity of the Facility Independent Engineer pursuant to the CFAA;</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dispute between any Loan Party and the relevant tax authorities;</w:t>
      </w:r>
    </w:p>
    <w:p>
      <w:pPr>
        <w:spacing w:after="0" w:line="233" w:lineRule="exact"/>
        <w:rPr>
          <w:rFonts w:ascii="Times New Roman" w:cs="Times New Roman" w:eastAsia="Times New Roman" w:hAnsi="Times New Roman"/>
          <w:sz w:val="22"/>
          <w:szCs w:val="22"/>
          <w:color w:val="auto"/>
        </w:rPr>
      </w:pPr>
    </w:p>
    <w:p>
      <w:pPr>
        <w:jc w:val="both"/>
        <w:ind w:left="2600" w:hanging="648"/>
        <w:spacing w:after="0" w:line="252" w:lineRule="auto"/>
        <w:tabs>
          <w:tab w:leader="none" w:pos="2589"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litigation, arbitration, administrative proceeding, investigation, claim or proceeding and any material developments with respect thereto, in each case, relating to the Project (1) in which the amount involved is in excess of $150,000,000 or (2) that could reasonably be expected to have a Material Adverse Effect;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commercial exports of LNG from the Rio Grande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98" w:lineRule="exact"/>
        <w:rPr>
          <w:sz w:val="20"/>
          <w:szCs w:val="20"/>
          <w:color w:val="auto"/>
        </w:rPr>
      </w:pPr>
    </w:p>
    <w:p>
      <w:pPr>
        <w:ind w:left="2600" w:hanging="648"/>
        <w:spacing w:after="0" w:line="271" w:lineRule="auto"/>
        <w:tabs>
          <w:tab w:leader="none" w:pos="260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ERISA Event that could reasonably be expected to result in material liability to any Loan Party under ERISA or under the Code with respect to any Plan or Multiemployer Plan; and</w:t>
      </w:r>
    </w:p>
    <w:p>
      <w:pPr>
        <w:spacing w:after="0" w:line="153" w:lineRule="exact"/>
        <w:rPr>
          <w:rFonts w:ascii="Times New Roman" w:cs="Times New Roman" w:eastAsia="Times New Roman" w:hAnsi="Times New Roman"/>
          <w:sz w:val="22"/>
          <w:szCs w:val="22"/>
          <w:color w:val="auto"/>
        </w:rPr>
      </w:pPr>
    </w:p>
    <w:p>
      <w:pPr>
        <w:jc w:val="both"/>
        <w:ind w:left="2600" w:hanging="648"/>
        <w:spacing w:after="0" w:line="254" w:lineRule="auto"/>
        <w:tabs>
          <w:tab w:leader="none" w:pos="2598"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copies of any similar notices to those set forth in this </w:t>
      </w:r>
      <w:r>
        <w:rPr>
          <w:rFonts w:ascii="Times New Roman" w:cs="Times New Roman" w:eastAsia="Times New Roman" w:hAnsi="Times New Roman"/>
          <w:sz w:val="22"/>
          <w:szCs w:val="22"/>
          <w:u w:val="single" w:color="auto"/>
          <w:color w:val="auto"/>
        </w:rPr>
        <w:t>Section 8.1(a)(i)</w:t>
      </w:r>
      <w:r>
        <w:rPr>
          <w:rFonts w:ascii="Times New Roman" w:cs="Times New Roman" w:eastAsia="Times New Roman" w:hAnsi="Times New Roman"/>
          <w:sz w:val="22"/>
          <w:szCs w:val="22"/>
          <w:color w:val="auto"/>
        </w:rPr>
        <w:t xml:space="preserve"> or in Section 6.2 (</w:t>
      </w:r>
      <w:r>
        <w:rPr>
          <w:rFonts w:ascii="Times New Roman" w:cs="Times New Roman" w:eastAsia="Times New Roman" w:hAnsi="Times New Roman"/>
          <w:sz w:val="22"/>
          <w:szCs w:val="22"/>
          <w:i w:val="1"/>
          <w:i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CTA Default, CTA Event of Default, and Other Events</w:t>
      </w:r>
      <w:r>
        <w:rPr>
          <w:rFonts w:ascii="Times New Roman" w:cs="Times New Roman" w:eastAsia="Times New Roman" w:hAnsi="Times New Roman"/>
          <w:sz w:val="22"/>
          <w:szCs w:val="22"/>
          <w:color w:val="auto"/>
        </w:rPr>
        <w:t>) of the Common Terms Agreement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additional Working Capital Debt, Replacement Debt or Supplemental Debt, including any notices of any default or event of default under any other Senior Secured Debt Instrument.</w:t>
      </w:r>
    </w:p>
    <w:p>
      <w:pPr>
        <w:spacing w:after="0" w:line="177"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5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delivery to any Material Project Party pursuant to a Material Project Document, deliver to the Administrative Agent copies of all material written notices or other material documents delivered to such Material Project Party by the Borrower (other than routine written notices or other documents delivered in the ordinary course of the administration of such agreements), including each of the notices set forth on Exhibit I (</w:t>
      </w:r>
      <w:r>
        <w:rPr>
          <w:rFonts w:ascii="Times New Roman" w:cs="Times New Roman" w:eastAsia="Times New Roman" w:hAnsi="Times New Roman"/>
          <w:sz w:val="22"/>
          <w:szCs w:val="22"/>
          <w:i w:val="1"/>
          <w:iCs w:val="1"/>
          <w:color w:val="auto"/>
        </w:rPr>
        <w:t>Rio Grande Facility Notices</w:t>
      </w:r>
      <w:r>
        <w:rPr>
          <w:rFonts w:ascii="Times New Roman" w:cs="Times New Roman" w:eastAsia="Times New Roman" w:hAnsi="Times New Roman"/>
          <w:sz w:val="22"/>
          <w:szCs w:val="22"/>
          <w:color w:val="auto"/>
        </w:rPr>
        <w:t>) to the CFAA;</w:t>
      </w:r>
    </w:p>
    <w:p>
      <w:pPr>
        <w:spacing w:after="0" w:line="178" w:lineRule="exact"/>
        <w:rPr>
          <w:rFonts w:ascii="Times New Roman" w:cs="Times New Roman" w:eastAsia="Times New Roman" w:hAnsi="Times New Roman"/>
          <w:sz w:val="22"/>
          <w:szCs w:val="22"/>
          <w:color w:val="auto"/>
        </w:rPr>
      </w:pPr>
    </w:p>
    <w:p>
      <w:pPr>
        <w:jc w:val="both"/>
        <w:ind w:left="1960" w:hanging="656"/>
        <w:spacing w:after="0" w:line="247" w:lineRule="auto"/>
        <w:tabs>
          <w:tab w:leader="none" w:pos="19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upon such documents becoming available (and, in the case of the documents described in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below, no later than two Business Days following receipt thereof), deliver to the Administrative Agent copies of all material written notices or other material documents received by the Borrower pursuant to any Material Project Document, other than routine written notices or other documents delivered in the ordinary course of administration of such agreements, but in any event including any notice or other document relating to (A) a failure by the Borrower to perform any of its material covenants or obligations under such Material Project Document; (B) termination of a Material Project Document; (C) a force majeure event under a Material Project Document; (D) (x) any STF Development Plan received, and, upon finalization, finalized, pursuant to Section 14.2 (</w:t>
      </w:r>
      <w:r>
        <w:rPr>
          <w:rFonts w:ascii="Times New Roman" w:cs="Times New Roman" w:eastAsia="Times New Roman" w:hAnsi="Times New Roman"/>
          <w:sz w:val="22"/>
          <w:szCs w:val="22"/>
          <w:i w:val="1"/>
          <w:iCs w:val="1"/>
          <w:color w:val="auto"/>
        </w:rPr>
        <w:t>Subsequent Train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Facilities</w:t>
      </w:r>
      <w:r>
        <w:rPr>
          <w:rFonts w:ascii="Times New Roman" w:cs="Times New Roman" w:eastAsia="Times New Roman" w:hAnsi="Times New Roman"/>
          <w:sz w:val="22"/>
          <w:szCs w:val="22"/>
          <w:color w:val="auto"/>
        </w:rPr>
        <w:t>) of the CFAA (including any Facility Independent Engineer certificate relating thereto)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information or notice of disagreement received or modification proposed pursuant to Section 14.2.5 (</w:t>
      </w:r>
      <w:r>
        <w:rPr>
          <w:rFonts w:ascii="Times New Roman" w:cs="Times New Roman" w:eastAsia="Times New Roman" w:hAnsi="Times New Roman"/>
          <w:sz w:val="22"/>
          <w:szCs w:val="22"/>
          <w:i w:val="1"/>
          <w:iCs w:val="1"/>
          <w:color w:val="auto"/>
        </w:rPr>
        <w:t>Subsequent Train Facilities</w:t>
      </w:r>
      <w:r>
        <w:rPr>
          <w:rFonts w:ascii="Times New Roman" w:cs="Times New Roman" w:eastAsia="Times New Roman" w:hAnsi="Times New Roman"/>
          <w:sz w:val="22"/>
          <w:szCs w:val="22"/>
          <w:color w:val="auto"/>
        </w:rPr>
        <w:t>) of the CFAA (together with any information and documents received in support thereof) and (y) any notice received pursuant to Section 14.2.11 (</w:t>
      </w:r>
      <w:r>
        <w:rPr>
          <w:rFonts w:ascii="Times New Roman" w:cs="Times New Roman" w:eastAsia="Times New Roman" w:hAnsi="Times New Roman"/>
          <w:sz w:val="22"/>
          <w:szCs w:val="22"/>
          <w:i w:val="1"/>
          <w:iCs w:val="1"/>
          <w:color w:val="auto"/>
        </w:rPr>
        <w:t>Subsequent Train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Facilities</w:t>
      </w:r>
      <w:r>
        <w:rPr>
          <w:rFonts w:ascii="Times New Roman" w:cs="Times New Roman" w:eastAsia="Times New Roman" w:hAnsi="Times New Roman"/>
          <w:sz w:val="22"/>
          <w:szCs w:val="22"/>
          <w:color w:val="auto"/>
        </w:rPr>
        <w:t>) of the CFAA; (E) (x) any Capital Improvement Plan received, and, upon finalization, finalized,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14.3 (</w:t>
      </w:r>
      <w:r>
        <w:rPr>
          <w:rFonts w:ascii="Times New Roman" w:cs="Times New Roman" w:eastAsia="Times New Roman" w:hAnsi="Times New Roman"/>
          <w:sz w:val="22"/>
          <w:szCs w:val="22"/>
          <w:i w:val="1"/>
          <w:iCs w:val="1"/>
          <w:color w:val="auto"/>
        </w:rPr>
        <w:t>Capital Improvements Generally</w:t>
      </w:r>
      <w:r>
        <w:rPr>
          <w:rFonts w:ascii="Times New Roman" w:cs="Times New Roman" w:eastAsia="Times New Roman" w:hAnsi="Times New Roman"/>
          <w:sz w:val="22"/>
          <w:szCs w:val="22"/>
          <w:color w:val="auto"/>
        </w:rPr>
        <w:t>) of the CFAA (including any Facility Independent Engineer certificate relating thereto) and (y) any Facility Independent Engineer confirmation received pursuant to Section 14.3.7 (</w:t>
      </w:r>
      <w:r>
        <w:rPr>
          <w:rFonts w:ascii="Times New Roman" w:cs="Times New Roman" w:eastAsia="Times New Roman" w:hAnsi="Times New Roman"/>
          <w:sz w:val="22"/>
          <w:szCs w:val="22"/>
          <w:i w:val="1"/>
          <w:iCs w:val="1"/>
          <w:color w:val="auto"/>
        </w:rPr>
        <w:t>Capital Improvements Generally</w:t>
      </w:r>
      <w:r>
        <w:rPr>
          <w:rFonts w:ascii="Times New Roman" w:cs="Times New Roman" w:eastAsia="Times New Roman" w:hAnsi="Times New Roman"/>
          <w:sz w:val="22"/>
          <w:szCs w:val="22"/>
          <w:color w:val="auto"/>
        </w:rPr>
        <w:t>) of the CFAA;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94" w:lineRule="exact"/>
        <w:rPr>
          <w:sz w:val="20"/>
          <w:szCs w:val="20"/>
          <w:color w:val="auto"/>
        </w:rPr>
      </w:pPr>
    </w:p>
    <w:p>
      <w:pPr>
        <w:jc w:val="both"/>
        <w:ind w:left="1960" w:hanging="8"/>
        <w:spacing w:after="0" w:line="252" w:lineRule="auto"/>
        <w:tabs>
          <w:tab w:leader="none" w:pos="2295"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any Restoration Plan received, and, upon finalization, finalized, pursuant to Section 22.1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Restoration Plan</w:t>
      </w:r>
      <w:r>
        <w:rPr>
          <w:rFonts w:ascii="Times New Roman" w:cs="Times New Roman" w:eastAsia="Times New Roman" w:hAnsi="Times New Roman"/>
          <w:sz w:val="22"/>
          <w:szCs w:val="22"/>
          <w:color w:val="auto"/>
        </w:rPr>
        <w:t>) of the CFAA (including any Facility Independent Engineer certificate relating thereto)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(y) any Facility Independent Engineer confirmation received pursuant to Section 22.2.3 (</w:t>
      </w:r>
      <w:r>
        <w:rPr>
          <w:rFonts w:ascii="Times New Roman" w:cs="Times New Roman" w:eastAsia="Times New Roman" w:hAnsi="Times New Roman"/>
          <w:sz w:val="22"/>
          <w:szCs w:val="22"/>
          <w:i w:val="1"/>
          <w:iCs w:val="1"/>
          <w:color w:val="auto"/>
        </w:rPr>
        <w:t>Events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Loss Affecting Common Facilities</w:t>
      </w:r>
      <w:r>
        <w:rPr>
          <w:rFonts w:ascii="Times New Roman" w:cs="Times New Roman" w:eastAsia="Times New Roman" w:hAnsi="Times New Roman"/>
          <w:sz w:val="22"/>
          <w:szCs w:val="22"/>
          <w:color w:val="auto"/>
        </w:rPr>
        <w:t>) of the CFAA; (G) each of the notices set forth on Exhibit I (</w:t>
      </w:r>
      <w:r>
        <w:rPr>
          <w:rFonts w:ascii="Times New Roman" w:cs="Times New Roman" w:eastAsia="Times New Roman" w:hAnsi="Times New Roman"/>
          <w:sz w:val="22"/>
          <w:szCs w:val="22"/>
          <w:i w:val="1"/>
          <w:iCs w:val="1"/>
          <w:color w:val="auto"/>
        </w:rPr>
        <w:t>Rio Grande Facility Notices</w:t>
      </w:r>
      <w:r>
        <w:rPr>
          <w:rFonts w:ascii="Times New Roman" w:cs="Times New Roman" w:eastAsia="Times New Roman" w:hAnsi="Times New Roman"/>
          <w:sz w:val="22"/>
          <w:szCs w:val="22"/>
          <w:color w:val="auto"/>
        </w:rPr>
        <w:t>) to the CFAA; and (H) each of the notices set forth in Section 2.2.3 (</w:t>
      </w:r>
      <w:r>
        <w:rPr>
          <w:rFonts w:ascii="Times New Roman" w:cs="Times New Roman" w:eastAsia="Times New Roman" w:hAnsi="Times New Roman"/>
          <w:sz w:val="22"/>
          <w:szCs w:val="22"/>
          <w:i w:val="1"/>
          <w:iCs w:val="1"/>
          <w:color w:val="auto"/>
        </w:rPr>
        <w:t>Delivery of Notices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PAAA;</w:t>
      </w:r>
    </w:p>
    <w:p>
      <w:pPr>
        <w:spacing w:after="0" w:line="178"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Business Days, after receipt from the P1 CASA Advisor, deliver to the Administrative Agent and the Independent Engineer a copy of any material written statement, budget, plan or reports delivered to the Borrower under the P1 CASA (including any such statements, budget, plan or report with respect to the Rio Grande Facility);</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55"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thirty days after the end of each month following the month during which the Closing Date occurs up to and including the month during which the Project Completion Date occurs, deliver to the Administrative Agent a monthly construction report from the Independent Engineer regarding the construction activities in relation to the Project carried out during such month based on the report delivered by the P1 CASA Advisor under Section 3.3(j) (</w:t>
      </w:r>
      <w:r>
        <w:rPr>
          <w:rFonts w:ascii="Times New Roman" w:cs="Times New Roman" w:eastAsia="Times New Roman" w:hAnsi="Times New Roman"/>
          <w:sz w:val="22"/>
          <w:szCs w:val="22"/>
          <w:i w:val="1"/>
          <w:iCs w:val="1"/>
          <w:color w:val="auto"/>
        </w:rPr>
        <w:t>Requirements of Independent Engineers</w:t>
      </w:r>
      <w:r>
        <w:rPr>
          <w:rFonts w:ascii="Times New Roman" w:cs="Times New Roman" w:eastAsia="Times New Roman" w:hAnsi="Times New Roman"/>
          <w:sz w:val="22"/>
          <w:szCs w:val="22"/>
          <w:color w:val="auto"/>
        </w:rPr>
        <w:t>) of the P1 CASA and such other information reasonably requested by the Independent Engineer;</w:t>
      </w:r>
    </w:p>
    <w:p>
      <w:pPr>
        <w:spacing w:after="0" w:line="181" w:lineRule="exact"/>
        <w:rPr>
          <w:rFonts w:ascii="Times New Roman" w:cs="Times New Roman" w:eastAsia="Times New Roman" w:hAnsi="Times New Roman"/>
          <w:sz w:val="22"/>
          <w:szCs w:val="22"/>
          <w:color w:val="auto"/>
        </w:rPr>
      </w:pPr>
    </w:p>
    <w:p>
      <w:pPr>
        <w:jc w:val="both"/>
        <w:ind w:left="1960" w:hanging="656"/>
        <w:spacing w:after="0" w:line="275" w:lineRule="auto"/>
        <w:tabs>
          <w:tab w:leader="none" w:pos="1948"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event within five Business Days, after receipt from the P1 EPC Contractor, deliver to the Administrative Agent and the Independent Engineer a copy of the Substantial Completion Certificate (as defined in each of the P1 EPC Contracts) with respect to each of Train 1, Train 2, and Train 3;</w:t>
      </w:r>
    </w:p>
    <w:p>
      <w:pPr>
        <w:spacing w:after="0" w:line="168" w:lineRule="exact"/>
        <w:rPr>
          <w:rFonts w:ascii="Times New Roman" w:cs="Times New Roman" w:eastAsia="Times New Roman" w:hAnsi="Times New Roman"/>
          <w:sz w:val="21"/>
          <w:szCs w:val="21"/>
          <w:color w:val="auto"/>
        </w:rPr>
      </w:pPr>
    </w:p>
    <w:p>
      <w:pPr>
        <w:jc w:val="both"/>
        <w:ind w:left="1960" w:hanging="656"/>
        <w:spacing w:after="0" w:line="250" w:lineRule="auto"/>
        <w:tabs>
          <w:tab w:leader="none" w:pos="195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Business Days, after receipt from the Operator, deliver to the Administrative Agent and the Independent Engineer a copy of any operating and other reports (including production and maintenance forecasts, quarterly operating statements and monthly, semi-annual and annual operating reports and any other reports delivered pursuant to Section 3.7 (</w:t>
      </w:r>
      <w:r>
        <w:rPr>
          <w:rFonts w:ascii="Times New Roman" w:cs="Times New Roman" w:eastAsia="Times New Roman" w:hAnsi="Times New Roman"/>
          <w:sz w:val="22"/>
          <w:szCs w:val="22"/>
          <w:i w:val="1"/>
          <w:iCs w:val="1"/>
          <w:color w:val="auto"/>
        </w:rPr>
        <w:t>Reports</w:t>
      </w:r>
      <w:r>
        <w:rPr>
          <w:rFonts w:ascii="Times New Roman" w:cs="Times New Roman" w:eastAsia="Times New Roman" w:hAnsi="Times New Roman"/>
          <w:sz w:val="22"/>
          <w:szCs w:val="22"/>
          <w:color w:val="auto"/>
        </w:rPr>
        <w:t>) of the O&amp;M Agreement) delivered to the Borrower under the O&amp;M Agreement;</w:t>
      </w:r>
    </w:p>
    <w:p>
      <w:pPr>
        <w:spacing w:after="0" w:line="19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the Administrative Agent:</w:t>
      </w:r>
    </w:p>
    <w:p>
      <w:pPr>
        <w:spacing w:after="0" w:line="219"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filing thereof, a copy of each filing made by the Borrower (1) with FERC with respect to the Project and (2)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98" w:lineRule="exact"/>
        <w:rPr>
          <w:sz w:val="20"/>
          <w:szCs w:val="20"/>
          <w:color w:val="auto"/>
        </w:rPr>
      </w:pPr>
    </w:p>
    <w:p>
      <w:pPr>
        <w:ind w:left="2600" w:right="20"/>
        <w:spacing w:after="0" w:line="271" w:lineRule="auto"/>
        <w:rPr>
          <w:sz w:val="20"/>
          <w:szCs w:val="20"/>
          <w:color w:val="auto"/>
        </w:rPr>
      </w:pPr>
      <w:r>
        <w:rPr>
          <w:rFonts w:ascii="Times New Roman" w:cs="Times New Roman" w:eastAsia="Times New Roman" w:hAnsi="Times New Roman"/>
          <w:sz w:val="22"/>
          <w:szCs w:val="22"/>
          <w:color w:val="auto"/>
        </w:rPr>
        <w:t xml:space="preserve">DOE/FE with respect to the export of LNG from, or the import of LNG to, the Project, except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such as are routine or ministerial in nature;</w:t>
      </w:r>
    </w:p>
    <w:p>
      <w:pPr>
        <w:spacing w:after="0" w:line="158" w:lineRule="exact"/>
        <w:rPr>
          <w:sz w:val="20"/>
          <w:szCs w:val="20"/>
          <w:color w:val="auto"/>
        </w:rPr>
      </w:pPr>
    </w:p>
    <w:p>
      <w:pPr>
        <w:jc w:val="both"/>
        <w:ind w:left="2600" w:hanging="648"/>
        <w:spacing w:after="0" w:line="252" w:lineRule="auto"/>
        <w:tabs>
          <w:tab w:leader="none" w:pos="2591"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obtaining Knowledge thereof, a copy of each filing with respect to (1) the Project made with FERC by any Person other than the Borrower in any proceeding before FERC in which the Borrower is the captioned party or respondent, except for such filings as are routine or ministerial in nature, or (2) the import of LNG to, or the export of LNG from, the Project made with DOE/FE by any Person other than the Borrower in any proceeding before DOE/FE in which the Borrower is the captioned party or respondent, except for such filings as are routine or ministerial in nature;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amendment to any License, together with a copy of such amendment;</w:t>
      </w:r>
    </w:p>
    <w:p>
      <w:pPr>
        <w:spacing w:after="0" w:line="219" w:lineRule="exact"/>
        <w:rPr>
          <w:rFonts w:ascii="Times New Roman" w:cs="Times New Roman" w:eastAsia="Times New Roman" w:hAnsi="Times New Roman"/>
          <w:sz w:val="22"/>
          <w:szCs w:val="22"/>
          <w:color w:val="auto"/>
        </w:rPr>
      </w:pPr>
    </w:p>
    <w:p>
      <w:pPr>
        <w:jc w:val="both"/>
        <w:ind w:left="2600" w:hanging="648"/>
        <w:spacing w:after="0" w:line="251" w:lineRule="auto"/>
        <w:tabs>
          <w:tab w:leader="none" w:pos="2589"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filing thereof, a copy of each filing, certification, waiver, exemption, claim, declaration, or registration made with respect to Licenses or DOE Export Authorizations to be obtained or filed by the Borrower with any Government Authority, except such filings, certifications, waivers, exemptions, claims, declarations, or registrations that are routine or ministerial in nature and in respect of which a failure to file could not reasonably be expected to have a Material Adverse Effect or to materially Impair any DOE Export Authorization;</w:t>
      </w:r>
    </w:p>
    <w:p>
      <w:pPr>
        <w:spacing w:after="0" w:line="181" w:lineRule="exact"/>
        <w:rPr>
          <w:rFonts w:ascii="Times New Roman" w:cs="Times New Roman" w:eastAsia="Times New Roman" w:hAnsi="Times New Roman"/>
          <w:sz w:val="22"/>
          <w:szCs w:val="22"/>
          <w:color w:val="auto"/>
        </w:rPr>
      </w:pPr>
    </w:p>
    <w:p>
      <w:pPr>
        <w:ind w:left="2600" w:hanging="648"/>
        <w:spacing w:after="0" w:line="271" w:lineRule="auto"/>
        <w:tabs>
          <w:tab w:leader="none" w:pos="2592"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occurrence thereof, notice of the occurrence of each Substantial Completion Date under the T1/T2 EPC Contract;</w:t>
      </w:r>
    </w:p>
    <w:p>
      <w:pPr>
        <w:spacing w:after="0" w:line="157" w:lineRule="exact"/>
        <w:rPr>
          <w:rFonts w:ascii="Times New Roman" w:cs="Times New Roman" w:eastAsia="Times New Roman" w:hAnsi="Times New Roman"/>
          <w:sz w:val="22"/>
          <w:szCs w:val="22"/>
          <w:color w:val="auto"/>
        </w:rPr>
      </w:pPr>
    </w:p>
    <w:p>
      <w:pPr>
        <w:ind w:left="2600" w:hanging="648"/>
        <w:spacing w:after="0" w:line="284" w:lineRule="auto"/>
        <w:tabs>
          <w:tab w:leader="none" w:pos="2594"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order issued by FERC or DOE/FE relating to the Project (including any Capital Improvement) or any Material Project Document; and</w:t>
      </w:r>
    </w:p>
    <w:p>
      <w:pPr>
        <w:spacing w:after="0" w:line="143" w:lineRule="exact"/>
        <w:rPr>
          <w:rFonts w:ascii="Times New Roman" w:cs="Times New Roman" w:eastAsia="Times New Roman" w:hAnsi="Times New Roman"/>
          <w:sz w:val="22"/>
          <w:szCs w:val="22"/>
          <w:color w:val="auto"/>
        </w:rPr>
      </w:pPr>
    </w:p>
    <w:p>
      <w:pPr>
        <w:jc w:val="both"/>
        <w:ind w:left="2600" w:hanging="648"/>
        <w:spacing w:after="0" w:line="257" w:lineRule="auto"/>
        <w:tabs>
          <w:tab w:leader="none" w:pos="2589"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Replacement Debt, Supplemental Debt, or Working Capital Debt is incurred by the Borrower, a copy of any report from the Independent Engineer and any other consultant that the Holders of such Senior Secured Debt are entitled to receive;</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48"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no event later than five Business Days, after each such document is approved in accordance with the terms of the CFAA, furnish the Administrative Agent, a copy of the Annual Facility Budget and Annual Facility Plan, the Annual Operating Budget, Annual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Budget, Annual Operating Plan or Annual Capital Plan that are components thereof;</w:t>
      </w:r>
    </w:p>
    <w:p>
      <w:pPr>
        <w:spacing w:after="0" w:line="220" w:lineRule="exact"/>
        <w:rPr>
          <w:sz w:val="20"/>
          <w:szCs w:val="20"/>
          <w:color w:val="auto"/>
        </w:rPr>
      </w:pPr>
    </w:p>
    <w:p>
      <w:pPr>
        <w:jc w:val="both"/>
        <w:ind w:left="1960" w:hanging="656"/>
        <w:spacing w:after="0" w:line="263" w:lineRule="auto"/>
        <w:tabs>
          <w:tab w:leader="none" w:pos="1955"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no event later than five Business Days, after each such document is approved in accordance with the terms of the O&amp;M Agreement, furnish the Administrative Agent a copy of the Annual O&amp;M Budget and Annual O&amp;M Plan;</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4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Together with the delivery of financial statements in accordance with </w:t>
      </w:r>
      <w:r>
        <w:rPr>
          <w:rFonts w:ascii="Times New Roman" w:cs="Times New Roman" w:eastAsia="Times New Roman" w:hAnsi="Times New Roman"/>
          <w:sz w:val="22"/>
          <w:szCs w:val="22"/>
          <w:u w:val="single" w:color="auto"/>
          <w:color w:val="auto"/>
        </w:rPr>
        <w:t>Section 8.1(a)(ii)</w:t>
      </w:r>
      <w:r>
        <w:rPr>
          <w:rFonts w:ascii="Times New Roman" w:cs="Times New Roman" w:eastAsia="Times New Roman" w:hAnsi="Times New Roman"/>
          <w:sz w:val="22"/>
          <w:szCs w:val="22"/>
          <w:color w:val="auto"/>
        </w:rPr>
        <w:t xml:space="preserve"> in respect of each Fiscal Quarter occurring after the Project Completion Date, deliver to the Administrative Agent a certificate of a Authorized Officer of the Borrower setting forth (A) the Historical DSCR for the four Fiscal Quarter period ended on such Quarterly Payment Date and (B) the Credit Agreement Projected DSCR for the four Fiscal Quarter period commencing on such Quarterly Payment Date, in each case together with the calculation in reasonable detail and supporting data to confirm such calculations;</w:t>
      </w:r>
    </w:p>
    <w:p>
      <w:pPr>
        <w:spacing w:after="0" w:line="181"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five Business Days after the execution thereof, deliver copies of any Additional Material Project Documents;</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five Business Days after the execution thereof, deliver copies of all material amendments, supplements or modifications (including any change order) of any Material Project Documents;</w:t>
      </w:r>
    </w:p>
    <w:p>
      <w:pPr>
        <w:spacing w:after="0" w:line="171"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4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T1 Substantial Completion, deliver to the Administrative Agent copies of environmental and social information contained in periodic reports prepared by or for the Borrower, which will include a summary of the P1 EPC Contractor’s performance against certain key performance indicators and other appropriate environmental and social statistics, such as (A) lost time incidents, (B) oil spills and releases of hazardous materials, and (C) other material environmental and social events;</w:t>
      </w:r>
    </w:p>
    <w:p>
      <w:pPr>
        <w:spacing w:after="0" w:line="194"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5"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days following each June 30 and December 31 to occur after the Closing Date and prior to T1 Substantial Completion, deliver to the Administrative Agent and the Independent Engineer a semi-annual environmental and social report prepared by the Environmental Advisor analyzing the Borrower’s compliance with the Equator Principles and the Environmental and Social Action Plan;</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4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following December 31 of each calendar year prior to the Credit Agreement Maturity Date beginning with the first calendar year following the year in which T1 Substantial Completion has occurred, deliver to the Administrative Agent and the Independent Engineer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98" w:lineRule="exact"/>
        <w:rPr>
          <w:sz w:val="20"/>
          <w:szCs w:val="20"/>
          <w:color w:val="auto"/>
        </w:rPr>
      </w:pPr>
    </w:p>
    <w:p>
      <w:pPr>
        <w:ind w:left="1960" w:right="20"/>
        <w:spacing w:after="0" w:line="271" w:lineRule="auto"/>
        <w:rPr>
          <w:sz w:val="20"/>
          <w:szCs w:val="20"/>
          <w:color w:val="auto"/>
        </w:rPr>
      </w:pPr>
      <w:r>
        <w:rPr>
          <w:rFonts w:ascii="Times New Roman" w:cs="Times New Roman" w:eastAsia="Times New Roman" w:hAnsi="Times New Roman"/>
          <w:sz w:val="22"/>
          <w:szCs w:val="22"/>
          <w:color w:val="auto"/>
        </w:rPr>
        <w:t>annual environmental and social report prepared by the Environmental Advisor analyzing the Borrower’s compliance with the Equator Principles and the Environmental and Social Action Plan;</w:t>
      </w:r>
    </w:p>
    <w:p>
      <w:pPr>
        <w:spacing w:after="0" w:line="158" w:lineRule="exact"/>
        <w:rPr>
          <w:sz w:val="20"/>
          <w:szCs w:val="20"/>
          <w:color w:val="auto"/>
        </w:rPr>
      </w:pPr>
    </w:p>
    <w:p>
      <w:pPr>
        <w:jc w:val="both"/>
        <w:ind w:left="1960" w:hanging="656"/>
        <w:spacing w:after="0" w:line="249" w:lineRule="auto"/>
        <w:tabs>
          <w:tab w:leader="none" w:pos="195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in any event, unless otherwise specified, within seven Business Days after the Borrower obtains Knowledge of any of the following, provide written notice to the Administrative Agent of (A) any material Release of Hazardous Materials, (B) any Environmental and Social Incident (which notice may be subject to subsequent investigation and clarification), (C) any event or circumstance that could reasonably be expected to give rise to a material Environmental Claim, constitute a breach in any material respect of the Environmental and Social Action Plan, or result, or which has resulted, in a failure by the Borrower to comply in all material respects with Environmental Laws and the Equator Principles, and (D) other material written notice from Government Authorities related to any of the foregoing or otherwise related to the need to investigate, respond, clean up, or remediate Hazardous Materials or any Environmental and Social Incident;</w:t>
      </w:r>
    </w:p>
    <w:p>
      <w:pPr>
        <w:spacing w:after="0" w:line="183"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6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and in any event, unless otherwise specified, within seven Business Days following either (A) delivery to the Borrower of any report prepared for the Borrower regarding any Environmental and Social Incident or (B) the occurrence of a material development in respect of any Environmental and Social Incident, deliver to the Administrative Agent a notice, report or update, as applicable, from the Borrower (which may, but need not, be a copy of the report referred to in </w:t>
      </w:r>
      <w:r>
        <w:rPr>
          <w:rFonts w:ascii="Times New Roman" w:cs="Times New Roman" w:eastAsia="Times New Roman" w:hAnsi="Times New Roman"/>
          <w:sz w:val="22"/>
          <w:szCs w:val="22"/>
          <w:u w:val="single" w:color="auto"/>
          <w:color w:val="auto"/>
        </w:rPr>
        <w:t>sub-clause (A)</w:t>
      </w:r>
      <w:r>
        <w:rPr>
          <w:rFonts w:ascii="Times New Roman" w:cs="Times New Roman" w:eastAsia="Times New Roman" w:hAnsi="Times New Roman"/>
          <w:sz w:val="22"/>
          <w:szCs w:val="22"/>
          <w:color w:val="auto"/>
        </w:rPr>
        <w:t xml:space="preserve"> above) in respect of such material development (and, for the avoidance of doubt, no such notice, report or update will require delivery of any document prepared for internal purposes);</w:t>
      </w:r>
    </w:p>
    <w:p>
      <w:pPr>
        <w:spacing w:after="0" w:line="193" w:lineRule="exact"/>
        <w:rPr>
          <w:rFonts w:ascii="Times New Roman" w:cs="Times New Roman" w:eastAsia="Times New Roman" w:hAnsi="Times New Roman"/>
          <w:sz w:val="22"/>
          <w:szCs w:val="22"/>
          <w:color w:val="auto"/>
        </w:rPr>
      </w:pPr>
    </w:p>
    <w:p>
      <w:pPr>
        <w:ind w:left="1960" w:right="20" w:hanging="656"/>
        <w:spacing w:after="0" w:line="295" w:lineRule="auto"/>
        <w:tabs>
          <w:tab w:leader="none" w:pos="1948"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unless otherwise specified, deliver within five Business Days after the Borrower obtains Knowledge of any of the following, written notice to the Administrative Agent of:</w:t>
      </w:r>
    </w:p>
    <w:p>
      <w:pPr>
        <w:spacing w:after="0" w:line="135" w:lineRule="exact"/>
        <w:rPr>
          <w:rFonts w:ascii="Times New Roman" w:cs="Times New Roman" w:eastAsia="Times New Roman" w:hAnsi="Times New Roman"/>
          <w:sz w:val="21"/>
          <w:szCs w:val="21"/>
          <w:color w:val="auto"/>
        </w:rPr>
      </w:pPr>
    </w:p>
    <w:p>
      <w:pPr>
        <w:jc w:val="both"/>
        <w:ind w:left="2600" w:hanging="648"/>
        <w:spacing w:after="0" w:line="256" w:lineRule="auto"/>
        <w:tabs>
          <w:tab w:leader="none" w:pos="2589"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of Loss or Event of Taking in excess of $75,000,000 in value or any series of such events or circumstances during any twelve month period in excess of $250,000,000 in value in the aggregate, or the initiation of any insurance claim proceedings with respect to any such Event of Loss or Event of Taking;</w:t>
      </w:r>
    </w:p>
    <w:p>
      <w:pPr>
        <w:spacing w:after="0" w:line="176"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giving rise (or that could reasonably be expected to give rise) to a claim under any insurance policy maintained with respect to the Project in excess of $75,000,000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copies of any material document relating thereto that are available to the Borrower;</w:t>
      </w:r>
    </w:p>
    <w:p>
      <w:pPr>
        <w:spacing w:after="0" w:line="220" w:lineRule="exact"/>
        <w:rPr>
          <w:sz w:val="20"/>
          <w:szCs w:val="20"/>
          <w:color w:val="auto"/>
        </w:rPr>
      </w:pPr>
    </w:p>
    <w:p>
      <w:pPr>
        <w:jc w:val="both"/>
        <w:ind w:left="2600" w:hanging="648"/>
        <w:spacing w:after="0" w:line="263" w:lineRule="auto"/>
        <w:tabs>
          <w:tab w:leader="none" w:pos="259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to pay any premium, cancellation, termination, suspension, or actual or reasonably anticipated material reductions in the coverages or amounts of any insurance required pursuant to the Insurance Program;</w:t>
      </w:r>
    </w:p>
    <w:p>
      <w:pPr>
        <w:spacing w:after="0" w:line="167"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the financial rating of any insurer providing insurance such that the rating no longer meets the requirements set forth in the Insurance Program;</w:t>
      </w:r>
    </w:p>
    <w:p>
      <w:pPr>
        <w:spacing w:after="0" w:line="153" w:lineRule="exact"/>
        <w:rPr>
          <w:rFonts w:ascii="Times New Roman" w:cs="Times New Roman" w:eastAsia="Times New Roman" w:hAnsi="Times New Roman"/>
          <w:sz w:val="22"/>
          <w:szCs w:val="22"/>
          <w:color w:val="auto"/>
        </w:rPr>
      </w:pPr>
    </w:p>
    <w:p>
      <w:pPr>
        <w:ind w:left="2600" w:hanging="648"/>
        <w:spacing w:after="0" w:line="275" w:lineRule="auto"/>
        <w:tabs>
          <w:tab w:leader="none" w:pos="2592"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documents delivered by or to the Borrower pursuant to Exhibit E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of the CFAA;</w:t>
      </w:r>
    </w:p>
    <w:p>
      <w:pPr>
        <w:spacing w:after="0" w:line="166" w:lineRule="exact"/>
        <w:rPr>
          <w:rFonts w:ascii="Times New Roman" w:cs="Times New Roman" w:eastAsia="Times New Roman" w:hAnsi="Times New Roman"/>
          <w:sz w:val="22"/>
          <w:szCs w:val="22"/>
          <w:color w:val="auto"/>
        </w:rPr>
      </w:pPr>
    </w:p>
    <w:p>
      <w:pPr>
        <w:ind w:left="2600" w:hanging="648"/>
        <w:spacing w:after="0" w:line="271" w:lineRule="auto"/>
        <w:tabs>
          <w:tab w:leader="none" w:pos="259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claims on insurance carried by the P1 EPC Contractor under the P1 EPC Contracts and a summary of the progress and status of such claims;</w:t>
      </w:r>
    </w:p>
    <w:p>
      <w:pPr>
        <w:spacing w:after="0" w:line="157"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89"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renewal or replacement of any insurance policy required under the Insurance Program, within thirty days thereof;</w:t>
      </w:r>
    </w:p>
    <w:p>
      <w:pPr>
        <w:spacing w:after="0" w:line="157" w:lineRule="exact"/>
        <w:rPr>
          <w:rFonts w:ascii="Times New Roman" w:cs="Times New Roman" w:eastAsia="Times New Roman" w:hAnsi="Times New Roman"/>
          <w:sz w:val="22"/>
          <w:szCs w:val="22"/>
          <w:color w:val="auto"/>
        </w:rPr>
      </w:pPr>
    </w:p>
    <w:p>
      <w:pPr>
        <w:jc w:val="both"/>
        <w:ind w:left="2600" w:hanging="648"/>
        <w:spacing w:after="0" w:line="250" w:lineRule="auto"/>
        <w:tabs>
          <w:tab w:leader="none" w:pos="2589"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prejudice to its other obligations under this </w:t>
      </w:r>
      <w:r>
        <w:rPr>
          <w:rFonts w:ascii="Times New Roman" w:cs="Times New Roman" w:eastAsia="Times New Roman" w:hAnsi="Times New Roman"/>
          <w:sz w:val="22"/>
          <w:szCs w:val="22"/>
          <w:u w:val="single" w:color="auto"/>
          <w:color w:val="auto"/>
        </w:rPr>
        <w:t>Section 8.1(i)(xix)</w:t>
      </w:r>
      <w:r>
        <w:rPr>
          <w:rFonts w:ascii="Times New Roman" w:cs="Times New Roman" w:eastAsia="Times New Roman" w:hAnsi="Times New Roman"/>
          <w:sz w:val="22"/>
          <w:szCs w:val="22"/>
          <w:color w:val="auto"/>
        </w:rPr>
        <w:t xml:space="preserve"> or the CFAA, any fact, event or circumstance that has caused, or that with the giving of notice, lapse of time or making of a determination would cause, it to be in breach of any provision of this </w:t>
      </w:r>
      <w:r>
        <w:rPr>
          <w:rFonts w:ascii="Times New Roman" w:cs="Times New Roman" w:eastAsia="Times New Roman" w:hAnsi="Times New Roman"/>
          <w:sz w:val="22"/>
          <w:szCs w:val="22"/>
          <w:u w:val="single" w:color="auto"/>
          <w:color w:val="auto"/>
        </w:rPr>
        <w:t>Section 8.1(i)(xix)</w:t>
      </w:r>
      <w:r>
        <w:rPr>
          <w:rFonts w:ascii="Times New Roman" w:cs="Times New Roman" w:eastAsia="Times New Roman" w:hAnsi="Times New Roman"/>
          <w:sz w:val="22"/>
          <w:szCs w:val="22"/>
          <w:color w:val="auto"/>
        </w:rPr>
        <w:t xml:space="preserve"> or the CFAA or the requirements of any of the insurance policies in the Insurance Program and (1) the steps it proposes to take in order to remedy such breach or, if such breach cannot be remedied, to mitigate the risk or liability to which the Project has been or shall reasonably be expected to be exposed by virtue of the occurrence of such breach and (2) its good faith estimate of the period required to implement, and the cost of, such steps; and</w:t>
      </w:r>
    </w:p>
    <w:p>
      <w:pPr>
        <w:spacing w:after="0" w:line="186" w:lineRule="exact"/>
        <w:rPr>
          <w:rFonts w:ascii="Times New Roman" w:cs="Times New Roman" w:eastAsia="Times New Roman" w:hAnsi="Times New Roman"/>
          <w:sz w:val="22"/>
          <w:szCs w:val="22"/>
          <w:color w:val="auto"/>
        </w:rPr>
      </w:pPr>
    </w:p>
    <w:p>
      <w:pPr>
        <w:ind w:left="2600" w:hanging="648"/>
        <w:spacing w:after="0" w:line="271" w:lineRule="auto"/>
        <w:tabs>
          <w:tab w:leader="none" w:pos="260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equivalent to the foregoing that the Borrower has received from CFCo or InsuranceCo with respect to the Insurance Program; and</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55"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to the Administrative Agent in respect of the Borrower’s gas supply requirements in connection with its then-Designated Offtake Agreements, within 45 days following the end of each calendar quarter for the first two years after commissioning of the Train Facility under and as defined in the P1 EPC Contracts and, thereafter, within 45 days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98" w:lineRule="exact"/>
        <w:rPr>
          <w:sz w:val="20"/>
          <w:szCs w:val="20"/>
          <w:color w:val="auto"/>
        </w:rPr>
      </w:pPr>
    </w:p>
    <w:p>
      <w:pPr>
        <w:jc w:val="both"/>
        <w:ind w:left="1960"/>
        <w:spacing w:after="0" w:line="250" w:lineRule="auto"/>
        <w:rPr>
          <w:sz w:val="20"/>
          <w:szCs w:val="20"/>
          <w:color w:val="auto"/>
        </w:rPr>
      </w:pPr>
      <w:r>
        <w:rPr>
          <w:rFonts w:ascii="Times New Roman" w:cs="Times New Roman" w:eastAsia="Times New Roman" w:hAnsi="Times New Roman"/>
          <w:sz w:val="22"/>
          <w:szCs w:val="22"/>
          <w:color w:val="auto"/>
        </w:rPr>
        <w:t>the end of each June 30 and December 31 of each calendar year, reports on the status of its gas supply arrangements (excluding any commercially sensitive trade information) for the Project during the three- or six- month period prior to the end of such quarter or semi-annual period, as applicable, including (A) a summary list of gas suppliers with which the Borrower entered into material gas supply contracts during the covered period and (B) a summary of material gas purchases made and Hedge Agreements entered into by the Borrower during the covered period, detailing aggregate outstanding contract volumes, remaining tenor (after commencement of services), price ranges of such gas purchases and hedges and aggregate gas purchase, price indexation used and hedge payables with respect to material gas supply contracts and hedges during such covered period.</w:t>
      </w:r>
    </w:p>
    <w:p>
      <w:pPr>
        <w:spacing w:after="0" w:line="180" w:lineRule="exact"/>
        <w:rPr>
          <w:sz w:val="20"/>
          <w:szCs w:val="20"/>
          <w:color w:val="auto"/>
        </w:rPr>
      </w:pPr>
    </w:p>
    <w:p>
      <w:pPr>
        <w:jc w:val="both"/>
        <w:ind w:left="1300" w:right="20" w:hanging="644"/>
        <w:spacing w:after="0" w:line="257" w:lineRule="auto"/>
        <w:tabs>
          <w:tab w:leader="none" w:pos="128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each of the financial statements delivered to the Administrative Agent pursuant to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shall provide the Administrative Agent with an Officer’s Certificate executed by a Senior Financial Officer of the Borrower certifying that:</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financial statements fairly present in all material respects the financial condition and results of operations of the Borrower on the dates and for the periods indicated on a consolidated basis in accordance with GAAP, subject, in the case of quarterly financial statements to the absence of notes and normal year-end audit adjustments; and</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54"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or default or event of default under any Senior Secured Debt Instrument exists as of the date of such certificate or, if any Default or Event of Default, or default or event of default under any Senior Secured Debt Instrument, exists, describing the same in reasonable detail and describing what action the Borrower has taken and proposes to take with respect thereto.</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Compliance Certificate</w:t>
      </w:r>
    </w:p>
    <w:p>
      <w:pPr>
        <w:spacing w:after="0" w:line="224" w:lineRule="exact"/>
        <w:rPr>
          <w:sz w:val="20"/>
          <w:szCs w:val="20"/>
          <w:color w:val="auto"/>
        </w:rPr>
      </w:pPr>
    </w:p>
    <w:p>
      <w:pPr>
        <w:jc w:val="both"/>
        <w:ind w:left="1300" w:hanging="644"/>
        <w:spacing w:after="0" w:line="268" w:lineRule="auto"/>
        <w:tabs>
          <w:tab w:leader="none" w:pos="1297"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deliver to the Administrative Agent, within ninety days after the end of each Fiscal Year (with the first Officer’s Certificate to be delivered on or before March 31, 2024),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Borrower is taking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98" w:lineRule="exact"/>
        <w:rPr>
          <w:sz w:val="20"/>
          <w:szCs w:val="20"/>
          <w:color w:val="auto"/>
        </w:rPr>
      </w:pPr>
    </w:p>
    <w:p>
      <w:pPr>
        <w:jc w:val="both"/>
        <w:ind w:left="1300" w:hanging="644"/>
        <w:spacing w:after="0" w:line="256" w:lineRule="auto"/>
        <w:tabs>
          <w:tab w:leader="none" w:pos="1295"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of the Senior Loans are outstanding, the Borrower will deliver to the Administrative Agent, forthwith upon any Authorized Officer becoming aware of any Default or Event of Default, an Officer’s Certificate specifying such Default or Event of Default and what action the Borrower is taking or proposes to take with respect thereto.</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223"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Each of the following events or occurrences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shall be an Event of Default.</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Non-Payment of Senior Loans</w:t>
      </w:r>
    </w:p>
    <w:p>
      <w:pPr>
        <w:spacing w:after="0" w:line="224"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The Borrower shall (a) fail to pay when due any principal of any Senior Loans (unless (i) such failure is caused by an administrative or technical error and (ii) payment is made within three Business Days of its due date), or (b) fail to pay when due any interest in respect of the Senior Loans, and such failure continues unremedied for a period of three Business Day.</w:t>
      </w:r>
    </w:p>
    <w:p>
      <w:pPr>
        <w:spacing w:after="0" w:line="1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Common Terms Agreement</w:t>
      </w:r>
    </w:p>
    <w:p>
      <w:pPr>
        <w:spacing w:after="0" w:line="23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Any “Event of Default” specified in Article 7 (</w:t>
      </w:r>
      <w:r>
        <w:rPr>
          <w:rFonts w:ascii="Times New Roman" w:cs="Times New Roman" w:eastAsia="Times New Roman" w:hAnsi="Times New Roman"/>
          <w:sz w:val="22"/>
          <w:szCs w:val="22"/>
          <w:i w:val="1"/>
          <w:iCs w:val="1"/>
          <w:color w:val="auto"/>
        </w:rPr>
        <w:t>Events of Default</w:t>
      </w:r>
      <w:r>
        <w:rPr>
          <w:rFonts w:ascii="Times New Roman" w:cs="Times New Roman" w:eastAsia="Times New Roman" w:hAnsi="Times New Roman"/>
          <w:sz w:val="22"/>
          <w:szCs w:val="22"/>
          <w:color w:val="auto"/>
        </w:rPr>
        <w:t xml:space="preserve">) of the Common Terms Agreement has occurred and is continuing and has not been Waived in accordance with the Collateral and Intercreditor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amendment or other modification to Section 7.5 (</w:t>
      </w:r>
      <w:r>
        <w:rPr>
          <w:rFonts w:ascii="Times New Roman" w:cs="Times New Roman" w:eastAsia="Times New Roman" w:hAnsi="Times New Roman"/>
          <w:sz w:val="22"/>
          <w:szCs w:val="22"/>
          <w:i w:val="1"/>
          <w:iCs w:val="1"/>
          <w:color w:val="auto"/>
        </w:rPr>
        <w:t>Bankruptcy</w:t>
      </w:r>
      <w:r>
        <w:rPr>
          <w:rFonts w:ascii="Times New Roman" w:cs="Times New Roman" w:eastAsia="Times New Roman" w:hAnsi="Times New Roman"/>
          <w:sz w:val="22"/>
          <w:szCs w:val="22"/>
          <w:color w:val="auto"/>
        </w:rPr>
        <w:t>) of the Common Terms Agreement that results in the occurrence of a Bankruptcy with respect to the Borrower not being an “Event of Default” under such Section 7.5 (</w:t>
      </w:r>
      <w:r>
        <w:rPr>
          <w:rFonts w:ascii="Times New Roman" w:cs="Times New Roman" w:eastAsia="Times New Roman" w:hAnsi="Times New Roman"/>
          <w:sz w:val="22"/>
          <w:szCs w:val="22"/>
          <w:i w:val="1"/>
          <w:iCs w:val="1"/>
          <w:color w:val="auto"/>
        </w:rPr>
        <w:t>Bankruptcy</w:t>
      </w:r>
      <w:r>
        <w:rPr>
          <w:rFonts w:ascii="Times New Roman" w:cs="Times New Roman" w:eastAsia="Times New Roman" w:hAnsi="Times New Roman"/>
          <w:sz w:val="22"/>
          <w:szCs w:val="22"/>
          <w:color w:val="auto"/>
        </w:rPr>
        <w:t>) shall be effective with respect to the Senior Loans unless such amendment or other modification is approved by the Majority Senior Lenders.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Breach of Covenants</w:t>
      </w:r>
    </w:p>
    <w:p>
      <w:pPr>
        <w:spacing w:after="0" w:line="237" w:lineRule="exact"/>
        <w:rPr>
          <w:sz w:val="20"/>
          <w:szCs w:val="20"/>
          <w:color w:val="auto"/>
        </w:rPr>
      </w:pPr>
    </w:p>
    <w:p>
      <w:pPr>
        <w:ind w:left="1300" w:hanging="644"/>
        <w:spacing w:after="0" w:line="271" w:lineRule="auto"/>
        <w:tabs>
          <w:tab w:leader="none" w:pos="129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defaults in the due performance and observance of any of its obligations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29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defaults in the due performance and observance of any of its obligations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such failure shall result in a Material Adverse Effect.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defaults in the due performance and observance of any of its obligations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and such Default continues unremedied for a period of thirty days after the date on which the Borrower receives written notice of such Default from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98" w:lineRule="exact"/>
        <w:rPr>
          <w:sz w:val="20"/>
          <w:szCs w:val="20"/>
          <w:color w:val="auto"/>
        </w:rPr>
      </w:pPr>
    </w:p>
    <w:p>
      <w:pPr>
        <w:jc w:val="both"/>
        <w:ind w:left="1300" w:hanging="644"/>
        <w:spacing w:after="0" w:line="256" w:lineRule="auto"/>
        <w:tabs>
          <w:tab w:leader="none" w:pos="129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defaults in the due performance and observance of any of its other obligations under this Agreement and such Default continues unremedied for a period of thirty days after the date on which the Borrower receives written notice of such Default from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period shall be ninety days with respect to </w:t>
      </w:r>
      <w:r>
        <w:rPr>
          <w:rFonts w:ascii="Times New Roman" w:cs="Times New Roman" w:eastAsia="Times New Roman" w:hAnsi="Times New Roman"/>
          <w:sz w:val="22"/>
          <w:szCs w:val="22"/>
          <w:u w:val="single" w:color="auto"/>
          <w:color w:val="auto"/>
        </w:rPr>
        <w:t>Section 8.1(i)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-212725</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Bankruptcy</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Notwithstanding Section 7.5(b) (</w:t>
      </w:r>
      <w:r>
        <w:rPr>
          <w:rFonts w:ascii="Times New Roman" w:cs="Times New Roman" w:eastAsia="Times New Roman" w:hAnsi="Times New Roman"/>
          <w:sz w:val="22"/>
          <w:szCs w:val="22"/>
          <w:i w:val="1"/>
          <w:iCs w:val="1"/>
          <w:color w:val="auto"/>
        </w:rPr>
        <w:t>Bankruptcy</w:t>
      </w:r>
      <w:r>
        <w:rPr>
          <w:rFonts w:ascii="Times New Roman" w:cs="Times New Roman" w:eastAsia="Times New Roman" w:hAnsi="Times New Roman"/>
          <w:sz w:val="22"/>
          <w:szCs w:val="22"/>
          <w:color w:val="auto"/>
        </w:rPr>
        <w:t>) of the Common Terms Agreement, a Bankruptcy shall occur with respect to any RG Facility Entity.</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Liens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Liens in favor of the Senior Secured Parties under the Senior Security Documents shall at any time cease to constitute valid and perfected Liens granting a first priority security interest in any material portion of the Collateral (subject to Permitted Liens).</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Project Completion Date</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Project fails to achieve the Project Completion Date on or before the Date Certain.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9.7.</w:t>
      </w:r>
      <w:r>
        <w:rPr>
          <w:sz w:val="20"/>
          <w:szCs w:val="20"/>
          <w:color w:val="auto"/>
        </w:rPr>
        <w:tab/>
      </w:r>
      <w:r>
        <w:rPr>
          <w:rFonts w:ascii="Times New Roman" w:cs="Times New Roman" w:eastAsia="Times New Roman" w:hAnsi="Times New Roman"/>
          <w:sz w:val="21"/>
          <w:szCs w:val="21"/>
          <w:b w:val="1"/>
          <w:bCs w:val="1"/>
          <w:color w:val="auto"/>
        </w:rPr>
        <w:t>Material Project Document Defaults</w:t>
      </w:r>
    </w:p>
    <w:p>
      <w:pPr>
        <w:spacing w:after="0" w:line="237" w:lineRule="exact"/>
        <w:rPr>
          <w:sz w:val="20"/>
          <w:szCs w:val="20"/>
          <w:color w:val="auto"/>
        </w:rPr>
      </w:pPr>
    </w:p>
    <w:p>
      <w:pPr>
        <w:jc w:val="both"/>
        <w:ind w:left="1300" w:hanging="644"/>
        <w:spacing w:after="0" w:line="246" w:lineRule="auto"/>
        <w:tabs>
          <w:tab w:leader="none" w:pos="1297"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Material Project Document (other than any Designated Offtake Agreement) (i) is expressly repudiated in writing by the Material Project Party that is the counterparty thereto and such repudiation could reasonably be expected to have a Material Adverse Effect, (ii) is declared unenforceable in a final judgment of a court of competent jurisdiction against any party, such unenforceability is not cured, and such unenforceability could reasonably be expected to have a Material Adverse Effect, or (iii) shall have been terminated or shall for any reason cease to be valid and binding or in full force and effect or shall be materially Impaired (in each case, except in connection with its expiration in accordance with its terms in the ordinary course (and not related to any default or early termination right thereunder)) and such termination, failure to be valid, binding, or in full force and effect, or material Impairment could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shall have occurred pursuant to this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 xml:space="preserve"> if (A) such event or circumstance is cured within sixty days of such event or circumstance or (B) the Borrower notifies the Administrative Agent that it intends to replace such Material Project Document and diligently pursues such replacement and the applicable Material Project Document is replaced within ninety days with an Additional Material Project Document which has substantially similar or more favorable economic effect for the Borrower, as applicable, when taken as a whole together with any other agreements related thereto and which has substantially similar or more favorable non-economic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6344920</wp:posOffset>
            </wp:positionH>
            <wp:positionV relativeFrom="paragraph">
              <wp:posOffset>-1176020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9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(taken as a whole together with any other agreements related thereto) for the Borrower, as applicable, as the Material Project Document being replaced.</w:t>
      </w:r>
    </w:p>
    <w:p>
      <w:pPr>
        <w:spacing w:after="0" w:line="154" w:lineRule="exact"/>
        <w:rPr>
          <w:sz w:val="20"/>
          <w:szCs w:val="20"/>
          <w:color w:val="auto"/>
        </w:rPr>
      </w:pPr>
    </w:p>
    <w:p>
      <w:pPr>
        <w:jc w:val="both"/>
        <w:ind w:left="1300" w:hanging="644"/>
        <w:spacing w:after="0" w:line="265" w:lineRule="auto"/>
        <w:tabs>
          <w:tab w:leader="none" w:pos="1295"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7.7 (</w:t>
      </w:r>
      <w:r>
        <w:rPr>
          <w:rFonts w:ascii="Times New Roman" w:cs="Times New Roman" w:eastAsia="Times New Roman" w:hAnsi="Times New Roman"/>
          <w:sz w:val="21"/>
          <w:szCs w:val="21"/>
          <w:i w:val="1"/>
          <w:iCs w:val="1"/>
          <w:color w:val="auto"/>
        </w:rPr>
        <w:t>Illegality or Unenforceability</w:t>
      </w:r>
      <w:r>
        <w:rPr>
          <w:rFonts w:ascii="Times New Roman" w:cs="Times New Roman" w:eastAsia="Times New Roman" w:hAnsi="Times New Roman"/>
          <w:sz w:val="21"/>
          <w:szCs w:val="21"/>
          <w:color w:val="auto"/>
        </w:rPr>
        <w:t>) of the Common Terms Agreement, any Necessary Senior Secured Debt Instrument or any material provision thereof, (i) is declared by a court of competent jurisdiction to be illegal or unenforceable and such unenforceability or illegality is not cured within five Business Days following the date of entry of such judgment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five Business Day period will apply only so long as the relevant party is attempting in good faith to cure such unenforceability), (ii) should otherwise cease to be valid and binding or in full force and effect or shall be materially Impaired (in each case, except in connection with its expiration or termination in accordance with its terms in the ordinary course (and not related to any default hereunder or thereunder)), or (iii) is expressly terminated, contested or repudiated by the Borrower.</w:t>
      </w:r>
    </w:p>
    <w:p>
      <w:pPr>
        <w:spacing w:after="0" w:line="161"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-971550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Acceleration Upon Bankruptcy</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If any CTA Event of Default described in Section 7.5(a) (</w:t>
      </w:r>
      <w:r>
        <w:rPr>
          <w:rFonts w:ascii="Times New Roman" w:cs="Times New Roman" w:eastAsia="Times New Roman" w:hAnsi="Times New Roman"/>
          <w:sz w:val="22"/>
          <w:szCs w:val="22"/>
          <w:i w:val="1"/>
          <w:iCs w:val="1"/>
          <w:color w:val="auto"/>
        </w:rPr>
        <w:t>Bankruptcy</w:t>
      </w:r>
      <w:r>
        <w:rPr>
          <w:rFonts w:ascii="Times New Roman" w:cs="Times New Roman" w:eastAsia="Times New Roman" w:hAnsi="Times New Roman"/>
          <w:sz w:val="22"/>
          <w:szCs w:val="22"/>
          <w:color w:val="auto"/>
        </w:rPr>
        <w:t>) of the Common Terms Agreement occurs with respect to the Borrower, all outstanding Senior Loan Commitments, if any, shall automatically terminate, the outstanding principal amount of the Senior Loans and all other Obligations shall automatically be and become immediately due and payable (it being understood that no Make-Whole Amount or premium shall be payable), in each case without notice, demand or further act of the Administrative Agent or the Senior Lenders.</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Acceleration Upon Other Event of Default</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 xml:space="preserve">If any Event of Default occurs for any reason other than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and is continuing, the Administrative Agent may, or upon the direction of the Majority Senior Lenders shall, by written notice to the Borrower take any or all of the following actions:</w:t>
      </w:r>
    </w:p>
    <w:p>
      <w:pPr>
        <w:spacing w:after="0" w:line="159" w:lineRule="exact"/>
        <w:rPr>
          <w:sz w:val="20"/>
          <w:szCs w:val="20"/>
          <w:color w:val="auto"/>
        </w:rPr>
      </w:pPr>
    </w:p>
    <w:p>
      <w:pPr>
        <w:jc w:val="both"/>
        <w:ind w:left="1300" w:hanging="644"/>
        <w:spacing w:after="0" w:line="263" w:lineRule="auto"/>
        <w:tabs>
          <w:tab w:leader="none" w:pos="1297"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outstanding principal amount of the Senior Loans and all other Obligations that are not already due and payable to be immediately due and payable (it being understood that no Make-Whole Amount or premium shall be payable); and</w:t>
      </w:r>
    </w:p>
    <w:p>
      <w:pPr>
        <w:spacing w:after="0" w:line="167"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all outstanding Senior Loan Commitments.</w:t>
      </w:r>
    </w:p>
    <w:p>
      <w:pPr>
        <w:spacing w:after="0" w:line="220" w:lineRule="exact"/>
        <w:rPr>
          <w:sz w:val="20"/>
          <w:szCs w:val="20"/>
          <w:color w:val="auto"/>
        </w:rPr>
      </w:pPr>
    </w:p>
    <w:p>
      <w:pPr>
        <w:jc w:val="both"/>
        <w:ind w:left="640" w:right="20"/>
        <w:spacing w:after="0" w:line="257" w:lineRule="auto"/>
        <w:rPr>
          <w:sz w:val="20"/>
          <w:szCs w:val="20"/>
          <w:color w:val="auto"/>
        </w:rPr>
      </w:pPr>
      <w:r>
        <w:rPr>
          <w:rFonts w:ascii="Times New Roman" w:cs="Times New Roman" w:eastAsia="Times New Roman" w:hAnsi="Times New Roman"/>
          <w:sz w:val="22"/>
          <w:szCs w:val="22"/>
          <w:color w:val="auto"/>
        </w:rPr>
        <w:t xml:space="preserve">The full unpaid amount of such Senior Loans and other Obligations that have been declared due and payable shall be and become immediately due and payable, without further notice, demand or presentment, as the case may be, and such outstanding Senior Loan Commitments shall terminate. Any declaration made pursuant to this </w:t>
      </w:r>
      <w:r>
        <w:rPr>
          <w:rFonts w:ascii="Times New Roman" w:cs="Times New Roman" w:eastAsia="Times New Roman" w:hAnsi="Times New Roman"/>
          <w:sz w:val="22"/>
          <w:szCs w:val="22"/>
          <w:u w:val="single" w:color="auto"/>
          <w:color w:val="auto"/>
        </w:rPr>
        <w:t>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98"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 xml:space="preserve">may, should the Majority Senior Lenders in their sole and absolute discretion so elect, be rescinded by written notice to the Borrower at any time after the principal of the Senior Loans has become due and payable, but before any judgment or decree for the payment of the monies so due, or any part thereof, has been entered;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rescission or annulment shall extend to or affect any subsequent Event of Default or impair any right consequent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-212725</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Action Upon Event of Default</w:t>
      </w:r>
    </w:p>
    <w:p>
      <w:pPr>
        <w:spacing w:after="0" w:line="237"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Subject to the terms of the Collateral and Intercreditor Agreement, if any Event of Default occurs for any reason and is continuing (after giving effect to any cure of the applicable Event of Default), then, the Administrative Agent may, or upon the direction of the Majority Senior Lenders shall, by written notice to the Borrower of its intention to exercise any remedies hereunder, under the other Financing Documents or at law or in equity, and without further notice of default, presentment or demand for payment, protest or notice of non-payment or dishonor, or other notices or demands of any kind, all such notices and demands being waived by the Borrower, exercise any or all of the following rights and remedies, in any combination or order that the Administrative Agent or the Majority Senior Lenders may elect, in addition to such other right or remedies as the Administrative Agent and the Senior Lenders may have hereunder, under the other Financing Documents or at law or in equity:</w:t>
      </w:r>
    </w:p>
    <w:p>
      <w:pPr>
        <w:spacing w:after="0" w:line="172" w:lineRule="exact"/>
        <w:rPr>
          <w:sz w:val="20"/>
          <w:szCs w:val="20"/>
          <w:color w:val="auto"/>
        </w:rPr>
      </w:pPr>
    </w:p>
    <w:p>
      <w:pPr>
        <w:jc w:val="both"/>
        <w:ind w:left="1300" w:hanging="644"/>
        <w:spacing w:after="0" w:line="257" w:lineRule="auto"/>
        <w:tabs>
          <w:tab w:leader="none" w:pos="129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terms of the Common Terms Agreement and the Collateral and Intercreditor Agreement, vote in favor of the taking of any and all actions necessary or desirable to implement any available remedies with respect to the Collateral under any of the P1 Collateral Documents;</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any obligation to do so, make disbursements or Senior Loans as provided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to or on behalf of the Borrower to cure any Event of Default hereunder and to cure any default and render any performance under any Material Project Documents (or any other contract to which the Borrower is a party) as the Majority Senior Lenders in their sole discretion may consider necessary or appropriate, whether to preserve and protect the Collateral or the Senior Lenders’ interests therein or for any other reason, and all sums so expended, together with interest on such total amount at the Default Rate, shall be Senior Secured Obligations, notwithstanding that such expenditures may, together with amounts theretofore advanced under this Agreement, exceed the amount of the Senior Loan Commitments; or</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(or vote in favor of the taking) other action at law or in equity as may appear necessary or desirable to collect the amounts then due and thereafter to become due, or to enforce performance and observance of any obligation, agreement or covenant of the Borrower under this Agreement, the Common Terms Agreement or the Collateral and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Application of Proceeds</w:t>
      </w:r>
    </w:p>
    <w:p>
      <w:pPr>
        <w:spacing w:after="0" w:line="22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Subject to the terms of the Collateral and Intercreditor Agreement, any moneys received by the Administrative Agent from the P1 Collateral Agent after the occurrence and during the continuance of an Event of Default and the period during which remedies have been initiated shall be applied in full or in part by the Administrative Agent against the Obligations in the following order of priority (but without prejudice to the right of the Senior Lenders, subject to the terms of the Collateral and Intercreditor Agreement, to recover any shortfall from the Borrower):</w:t>
      </w:r>
    </w:p>
    <w:p>
      <w:pPr>
        <w:spacing w:after="0" w:line="165" w:lineRule="exact"/>
        <w:rPr>
          <w:sz w:val="20"/>
          <w:szCs w:val="20"/>
          <w:color w:val="auto"/>
        </w:rPr>
      </w:pPr>
    </w:p>
    <w:p>
      <w:pPr>
        <w:jc w:val="both"/>
        <w:ind w:left="1300" w:hanging="644"/>
        <w:spacing w:after="0" w:line="257" w:lineRule="auto"/>
        <w:tabs>
          <w:tab w:leader="none" w:pos="129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costs, expenses (and interest owing thereon (if any)) and any other amounts (including fees, costs and expenses of counsel) payable to the Administrative Agent in its capacity as such;</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costs, expenses (and interest owing thereon (if any)) and any other amounts (including fees, costs and expenses of counsel and amounts payable under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payable to the Senior Lenders ratably in proportion to the amounts described in this </w:t>
      </w:r>
      <w:r>
        <w:rPr>
          <w:rFonts w:ascii="Times New Roman" w:cs="Times New Roman" w:eastAsia="Times New Roman" w:hAnsi="Times New Roman"/>
          <w:sz w:val="22"/>
          <w:szCs w:val="22"/>
          <w:u w:val="single" w:color="auto"/>
          <w:color w:val="auto"/>
        </w:rPr>
        <w:t>clause second</w:t>
      </w:r>
      <w:r>
        <w:rPr>
          <w:rFonts w:ascii="Times New Roman" w:cs="Times New Roman" w:eastAsia="Times New Roman" w:hAnsi="Times New Roman"/>
          <w:sz w:val="22"/>
          <w:szCs w:val="22"/>
          <w:color w:val="auto"/>
        </w:rPr>
        <w:t xml:space="preserve"> payable to them;</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interest (including default interest) with respect to the Senior Loans, payable to the Senior Lenders ratably in proportion to the respective amounts described in this </w:t>
      </w:r>
      <w:r>
        <w:rPr>
          <w:rFonts w:ascii="Times New Roman" w:cs="Times New Roman" w:eastAsia="Times New Roman" w:hAnsi="Times New Roman"/>
          <w:sz w:val="22"/>
          <w:szCs w:val="22"/>
          <w:u w:val="single" w:color="auto"/>
          <w:color w:val="auto"/>
        </w:rPr>
        <w:t>clause third</w:t>
      </w:r>
      <w:r>
        <w:rPr>
          <w:rFonts w:ascii="Times New Roman" w:cs="Times New Roman" w:eastAsia="Times New Roman" w:hAnsi="Times New Roman"/>
          <w:sz w:val="22"/>
          <w:szCs w:val="22"/>
          <w:color w:val="auto"/>
        </w:rPr>
        <w:t xml:space="preserve"> payable to them;</w:t>
      </w:r>
    </w:p>
    <w:p>
      <w:pPr>
        <w:spacing w:after="0" w:line="182"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295"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of that principal amount of the Senior Loans payable to the Senior Lenders (in inverse order of maturity), ratably among the Senior Lenders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held by them; and</w:t>
      </w:r>
    </w:p>
    <w:p>
      <w:pPr>
        <w:spacing w:after="0" w:line="170"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9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the balance, if any, after all of the Obligations have been paid in full, to the Borrower or as otherwise required by applicable Government Rule.</w:t>
      </w:r>
    </w:p>
    <w:p>
      <w:pPr>
        <w:spacing w:after="0" w:line="167" w:lineRule="exact"/>
        <w:rPr>
          <w:sz w:val="20"/>
          <w:szCs w:val="20"/>
          <w:color w:val="auto"/>
        </w:rPr>
      </w:pPr>
    </w:p>
    <w:p>
      <w:pPr>
        <w:ind w:left="640" w:hanging="632"/>
        <w:spacing w:after="0"/>
        <w:tabs>
          <w:tab w:leader="none" w:pos="640" w:val="left"/>
        </w:tabs>
        <w:numPr>
          <w:ilvl w:val="0"/>
          <w:numId w:val="2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ADMINISTRATIVE AGENT</w:t>
      </w:r>
    </w:p>
    <w:p>
      <w:pPr>
        <w:spacing w:after="0" w:line="219"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Appointment and Authority</w:t>
      </w:r>
    </w:p>
    <w:p>
      <w:pPr>
        <w:spacing w:after="0" w:line="223" w:lineRule="exact"/>
        <w:rPr>
          <w:rFonts w:ascii="Times New Roman" w:cs="Times New Roman" w:eastAsia="Times New Roman" w:hAnsi="Times New Roman"/>
          <w:sz w:val="22"/>
          <w:szCs w:val="22"/>
          <w:b w:val="1"/>
          <w:bCs w:val="1"/>
          <w:color w:val="auto"/>
        </w:rPr>
      </w:pPr>
    </w:p>
    <w:p>
      <w:pPr>
        <w:jc w:val="both"/>
        <w:ind w:left="1300" w:hanging="644"/>
        <w:spacing w:after="0" w:line="268" w:lineRule="auto"/>
        <w:tabs>
          <w:tab w:leader="none" w:pos="1297"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Senior Lenders hereby appoints, designates and authorizes Wilmington Trust, National Association, as its Administrative Agent under and for purposes of each Financing Document to which the Administrative Agent is a party, and in its capacity as the Administrative Agent, to act on its behalf as Senior Secured Debt Holder Representative for the Senior Lenders. Wilmington Trust, National Association hereby accepts this appointment and agrees to act as the Administrative Agent for the Senior Lenders in accordance with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98"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21"/>
          <w:szCs w:val="21"/>
          <w:color w:val="auto"/>
        </w:rPr>
        <w:t xml:space="preserve">this Agreement, and to act as Senior Secured Debt Holder Representative for the Senior Lenders in accordance with the Common Terms Agreement. Each of the Senior Lenders appoints and authorizes the Administrative Agent to act on behalf of such Senior Lender under each Financing Document to which it is a party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each reliance letter provided under Section 6.1(g))</w:t>
      </w:r>
      <w:r>
        <w:rPr>
          <w:rFonts w:ascii="Times New Roman" w:cs="Times New Roman" w:eastAsia="Times New Roman" w:hAnsi="Times New Roman"/>
          <w:sz w:val="21"/>
          <w:szCs w:val="21"/>
          <w:color w:val="auto"/>
        </w:rPr>
        <w:t xml:space="preserve"> and in the absence of other written instructions from the Majority Senior Lenders received from time to time by the Administrative Agent (with respect to which the Administrative Agent agrees that it will comply, except as otherwise provided in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or as otherwise advised by counsel, and subject in all cases to the terms of the Collateral and Intercreditor Agreement), to exercise such powers hereunder and thereunder as are specifically delegated to or required of the Administrative Agent by the terms hereof and thereof, together with such powers as may be reasonably incidental thereto. Notwithstanding any provision to the contrary contained elsewhere in any Financing Document, the Administrative Agent shall not have any duties or responsibilities, except those expressly set forth herein, nor shall the Administrative Agent have or be deemed to have any fiduciary relationship with any Senior Lender or other Credit Agreement Senior Secured Party, and no implied covenants, functions, responsibilities, duties, obligations or liabilities shall be read into any Financing Document or otherwise exist against the Administrative Agent. Without limiting the generality of the foregoing sentence, the use of the term “agent” in this Agreement with reference to the Administrative Agent is not intended to connote any fiduciary or other implied (or express) obligations arising under agency doctrine of any applicable Government Rule. Instead, such term is used merely as a matter of market custom, and is intended to create or reflect only an administrative relationship between independent contracting parties.</w:t>
      </w:r>
    </w:p>
    <w:p>
      <w:pPr>
        <w:spacing w:after="0" w:line="183" w:lineRule="exact"/>
        <w:rPr>
          <w:sz w:val="20"/>
          <w:szCs w:val="20"/>
          <w:color w:val="auto"/>
        </w:rPr>
      </w:pPr>
    </w:p>
    <w:p>
      <w:pPr>
        <w:jc w:val="both"/>
        <w:ind w:left="1300" w:hanging="644"/>
        <w:spacing w:after="0" w:line="263" w:lineRule="auto"/>
        <w:tabs>
          <w:tab w:leader="none" w:pos="129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are solely for the benefit of the Administrative Agent and the Senior Lenders, and neither the Borrower nor any other Person shall have rights as a third party beneficiary of any of such provisions other than the Borrower’s rights under </w:t>
      </w:r>
      <w:r>
        <w:rPr>
          <w:rFonts w:ascii="Times New Roman" w:cs="Times New Roman" w:eastAsia="Times New Roman" w:hAnsi="Times New Roman"/>
          <w:sz w:val="22"/>
          <w:szCs w:val="22"/>
          <w:u w:val="single" w:color="auto"/>
          <w:color w:val="auto"/>
        </w:rPr>
        <w:t>Section 11.7(a)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11.7(b)</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Rights as a Senior Lender</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Each Person serving as the Administrative Agent hereunder or under any other Financing Document shall have the same rights and powers in its capacity as a Senior Lender, as the case may be, as any other Senior Lender and may exercise the same as though it were not the Administrative Agent. Each such Person and its Affiliates may accept deposits from, lend money to, act as the financial advisor or in any other advisory capacity for and generally engage in any kind of business with the Borrower or Affiliates of the Borrower as if such Person were not the Administrative Agent hereunder and without any duty to account therefor to any Senior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Exculpatory Provisions</w:t>
      </w:r>
    </w:p>
    <w:p>
      <w:pPr>
        <w:spacing w:after="0" w:line="224" w:lineRule="exact"/>
        <w:rPr>
          <w:sz w:val="20"/>
          <w:szCs w:val="20"/>
          <w:color w:val="auto"/>
        </w:rPr>
      </w:pPr>
    </w:p>
    <w:p>
      <w:pPr>
        <w:jc w:val="both"/>
        <w:ind w:left="1300" w:hanging="644"/>
        <w:spacing w:after="0" w:line="263" w:lineRule="auto"/>
        <w:tabs>
          <w:tab w:leader="none" w:pos="1297"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have any duties or obligations except those expressly set forth herein and in the other Financing Documents to which it is a party. Without limiting the generality of the foregoing, the Administrative Agent shall not:</w:t>
      </w:r>
    </w:p>
    <w:p>
      <w:pPr>
        <w:spacing w:after="0" w:line="167"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subject to any fiduciary or other implied duties, regardless of whether a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49" w:lineRule="auto"/>
        <w:tabs>
          <w:tab w:leader="none" w:pos="1954"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any duty to take any discretionary action or exercise any discretionary powers, except discretionary rights and powers expressly contemplated hereby or by the other Financing Documents that the Administrative Agent is required to exercise as directed in writing by the Majority Senior Lenders (or such other number or percentage of the Senior Lenders as shall be expressly provided for herein or in the other Financing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shall not be required to take any action that, in its opinion or the opinion of its counsel, may require the Administrative Agent to expend or risk its own funds or expose the Administrative Agent to liability or that is contrary to any Financing Document or applicable Government Rule;</w:t>
      </w:r>
    </w:p>
    <w:p>
      <w:pPr>
        <w:spacing w:after="0" w:line="195"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6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and in the other Financing Documents, have any duty to disclose, nor shall the Administrative Agent be liable for any failure to disclose, any information relating to the Borrower or any of its Affiliates that is communicated to or obtained by the Person serving as the Administrative Agent or any of its Affiliates in any capacity; or</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other unavailability of the Federal Reserve Bank wire or facsimile or other wire communication facility).</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liable for any action taken or not taken by it (i) with the prior written consent or at the request of the Majority Senior Lenders (or such other number or percentage of the Senior Lenders as may be necessary, or as the Administrative Agent may believe in good faith to be necessary, under the circumstances as provided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or (ii) in the absence of its own gross negligence or willful misconduct, as determined by a final and Non-Appealable judgment of a court of competent jurisdiction. The Administrative Agent shall be deemed not to have knowledge of any Default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-3407410</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9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Event of Default unless and until written notice describing such Default or Event of Default is given to the Administrative Agent in writing by the Borrower or a Senior Lender.</w:t>
      </w:r>
    </w:p>
    <w:p>
      <w:pPr>
        <w:spacing w:after="0" w:line="158" w:lineRule="exact"/>
        <w:rPr>
          <w:sz w:val="20"/>
          <w:szCs w:val="20"/>
          <w:color w:val="auto"/>
        </w:rPr>
      </w:pPr>
    </w:p>
    <w:p>
      <w:pPr>
        <w:jc w:val="both"/>
        <w:ind w:left="1300" w:hanging="644"/>
        <w:spacing w:after="0" w:line="248" w:lineRule="auto"/>
        <w:tabs>
          <w:tab w:leader="none" w:pos="1297"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 be responsible for or have any duty to ascertain or inquire into (i) any statement, warranty or representation made in or in connection with this Agreement or any other Financing Document, (ii) the contents of any certificate, report or other document delivered hereunder or thereunder or in connection herewith or therewith (including any Financing Document to which it is not a party), (iii) the performance or observance of any of the covenants, agreements or other terms or conditions set forth herein or therein or the occurrence or continuance of any Default or Event of Default, (iv) the validity, enforceability, effectiveness or genuineness of this Agreement, any other Financing Document or any other agreement, instrument or document, or the perfection or priority of any Lien or security interest created or purported to be created by any Senior Security Document, or (v) the satisfaction of any condition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elsewhere herein, other than to confirm receipt of any items expressly required to be delivered to the Administrative Agent.</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Reliance by Administrative Agent</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Senior Loan that by its terms must be fulfilled to the satisfaction of any Senior Lender, the Administrative Agent may presume that such condition is satisfactory to such Senior Lender unless the Administrative Agent has received notice to the contrary from such Senior Lender prior to the making of such Senior Loan. Before the Administrative Agent acts or refrains from acting, it may require an Officer’s Certificate or an Opinion of Counsel or both. The Administrative Agent will not be liable for any action it takes, suffers or omits to take in good faith in reliance on such Officer’s Certificate or Opinion of Counsel.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color w:val="auto"/>
        </w:rPr>
        <w:t>Delegation of Duties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Administrative Agent may perform any and all of its duties and exercise any and all its rights and powers hereunder or under any other Financing Document by or through any one or more sub-agents appointed by the Administrative Agent.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98"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 xml:space="preserve">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apply to any such sub-agent and to the Related Parties of the Administrative Agent, and shall apply to all of their respective activities in connection with their acting as or for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or supervision of such sub-agents.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b w:val="1"/>
          <w:bCs w:val="1"/>
          <w:color w:val="auto"/>
        </w:rPr>
        <w:t>Request for Indemnification by the Senior Lenders</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Administrative Agent shall be fully justified in taking, refusing to take or continuing to take any action hereunder unless it shall first be indemnified to its satisfaction by the Senior Lenders against any and all liability and expense which may be incurred by it by reason of taking, refusing to take or continuing to take any such action.</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color w:val="auto"/>
        </w:rPr>
        <w:t>Resignation or Removal of Administrative Agent</w:t>
      </w:r>
    </w:p>
    <w:p>
      <w:pPr>
        <w:spacing w:after="0" w:line="237" w:lineRule="exact"/>
        <w:rPr>
          <w:sz w:val="20"/>
          <w:szCs w:val="20"/>
          <w:color w:val="auto"/>
        </w:rPr>
      </w:pPr>
    </w:p>
    <w:p>
      <w:pPr>
        <w:jc w:val="both"/>
        <w:ind w:left="1300" w:hanging="644"/>
        <w:spacing w:after="0" w:line="251" w:lineRule="auto"/>
        <w:tabs>
          <w:tab w:leader="none" w:pos="1297"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resign from the performance of all its functions and duties hereunder and under the other Financing Documents at any time by giving thirty days’ prior notice to the Borrower, the P1 Collateral Agent, and the Senior Lenders. In the event Wilmington Trust, National Association is no longer the Administrative Agent, any successor Administrative Agent may be removed at any time with cause by the Majority Senior Lenders. Any such resignation or removal shall take effect upon the appointment of a successor Administrative Agent, in accordance with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29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notice of resignation by the Administrative Agent or upon the removal of the Administrative Agent by the Majority Senior Lenders or any Senior Lender in accordance with </w:t>
      </w:r>
      <w:r>
        <w:rPr>
          <w:rFonts w:ascii="Times New Roman" w:cs="Times New Roman" w:eastAsia="Times New Roman" w:hAnsi="Times New Roman"/>
          <w:sz w:val="22"/>
          <w:szCs w:val="22"/>
          <w:u w:val="single" w:color="auto"/>
          <w:color w:val="auto"/>
        </w:rPr>
        <w:t>Section 11.7(a)</w:t>
      </w:r>
      <w:r>
        <w:rPr>
          <w:rFonts w:ascii="Times New Roman" w:cs="Times New Roman" w:eastAsia="Times New Roman" w:hAnsi="Times New Roman"/>
          <w:sz w:val="22"/>
          <w:szCs w:val="22"/>
          <w:color w:val="auto"/>
        </w:rPr>
        <w:t xml:space="preserve">, the Majority Senior Lenders shall appoint a successor Administrative Agent, hereunder and under each other Financing Document to which the Administrative Agent is a party, such successor Administrative Agent to be a commercial bank (i) that has a combined capital and surplus of at least $1,000,000,000 and (ii) that is a FATCA Exempt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no Default or Event of Default shall then be continuing, appointment of a successor Administrative Agent shall also be acceptable to the Borrower (such acceptance not to be unreasonably withheld, conditioned or delayed). The fees payable by the Borrower to a successor Administrative Agent shall be the same as those payable to its predecessor unless otherwise agreed between the Borrower and such successor.</w:t>
      </w:r>
    </w:p>
    <w:p>
      <w:pPr>
        <w:spacing w:after="0" w:line="185" w:lineRule="exact"/>
        <w:rPr>
          <w:rFonts w:ascii="Times New Roman" w:cs="Times New Roman" w:eastAsia="Times New Roman" w:hAnsi="Times New Roman"/>
          <w:sz w:val="22"/>
          <w:szCs w:val="22"/>
          <w:color w:val="auto"/>
        </w:rPr>
      </w:pPr>
    </w:p>
    <w:p>
      <w:pPr>
        <w:ind w:left="1300" w:hanging="644"/>
        <w:spacing w:after="0" w:line="284" w:lineRule="auto"/>
        <w:tabs>
          <w:tab w:leader="none" w:pos="1297"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successor Administrative Agent has been appointed by the Majority Senior Lenders within thirty days after the date such notice of resignation was given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-1193800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such resigning Administrative Agent, such Administrative Agent’s resignation shall nevertheless become effective and the Majority Senior Lenders shall thereafter perform all the duties of such Administrative Agent hereunder and/or under any other Financing Document until such time, if any, as the Majority Senior Lenders appoint a successor Administrative Agent. If no successor Administrative Agent has been appointed by the Majority Senior Lenders within thirty days after the date the Majority Senior Lenders elected to remove such Person, any Credit Agreement Senior Secured Party may petition any court of competent jurisdiction for the appointment of a successor Administrative Agent. Such court may thereupon, after such notice, if any, as it may deem proper, appoint a successor Administrative Agent, who shall serve as Administrative Agent hereunder and under each other Financing Document to which it is a party until such time, if any, as the Majority Senior Lenders appoint a successor Administrative Agent, as provided above.</w:t>
      </w:r>
    </w:p>
    <w:p>
      <w:pPr>
        <w:spacing w:after="0" w:line="183" w:lineRule="exact"/>
        <w:rPr>
          <w:sz w:val="20"/>
          <w:szCs w:val="20"/>
          <w:color w:val="auto"/>
        </w:rPr>
      </w:pPr>
    </w:p>
    <w:p>
      <w:pPr>
        <w:jc w:val="both"/>
        <w:ind w:left="1300" w:hanging="644"/>
        <w:spacing w:after="0" w:line="248" w:lineRule="auto"/>
        <w:tabs>
          <w:tab w:leader="none" w:pos="129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acceptance of a successor’s appointment as Administrative Agent hereunder, such successor shall succeed to and become vested with all of the rights, powers, privileges and duties of the retiring (or removed) Administrative Agent, and the retiring (or removed) Administrative Agent shall be discharged from all of its duties and obligations hereunder or under the other Financing Documents and the replaced Administrative Agent shall make available to the successor Administrative Agent such records, documents and information in the replaced Administrative Agent’s possession and provide such assistance as the successor Administrative Agent may reasonably request in connection with its appointment as the successor Administrative Agent. After the retirement or removal of the Administrative Agent hereunder and under the other Financing Documents, the provisions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continue in effect for the benefit of such retiring (or removed) Person, its sub-agents and their respective Related Parties in respect of any actions taken or omitted to be taken by any of them while the retiring Person was acting in its capacity as Administrative Agent.</w:t>
      </w:r>
    </w:p>
    <w:p>
      <w:pPr>
        <w:spacing w:after="0" w:line="188"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Administrative Agent under this Agreement and will have and succeed to the rights, powers, duties, immunities and privileges as its predecessor, without the execution or filing of any instrument or paper or the performance of any further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b w:val="1"/>
          <w:bCs w:val="1"/>
          <w:color w:val="auto"/>
        </w:rPr>
        <w:t>No Amendment to Duties of Administrative Agent Without Consent</w:t>
      </w:r>
    </w:p>
    <w:p>
      <w:pPr>
        <w:spacing w:after="0" w:line="22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2"/>
          <w:szCs w:val="22"/>
          <w:color w:val="auto"/>
        </w:rPr>
        <w:t>The Administrative Agent shall not be bound by any waiver, amendment, supplement or modification of this Agreement or any other Financing Document that affects its rights or duties hereunder or thereunder unless such Administrative Agent shall have given its prior written consent, in its capacity as Administrative Agent thereto.</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11.9.</w:t>
      </w:r>
      <w:r>
        <w:rPr>
          <w:sz w:val="20"/>
          <w:szCs w:val="20"/>
          <w:color w:val="auto"/>
        </w:rPr>
        <w:tab/>
      </w:r>
      <w:r>
        <w:rPr>
          <w:rFonts w:ascii="Times New Roman" w:cs="Times New Roman" w:eastAsia="Times New Roman" w:hAnsi="Times New Roman"/>
          <w:sz w:val="21"/>
          <w:szCs w:val="21"/>
          <w:b w:val="1"/>
          <w:bCs w:val="1"/>
          <w:color w:val="auto"/>
        </w:rPr>
        <w:t>Non-Reliance on Administrative Agent and Senior Lenders</w:t>
      </w:r>
    </w:p>
    <w:p>
      <w:pPr>
        <w:spacing w:after="0" w:line="237"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1"/>
          <w:szCs w:val="21"/>
          <w:color w:val="auto"/>
        </w:rPr>
        <w:t>Each of the Senior Lenders acknowledges that it has, independently and without reliance upon the Administrative Agent, any other Senior Lender or any of their Related Parties and based on such documents and information as it has deemed appropriate, made its own credit analysis and decision to enter into this Agreement and make its extensions of credit. Each of the Senior Lenders also acknowledges that it will, independently and without reliance upon the Administrative Agent any other Senior Lender or any of their Related Parties and based on such documents and information as it shall from time to time deem appropriate, continue to make its own decisions in taking or not taking action under or based upon this Agreement, any other Financing Document or any related agreement or any document furnished hereunder or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11.10. Copies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The Administrative Agent shall give prompt notice to each Senior Lender of receipt of each written notice or request required or permitted to be given to the Administrative Agent by the Borrower pursuant to the terms of this Agreement or any other Financing Document (unless concurrently delivered to the Senior Lenders by the Borrower). The Administrative Agent will distribute to each Senior Lender each document and other written communication received by the Administrative Agent from the Borrower for distribution to the Senior Lenders by the Administrative Agent in accordance with the terms of this Agreement or any other Financing Document.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11.11. Erroneous Payments</w:t>
      </w:r>
    </w:p>
    <w:p>
      <w:pPr>
        <w:spacing w:after="0" w:line="224" w:lineRule="exact"/>
        <w:rPr>
          <w:sz w:val="20"/>
          <w:szCs w:val="20"/>
          <w:color w:val="auto"/>
        </w:rPr>
      </w:pPr>
    </w:p>
    <w:p>
      <w:pPr>
        <w:jc w:val="both"/>
        <w:ind w:left="1300" w:hanging="644"/>
        <w:spacing w:after="0" w:line="249" w:lineRule="auto"/>
        <w:tabs>
          <w:tab w:leader="none" w:pos="129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(i) notifies a Senior Lender, or any Person who has received funds on behalf of a Senior Lender (any such Senior Lender or other recipient (and each of their respective successors and assigns), a “</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Senior Lender or other Payment Recipient on its behalf) (any such funds, whether transmitted or received as a payment, prepayment or repayment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principal, interest, fees, distribution or otherwise, individually and collectively, an “</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and</w:t>
      </w:r>
    </w:p>
    <w:p>
      <w:pPr>
        <w:spacing w:after="0" w:line="32" w:lineRule="exact"/>
        <w:rPr>
          <w:sz w:val="20"/>
          <w:szCs w:val="20"/>
          <w:color w:val="auto"/>
        </w:rPr>
      </w:pPr>
    </w:p>
    <w:p>
      <w:pPr>
        <w:jc w:val="both"/>
        <w:ind w:left="1300" w:firstLine="4"/>
        <w:spacing w:after="0" w:line="246" w:lineRule="auto"/>
        <w:tabs>
          <w:tab w:leader="none" w:pos="1658"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demands in writing the return of such Erroneous Payment (or a portion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any other rights or remedies (whether at law or in equity), the Administrative Agent may not make any such demand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with respect to an Erroneous Payment unless such demand is made within five Business Days of the date of receipt of such Erroneous Payment by the applicable Payment Recipient), such Erroneous Payment shall at all times remain the property of the Administrative Agent pending its return or repayment as contemplated below in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and held in trust for the benefit of the Administrative Agent, and such Senior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84"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Senior Lender or any Person who has received funds on behalf of a Senior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Senior Lender or other such recipient, otherwise becomes aware was transmitted, or received, in error or by mistake (in whole or in part), then in each such case:</w:t>
      </w:r>
    </w:p>
    <w:p>
      <w:pPr>
        <w:spacing w:after="0" w:line="183"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an error and mistake shall be presumed to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-4930775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98" w:lineRule="exact"/>
        <w:rPr>
          <w:sz w:val="20"/>
          <w:szCs w:val="20"/>
          <w:color w:val="auto"/>
        </w:rPr>
      </w:pPr>
    </w:p>
    <w:p>
      <w:pPr>
        <w:jc w:val="both"/>
        <w:ind w:left="1960" w:right="20"/>
        <w:spacing w:after="0" w:line="257" w:lineRule="auto"/>
        <w:rPr>
          <w:sz w:val="20"/>
          <w:szCs w:val="20"/>
          <w:color w:val="auto"/>
        </w:rPr>
      </w:pPr>
      <w:r>
        <w:rPr>
          <w:rFonts w:ascii="Times New Roman" w:cs="Times New Roman" w:eastAsia="Times New Roman" w:hAnsi="Times New Roman"/>
          <w:sz w:val="22"/>
          <w:szCs w:val="22"/>
          <w:color w:val="auto"/>
        </w:rPr>
        <w:t xml:space="preserve">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86" w:lineRule="exact"/>
        <w:rPr>
          <w:sz w:val="20"/>
          <w:szCs w:val="20"/>
          <w:color w:val="auto"/>
        </w:rPr>
      </w:pPr>
    </w:p>
    <w:p>
      <w:pPr>
        <w:jc w:val="both"/>
        <w:ind w:left="1960" w:hanging="656"/>
        <w:spacing w:after="0" w:line="251" w:lineRule="auto"/>
        <w:tabs>
          <w:tab w:leader="none" w:pos="195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Senior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11.11(b)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280"/>
        <w:spacing w:after="0" w:line="257"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the Administrative Agent pursuant to this </w:t>
      </w:r>
      <w:r>
        <w:rPr>
          <w:rFonts w:ascii="Times New Roman" w:cs="Times New Roman" w:eastAsia="Times New Roman" w:hAnsi="Times New Roman"/>
          <w:sz w:val="22"/>
          <w:szCs w:val="22"/>
          <w:u w:val="single" w:color="auto"/>
          <w:color w:val="auto"/>
        </w:rPr>
        <w:t>Section 11.11(b)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11.11(a)</w:t>
      </w:r>
      <w:r>
        <w:rPr>
          <w:rFonts w:ascii="Times New Roman" w:cs="Times New Roman" w:eastAsia="Times New Roman" w:hAnsi="Times New Roman"/>
          <w:sz w:val="22"/>
          <w:szCs w:val="22"/>
          <w:color w:val="auto"/>
        </w:rPr>
        <w:t xml:space="preserve"> or on whether or not an Erroneous Payment has been made.</w:t>
      </w:r>
    </w:p>
    <w:p>
      <w:pPr>
        <w:spacing w:after="0" w:line="159" w:lineRule="exact"/>
        <w:rPr>
          <w:sz w:val="20"/>
          <w:szCs w:val="20"/>
          <w:color w:val="auto"/>
        </w:rPr>
      </w:pPr>
    </w:p>
    <w:p>
      <w:pPr>
        <w:jc w:val="both"/>
        <w:ind w:left="1300" w:hanging="644"/>
        <w:spacing w:after="0" w:line="253" w:lineRule="auto"/>
        <w:tabs>
          <w:tab w:leader="none" w:pos="1297"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Senior Lender hereby authorizes the Administrative Agent to set off, net and apply any and all amounts at any time owing to such Senior Lender under any Financing Document, or otherwise payable or distributable by the Administrative Agent to such Senior Lender under any Financing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29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Senior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b w:val="1"/>
          <w:bCs w:val="1"/>
          <w:color w:val="auto"/>
        </w:rPr>
        <w:t>Erroneous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 Return Deficiency</w:t>
      </w:r>
      <w:r>
        <w:rPr>
          <w:rFonts w:ascii="Times New Roman" w:cs="Times New Roman" w:eastAsia="Times New Roman" w:hAnsi="Times New Roman"/>
          <w:sz w:val="22"/>
          <w:szCs w:val="22"/>
          <w:color w:val="auto"/>
        </w:rPr>
        <w:t>”), upon the Administrative Agent’s notice to such Senior Lender at any time,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immediately (with the consideration therefor being acknowledged by the parties hereto), (i) such Senior Lender shall be deemed to have assigned its Senior Loans (but not its Senior Loan Commitments) with respect to which such Erroneous Payment was made (the “</w:t>
      </w:r>
      <w:r>
        <w:rPr>
          <w:rFonts w:ascii="Times New Roman" w:cs="Times New Roman" w:eastAsia="Times New Roman" w:hAnsi="Times New Roman"/>
          <w:sz w:val="22"/>
          <w:szCs w:val="22"/>
          <w:b w:val="1"/>
          <w:bCs w:val="1"/>
          <w:color w:val="auto"/>
        </w:rPr>
        <w:t>Erroneous Payment Impacted Class</w:t>
      </w:r>
      <w:r>
        <w:rPr>
          <w:rFonts w:ascii="Times New Roman" w:cs="Times New Roman" w:eastAsia="Times New Roman" w:hAnsi="Times New Roman"/>
          <w:sz w:val="22"/>
          <w:szCs w:val="22"/>
          <w:color w:val="auto"/>
        </w:rPr>
        <w:t>”) in an amount equal to the Erroneous Payment Return Deficiency (or such lesser amount as the Administrative Agent may specify) (such assignment of the Senior Loans (but not Senior Loan Commitments) of the Erroneous Payment Impacted Class, the “</w:t>
      </w:r>
      <w:r>
        <w:rPr>
          <w:rFonts w:ascii="Times New Roman" w:cs="Times New Roman" w:eastAsia="Times New Roman" w:hAnsi="Times New Roman"/>
          <w:sz w:val="22"/>
          <w:szCs w:val="22"/>
          <w:b w:val="1"/>
          <w:bCs w:val="1"/>
          <w:color w:val="auto"/>
        </w:rPr>
        <w:t>Erroneous Payment Deficiency Assignment</w:t>
      </w:r>
      <w:r>
        <w:rPr>
          <w:rFonts w:ascii="Times New Roman" w:cs="Times New Roman" w:eastAsia="Times New Roman" w:hAnsi="Times New Roman"/>
          <w:sz w:val="22"/>
          <w:szCs w:val="22"/>
          <w:color w:val="auto"/>
        </w:rPr>
        <w:t>”) (on a cashless basis and such amount calculated at par plus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98"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21"/>
          <w:szCs w:val="21"/>
          <w:color w:val="auto"/>
        </w:rPr>
        <w:t>accrued and unpaid interest (with the assignment fee to be waived by the Administrative Agent in such instance)), and is hereby (together with the Borrower) deemed to execute and deliver a Lender Assignment Agreement with respect to such Erroneous Payment Deficiency Assignment, and such Senior Lender shall deliver any Senior Loan Notes evidencing such Senior Loans to the Borrower or the Administrative Agent (but the failure of such Person to deliver any such Senior Loan Notes shall not affect the effectiveness of the foregoing assignment), (ii) the Administrative Agent as the assignee Senior Lender shall be deemed to have acquired the Erroneous Payment Deficiency Assignment, (iii) upon such deemed acquisition, the Administrative Agent as the assignee Senior Lender shall become a Senior Lender, as applicable, hereunder with respect to such Erroneous Payment Deficiency Assignment and the assigning Senior Lender shall cease to be a Senior Lender hereunder with respect to such Erroneous Payment Deficiency Assignment, excluding, for the avoidance of doubt, its obligations under the indemnification provisions of this Agreement and its applicable Senior Loan Commitments which shall survive as to such assigning Senior Lender, (iv) the Administrative Agent and the Borrower shall each be deemed to have waived any consents required under this Agreement to any such Erroneous Payment Deficiency Assignment, and (v) the Administrative Agent will reflect in the Register its ownership interest in the Senior Loans subject to the Erroneous Payment Deficiency Assignment. For the avoidance of doubt, no Erroneous Payment Deficiency Assignment will reduce the Senior Loan Commitments of any Senior Lender and such Senior Loan Commitments shall remain available in accordance with the terms of this Agreement.</w:t>
      </w:r>
    </w:p>
    <w:p>
      <w:pPr>
        <w:spacing w:after="0" w:line="187" w:lineRule="exact"/>
        <w:rPr>
          <w:sz w:val="20"/>
          <w:szCs w:val="20"/>
          <w:color w:val="auto"/>
        </w:rPr>
      </w:pPr>
    </w:p>
    <w:p>
      <w:pPr>
        <w:jc w:val="both"/>
        <w:ind w:left="1300" w:hanging="644"/>
        <w:spacing w:after="0" w:line="248" w:lineRule="auto"/>
        <w:tabs>
          <w:tab w:leader="none" w:pos="1297"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the Administrative Agent may, in its discretion, sell any Senior Loans acquired pursuant to an Erroneous Payment Deficiency Assignment and upon receipt of the proceeds of such sale, the Erroneous Payment Return Deficiency owing by the applicable Senior Lender shall be reduced by the net proceeds of the sale of such Senior Loan (or portion thereof), and the Administrative Agent shall retain all other rights, remedies, and claims against such Senior Lender (and/or against any recipient that receives funds on its respective behalf). In addition, an Erroneous Payment Return Deficiency owing by the applicable Senior Lender (i) shall be reduced by the proceeds of prepayments or repayments of principal and interest, or other distribution in respect of principal and interest, received by the Administrative Agent on or with respect to any such Senior Loans acquired from such Senior Lender pursuant to an Erroneous Payment Deficiency Assignment (to the extent that any such Senior Loans are then owned by the Administrative Agent) and (ii) may, in the sole discretion of the Administrative Agent, be reduced by any amount specified by the Administrative Agent in writing to the applicable Senior Lender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98" w:lineRule="exact"/>
        <w:rPr>
          <w:sz w:val="20"/>
          <w:szCs w:val="20"/>
          <w:color w:val="auto"/>
        </w:rPr>
      </w:pPr>
    </w:p>
    <w:p>
      <w:pPr>
        <w:jc w:val="both"/>
        <w:ind w:left="1300" w:hanging="644"/>
        <w:spacing w:after="0" w:line="248" w:lineRule="auto"/>
        <w:tabs>
          <w:tab w:leader="none" w:pos="130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(i)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Senior Lender to the rights and interests of such Senior Lender as the case may be) under the Financing Documents with respect to such amount (the “</w:t>
      </w:r>
      <w:r>
        <w:rPr>
          <w:rFonts w:ascii="Times New Roman" w:cs="Times New Roman" w:eastAsia="Times New Roman" w:hAnsi="Times New Roman"/>
          <w:sz w:val="22"/>
          <w:szCs w:val="22"/>
          <w:b w:val="1"/>
          <w:bCs w:val="1"/>
          <w:color w:val="auto"/>
        </w:rPr>
        <w:t>Erroneous Payment Subrogation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and (ii) an Erroneous Payment shall not pay, prepay, repay, discharge or otherwise satisfy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Obligations owed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the avoidance of doubt, immediately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Financing Document), the Borrower for the purpose of a payment on the Obligations.</w:t>
      </w:r>
    </w:p>
    <w:p>
      <w:pPr>
        <w:spacing w:after="0" w:line="182"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other Financing Document, neither any Loan Party nor any of its respective Affiliates shall have any obligations or liabilities (including the payment of any assignment or processing fee payable to the Administrative Agent in connection therewith) directly or indirectly arising out of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in respect of any Erroneous Payment (other than having consented to the assignment referenced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88"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Senior Lender, the termination of the applicable Senior Loan Commitments or the repayment, satisfaction or discharge of all Obligations (or any portion thereof) under any Financing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-3905885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-3408680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94" w:lineRule="exact"/>
        <w:rPr>
          <w:sz w:val="20"/>
          <w:szCs w:val="20"/>
          <w:color w:val="auto"/>
        </w:rPr>
      </w:pPr>
    </w:p>
    <w:p>
      <w:pPr>
        <w:ind w:left="660" w:hanging="652"/>
        <w:spacing w:after="0"/>
        <w:tabs>
          <w:tab w:leader="none" w:pos="660"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1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Etc.</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Consent of Senior Lenders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48"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and subject to the terms of the Collateral and Intercreditor Agreement, the Borrower and the Administrative Agent may amend or supplement this Agreement or any other Bank Financing Document without the consent of any Senior Lender and the P1 Collateral Agent:</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w:t>
      </w:r>
    </w:p>
    <w:p>
      <w:pPr>
        <w:spacing w:after="0" w:line="219" w:lineRule="exact"/>
        <w:rPr>
          <w:rFonts w:ascii="Times New Roman" w:cs="Times New Roman" w:eastAsia="Times New Roman" w:hAnsi="Times New Roman"/>
          <w:sz w:val="22"/>
          <w:szCs w:val="22"/>
          <w:color w:val="auto"/>
        </w:rPr>
      </w:pPr>
    </w:p>
    <w:p>
      <w:pPr>
        <w:ind w:left="2600" w:hanging="648"/>
        <w:spacing w:after="0" w:line="284" w:lineRule="auto"/>
        <w:tabs>
          <w:tab w:leader="none" w:pos="2591" w:val="left"/>
        </w:tabs>
        <w:numPr>
          <w:ilvl w:val="3"/>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would provide any additional rights or benefits to the Senior Lenders or that does not adversely affect the legal rights hereunder of any Senior Lender;</w:t>
      </w:r>
    </w:p>
    <w:p>
      <w:pPr>
        <w:spacing w:after="0" w:line="143" w:lineRule="exact"/>
        <w:rPr>
          <w:rFonts w:ascii="Times New Roman" w:cs="Times New Roman" w:eastAsia="Times New Roman" w:hAnsi="Times New Roman"/>
          <w:sz w:val="22"/>
          <w:szCs w:val="22"/>
          <w:color w:val="auto"/>
        </w:rPr>
      </w:pPr>
    </w:p>
    <w:p>
      <w:pPr>
        <w:ind w:left="2600" w:hanging="648"/>
        <w:spacing w:after="0" w:line="271" w:lineRule="auto"/>
        <w:tabs>
          <w:tab w:leader="none" w:pos="2591" w:val="left"/>
        </w:tabs>
        <w:numPr>
          <w:ilvl w:val="3"/>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a successor Administrative Agent in accordance with the provisions of this Agreement; or</w:t>
      </w:r>
    </w:p>
    <w:p>
      <w:pPr>
        <w:spacing w:after="0" w:line="157"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3"/>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assumption of the Borrower’s obligations to the Senior Lenders by a successor to the Borrower pursuant to Section 7.18;</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4"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Borrower accompanied by a resolution duly adopted by the authorized governing body authorizing the execution of any such amendment, and upon receipt by the Administrative Agent of the documents described in Section 11.4, the Administrative Agent will join with the Borrower in the execution of any amendment authorized or permitted by the terms of this Agreement and to make any further appropriate agreements and stipulations that may be therein contained, but the Administrative Agent will not be obligated to enter into such amendment that affects its own rights, duties or immunities under this Agreement or otherwise.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 Consent of Senior Lenders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and subject to the terms of the Collateral and Intercreditor Agreement, neither this Agreement nor any provision hereof may be amended, modified, or waived unless in writing signed by the Borrower and the Majority Senior Lenders or the Administrative Agent as directed by the Majority Senior Lenders, and each such amendment, modification, or waiver shall be effective only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220" w:lineRule="exact"/>
        <w:rPr>
          <w:sz w:val="20"/>
          <w:szCs w:val="20"/>
          <w:color w:val="auto"/>
        </w:rPr>
      </w:pPr>
    </w:p>
    <w:p>
      <w:pPr>
        <w:jc w:val="both"/>
        <w:ind w:left="2600" w:hanging="648"/>
        <w:spacing w:after="0" w:line="281" w:lineRule="auto"/>
        <w:tabs>
          <w:tab w:leader="none" w:pos="2589"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each Senior Lender (in each case, other than any Senior Lender that is a Loan Party, an Equity Owner or an Affiliate or Controlled Subsidiary thereof) directly and adversely affected thereby will be required with respect to any amendment, modification or waiver in order to:</w:t>
      </w:r>
    </w:p>
    <w:p>
      <w:pPr>
        <w:spacing w:after="0" w:line="150"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increase any Senior Loan Commitment;</w:t>
      </w:r>
    </w:p>
    <w:p>
      <w:pPr>
        <w:spacing w:after="0" w:line="219" w:lineRule="exact"/>
        <w:rPr>
          <w:rFonts w:ascii="Times New Roman" w:cs="Times New Roman" w:eastAsia="Times New Roman" w:hAnsi="Times New Roman"/>
          <w:sz w:val="22"/>
          <w:szCs w:val="22"/>
          <w:color w:val="auto"/>
        </w:rPr>
      </w:pPr>
    </w:p>
    <w:p>
      <w:pPr>
        <w:jc w:val="both"/>
        <w:ind w:left="3240" w:hanging="640"/>
        <w:spacing w:after="0" w:line="256" w:lineRule="auto"/>
        <w:tabs>
          <w:tab w:leader="none" w:pos="323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the maturity date or postpone any date scheduled for any payment of principal, fees or interest (as applicable)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or any date fixed by the Administrative Agent for the payment of fees or other amounts due to the Senior Lenders (or any of them) hereunder;</w:t>
      </w:r>
    </w:p>
    <w:p>
      <w:pPr>
        <w:spacing w:after="0" w:line="176" w:lineRule="exact"/>
        <w:rPr>
          <w:rFonts w:ascii="Times New Roman" w:cs="Times New Roman" w:eastAsia="Times New Roman" w:hAnsi="Times New Roman"/>
          <w:sz w:val="22"/>
          <w:szCs w:val="22"/>
          <w:color w:val="auto"/>
        </w:rPr>
      </w:pPr>
    </w:p>
    <w:p>
      <w:pPr>
        <w:jc w:val="both"/>
        <w:ind w:left="3240" w:hanging="640"/>
        <w:spacing w:after="0" w:line="257" w:lineRule="auto"/>
        <w:tabs>
          <w:tab w:leader="none" w:pos="323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interest or rate of interest specified herein on, any Senior Loan or any Fees or other amounts (including any amounts payable pursuant to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payable to any Senior Lender hereunder;</w:t>
      </w:r>
    </w:p>
    <w:p>
      <w:pPr>
        <w:spacing w:after="0" w:line="172" w:lineRule="exact"/>
        <w:rPr>
          <w:rFonts w:ascii="Times New Roman" w:cs="Times New Roman" w:eastAsia="Times New Roman" w:hAnsi="Times New Roman"/>
          <w:sz w:val="22"/>
          <w:szCs w:val="22"/>
          <w:color w:val="auto"/>
        </w:rPr>
      </w:pPr>
    </w:p>
    <w:p>
      <w:pPr>
        <w:jc w:val="both"/>
        <w:ind w:left="3240" w:hanging="640"/>
        <w:spacing w:after="0" w:line="256" w:lineRule="auto"/>
        <w:tabs>
          <w:tab w:leader="none" w:pos="323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pro-rata treatment, sharing of payments, order of application of any reduction in any Senior Loan Commitments from the application thereof set forth in the applicable provisions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respectively, in any manner; or</w:t>
      </w:r>
    </w:p>
    <w:p>
      <w:pPr>
        <w:spacing w:after="0" w:line="176" w:lineRule="exact"/>
        <w:rPr>
          <w:rFonts w:ascii="Times New Roman" w:cs="Times New Roman" w:eastAsia="Times New Roman" w:hAnsi="Times New Roman"/>
          <w:sz w:val="22"/>
          <w:szCs w:val="22"/>
          <w:color w:val="auto"/>
        </w:rPr>
      </w:pPr>
    </w:p>
    <w:p>
      <w:pPr>
        <w:jc w:val="both"/>
        <w:ind w:left="3240" w:hanging="640"/>
        <w:spacing w:after="0" w:line="254" w:lineRule="auto"/>
        <w:tabs>
          <w:tab w:leader="none" w:pos="3235"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contractually subordinate the Liens in favor of the P1 Collateral Agent over the Collateral under and pursuant to the Senior Security Documents to Liens over of the Collateral</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securing any other Indebtedness (it being understood that this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shall  not</w:t>
      </w:r>
    </w:p>
    <w:p>
      <w:pPr>
        <w:spacing w:after="0" w:line="5" w:lineRule="exact"/>
        <w:rPr>
          <w:sz w:val="20"/>
          <w:szCs w:val="20"/>
          <w:color w:val="auto"/>
        </w:rPr>
      </w:pPr>
    </w:p>
    <w:p>
      <w:pPr>
        <w:jc w:val="both"/>
        <w:ind w:left="3240" w:firstLine="8"/>
        <w:spacing w:after="0" w:line="248" w:lineRule="auto"/>
        <w:tabs>
          <w:tab w:leader="none" w:pos="3533"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override the permission for (x) Permitted Liens or (y) Indebtedness permitted by the Financing Documents or (ii) apply to the incurrence of financing provided to the Borrower pursuant to Section 364 of the Bankruptcy Code or any similar proceeding under any other applicable Debtor Relief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98" w:lineRule="exact"/>
        <w:rPr>
          <w:sz w:val="20"/>
          <w:szCs w:val="20"/>
          <w:color w:val="auto"/>
        </w:rPr>
      </w:pPr>
    </w:p>
    <w:p>
      <w:pPr>
        <w:jc w:val="both"/>
        <w:ind w:left="2600" w:hanging="648"/>
        <w:spacing w:after="0" w:line="257" w:lineRule="auto"/>
        <w:tabs>
          <w:tab w:leader="none" w:pos="2591"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Senior Lender (in each case, other than any Senior Lender that is a Loan Party, an Equity Owner or an Affiliate or Controlled Subsidiary thereof) will be required with respect to any amendment, modification or waiver in order to:</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3240" w:hanging="640"/>
        <w:spacing w:after="0" w:line="252" w:lineRule="auto"/>
        <w:tabs>
          <w:tab w:leader="none" w:pos="3235"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the definition of Majority Senior Lenders or any other provision hereof specifying the number or percentage of Senior Lenders required to amend, waive, terminate or otherwise modify any rights hereunder or make any determination or grant any consent hereunder;</w:t>
      </w:r>
    </w:p>
    <w:p>
      <w:pPr>
        <w:spacing w:after="0" w:line="192" w:lineRule="exact"/>
        <w:rPr>
          <w:rFonts w:ascii="Times New Roman" w:cs="Times New Roman" w:eastAsia="Times New Roman" w:hAnsi="Times New Roman"/>
          <w:sz w:val="22"/>
          <w:szCs w:val="22"/>
          <w:color w:val="auto"/>
        </w:rPr>
      </w:pPr>
    </w:p>
    <w:p>
      <w:pPr>
        <w:jc w:val="both"/>
        <w:ind w:left="3240" w:hanging="640"/>
        <w:spacing w:after="0" w:line="260" w:lineRule="auto"/>
        <w:tabs>
          <w:tab w:leader="none" w:pos="3235" w:val="left"/>
        </w:tabs>
        <w:numPr>
          <w:ilvl w:val="2"/>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all other provisions of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release or allow release of (i) all or substantially all of the guarantee obligations or the value of any guarantee of the applicable RG Facility Entities as Common Guarantors under and as defined in the Common Accounts Agreement other than in accordance with the terms of the Common Accounts Agreement or</w:t>
      </w:r>
    </w:p>
    <w:p>
      <w:pPr>
        <w:spacing w:after="0" w:line="3" w:lineRule="exact"/>
        <w:rPr>
          <w:rFonts w:ascii="Times New Roman" w:cs="Times New Roman" w:eastAsia="Times New Roman" w:hAnsi="Times New Roman"/>
          <w:sz w:val="21"/>
          <w:szCs w:val="21"/>
          <w:color w:val="auto"/>
        </w:rPr>
      </w:pPr>
    </w:p>
    <w:p>
      <w:pPr>
        <w:jc w:val="both"/>
        <w:ind w:left="3240" w:firstLine="8"/>
        <w:spacing w:after="0" w:line="247" w:lineRule="auto"/>
        <w:tabs>
          <w:tab w:leader="none" w:pos="3568" w:val="left"/>
        </w:tabs>
        <w:numPr>
          <w:ilvl w:val="3"/>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material portion of the Collateral from the Lien of any of the Senior Security Documents (other than (1) upon the sale, conveyance, lease, transfer, or other disposal of assets that do not constitute all or substantially all of the assets of the Borrower or (2) the termination, assignment, or other disposition of Material Project Documents in accordance with the Financing Documents); or</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strike w:val="1"/>
        </w:rPr>
        <w:t>(4)</w:t>
      </w:r>
      <w:r>
        <w:rPr>
          <w:rFonts w:ascii="Times New Roman" w:cs="Times New Roman" w:eastAsia="Times New Roman" w:hAnsi="Times New Roman"/>
          <w:sz w:val="22"/>
          <w:szCs w:val="22"/>
          <w:color w:val="auto"/>
        </w:rPr>
        <w:t xml:space="preserve"> amend, modify, waive, or supplement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12.4.</w:t>
      </w:r>
    </w:p>
    <w:p>
      <w:pPr>
        <w:spacing w:after="0" w:line="219" w:lineRule="exact"/>
        <w:rPr>
          <w:rFonts w:ascii="Times New Roman" w:cs="Times New Roman" w:eastAsia="Times New Roman" w:hAnsi="Times New Roman"/>
          <w:sz w:val="22"/>
          <w:szCs w:val="22"/>
          <w:u w:val="single" w:color="auto"/>
          <w:color w:val="auto"/>
        </w:rPr>
      </w:pPr>
    </w:p>
    <w:p>
      <w:pPr>
        <w:jc w:val="both"/>
        <w:ind w:left="1960" w:hanging="656"/>
        <w:spacing w:after="0" w:line="250" w:lineRule="auto"/>
        <w:tabs>
          <w:tab w:leader="none" w:pos="2041" w:val="left"/>
        </w:tabs>
        <w:numPr>
          <w:ilvl w:val="0"/>
          <w:numId w:val="29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strike w:val="1"/>
        </w:rPr>
        <w:t>(ii)</w:t>
      </w:r>
      <w:r>
        <w:rPr>
          <w:rFonts w:ascii="Times New Roman" w:cs="Times New Roman" w:eastAsia="Times New Roman" w:hAnsi="Times New Roman"/>
          <w:sz w:val="22"/>
          <w:szCs w:val="22"/>
          <w:color w:val="auto"/>
        </w:rPr>
        <w:t xml:space="preserve"> Upon the request of the Borrower accompanied by a resolution duly adopted by the authorized governing body of the Borrower authorizing the execution of any such amendment, and upon the filing with the Administrative Agent of evidence satisfactory to the Administrative Agent of the consent of the Senior Lenders as aforesaid, and upon receipt by the Administrative Agent of the documents described in Section 11.4, the Administrative Agent will join with the Borrower in the execution of such amendment unless such amendment directly affects the Administrative Agent’s own rights, duties or immunities under this Agreement or otherwise, in which case the Administrative Agent may in its discretion, but will not be obligated to, enter into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98" w:lineRule="exact"/>
        <w:rPr>
          <w:sz w:val="20"/>
          <w:szCs w:val="20"/>
          <w:color w:val="auto"/>
        </w:rPr>
      </w:pPr>
    </w:p>
    <w:p>
      <w:pPr>
        <w:ind w:left="1960" w:hanging="656"/>
        <w:spacing w:after="0" w:line="257" w:lineRule="auto"/>
        <w:tabs>
          <w:tab w:leader="none" w:pos="1880" w:val="left"/>
        </w:tabs>
        <w:numPr>
          <w:ilvl w:val="1"/>
          <w:numId w:val="29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strike w:val="1"/>
        </w:rPr>
        <w:t>(iii)</w:t>
      </w:r>
      <w:r>
        <w:rPr>
          <w:rFonts w:ascii="Times New Roman" w:cs="Times New Roman" w:eastAsia="Times New Roman" w:hAnsi="Times New Roman"/>
          <w:sz w:val="22"/>
          <w:szCs w:val="22"/>
          <w:color w:val="auto"/>
        </w:rPr>
        <w:t xml:space="preserve"> It is not necessary for the consent of the Senior Lenders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to approve the particular form of any proposed amendment or waiver, but it is sufficient if such consent approves the substance thereof.</w:t>
      </w:r>
    </w:p>
    <w:p>
      <w:pPr>
        <w:spacing w:after="0" w:line="186" w:lineRule="exact"/>
        <w:rPr>
          <w:rFonts w:ascii="Times New Roman" w:cs="Times New Roman" w:eastAsia="Times New Roman" w:hAnsi="Times New Roman"/>
          <w:sz w:val="22"/>
          <w:szCs w:val="22"/>
          <w:u w:val="single" w:color="auto"/>
          <w:color w:val="auto"/>
        </w:rPr>
      </w:pPr>
    </w:p>
    <w:p>
      <w:pPr>
        <w:ind w:left="1960" w:hanging="656"/>
        <w:spacing w:after="0" w:line="250" w:lineRule="auto"/>
        <w:tabs>
          <w:tab w:leader="none" w:pos="1807" w:val="left"/>
        </w:tabs>
        <w:numPr>
          <w:ilvl w:val="1"/>
          <w:numId w:val="29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strike w:val="1"/>
        </w:rPr>
        <w:t>(iv)</w:t>
      </w:r>
      <w:r>
        <w:rPr>
          <w:rFonts w:ascii="Times New Roman" w:cs="Times New Roman" w:eastAsia="Times New Roman" w:hAnsi="Times New Roman"/>
          <w:sz w:val="22"/>
          <w:szCs w:val="22"/>
          <w:color w:val="auto"/>
        </w:rPr>
        <w:t xml:space="preserve"> Promptly after an amendment or waiver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becomes effective, the Borrower will mail or cause to be mailed to the Senior Lenders affected thereby a notice briefly describing the amendment or waiver and executed or true and correct copies of each amendment, waiver or consent effected. Any failure of the Borrower to mail such notice, or any defect therein, will not, however, in any way impair or affect the validity of any such amendment, waiver or consent.</w:t>
      </w:r>
    </w:p>
    <w:p>
      <w:pPr>
        <w:spacing w:after="0" w:line="194" w:lineRule="exact"/>
        <w:rPr>
          <w:rFonts w:ascii="Times New Roman" w:cs="Times New Roman" w:eastAsia="Times New Roman" w:hAnsi="Times New Roman"/>
          <w:sz w:val="22"/>
          <w:szCs w:val="22"/>
          <w:u w:val="single" w:color="auto"/>
          <w:color w:val="auto"/>
        </w:rPr>
      </w:pPr>
    </w:p>
    <w:p>
      <w:pPr>
        <w:ind w:left="1300" w:hanging="644"/>
        <w:spacing w:after="0"/>
        <w:tabs>
          <w:tab w:leader="none" w:pos="130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Decisions under Other Financing Documents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4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or the Collateral and Intercreditor Agreement to the contrary, each Senior Lender shall be deemed to have consented to, and the Administrative Agent shall be deemed, without the requirement of any vote or consent by the Senior Lenders and without seeking vote, consent or direction by or from the Senior Lenders with respect to any of the clauses set forth below, to have voted as follows:</w:t>
      </w:r>
    </w:p>
    <w:p>
      <w:pPr>
        <w:spacing w:after="0" w:line="194" w:lineRule="exact"/>
        <w:rPr>
          <w:rFonts w:ascii="Times New Roman" w:cs="Times New Roman" w:eastAsia="Times New Roman" w:hAnsi="Times New Roman"/>
          <w:sz w:val="22"/>
          <w:szCs w:val="22"/>
          <w:color w:val="auto"/>
        </w:rPr>
      </w:pPr>
    </w:p>
    <w:p>
      <w:pPr>
        <w:jc w:val="both"/>
        <w:ind w:left="2600" w:hanging="648"/>
        <w:spacing w:after="0" w:line="250" w:lineRule="auto"/>
        <w:tabs>
          <w:tab w:leader="none" w:pos="2589" w:val="left"/>
        </w:tabs>
        <w:numPr>
          <w:ilvl w:val="2"/>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proposed Economic Terms Modification applies only to the Senior Loans, the Administrative Agent shall be deemed to have voted in favor of any such Economic Terms Modification if (1) any such Economic Terms Modification is approved by each Senior Secured Bank Debt Holder Representative (if any) in accordance with the Collateral and Intercreditor Agreement and (2) the Borrower certifies to the Administrative Agent, as set forth in a certificate of an Authorized Officer of the Borrower, that such Economic Terms Modification could not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jc w:val="both"/>
        <w:ind w:left="2600" w:hanging="648"/>
        <w:spacing w:after="0" w:line="249" w:lineRule="auto"/>
        <w:tabs>
          <w:tab w:leader="none" w:pos="2591" w:val="left"/>
        </w:tabs>
        <w:numPr>
          <w:ilvl w:val="2"/>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be deemed to have cast its vote in favor of any amendment, supplement, or waiver of the provisions of the Collateral and Intercreditor Agreement and P1 Accounts Agreement related to the application of Collateral Proceeds, the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ranking of the Senior Secured Debt, or the priority, deposit, and application of funds in the accounts (in each case prior to an enforcement action) if (1) approved by each Senior Secured Bank Debt Holder Representative (if any) in accordance with the Collateral and Intercreditor Agreement and (2) the Borrower certifies to the Administrative Agent, as set forth in a certificate of an Authorized Officer of the Borrower, that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98" w:lineRule="exact"/>
        <w:rPr>
          <w:sz w:val="20"/>
          <w:szCs w:val="20"/>
          <w:color w:val="auto"/>
        </w:rPr>
      </w:pPr>
    </w:p>
    <w:p>
      <w:pPr>
        <w:jc w:val="both"/>
        <w:ind w:left="2600"/>
        <w:spacing w:after="0" w:line="260" w:lineRule="auto"/>
        <w:rPr>
          <w:sz w:val="20"/>
          <w:szCs w:val="20"/>
          <w:color w:val="auto"/>
        </w:rPr>
      </w:pPr>
      <w:r>
        <w:rPr>
          <w:rFonts w:ascii="Times New Roman" w:cs="Times New Roman" w:eastAsia="Times New Roman" w:hAnsi="Times New Roman"/>
          <w:sz w:val="21"/>
          <w:szCs w:val="21"/>
          <w:color w:val="auto"/>
        </w:rPr>
        <w:t xml:space="preserve">supplement or waiver does not result in (x) the Senior Loans receiving payments that are less than </w:t>
      </w:r>
      <w:r>
        <w:rPr>
          <w:rFonts w:ascii="Times New Roman" w:cs="Times New Roman" w:eastAsia="Times New Roman" w:hAnsi="Times New Roman"/>
          <w:sz w:val="21"/>
          <w:szCs w:val="21"/>
          <w:i w:val="1"/>
          <w:iCs w:val="1"/>
          <w:color w:val="auto"/>
        </w:rPr>
        <w:t xml:space="preserve">pari passu </w:t>
      </w:r>
      <w:r>
        <w:rPr>
          <w:rFonts w:ascii="Times New Roman" w:cs="Times New Roman" w:eastAsia="Times New Roman" w:hAnsi="Times New Roman"/>
          <w:sz w:val="21"/>
          <w:szCs w:val="21"/>
          <w:color w:val="auto"/>
        </w:rPr>
        <w:t>with the Senior Secured Bank Debt (other than due to timing differences in when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payments are due on the Senior Loans in accordance with their terms) and (y) does not result in a material adverse change (when considered with all other such amendments, supplements, and waivers) in (I) the priority within Section 3.3 (</w:t>
      </w:r>
      <w:r>
        <w:rPr>
          <w:rFonts w:ascii="Times New Roman" w:cs="Times New Roman" w:eastAsia="Times New Roman" w:hAnsi="Times New Roman"/>
          <w:sz w:val="21"/>
          <w:szCs w:val="21"/>
          <w:i w:val="1"/>
          <w:iCs w:val="1"/>
          <w:color w:val="auto"/>
        </w:rPr>
        <w:t>P1 Revenue Account</w:t>
      </w:r>
      <w:r>
        <w:rPr>
          <w:rFonts w:ascii="Times New Roman" w:cs="Times New Roman" w:eastAsia="Times New Roman" w:hAnsi="Times New Roman"/>
          <w:sz w:val="21"/>
          <w:szCs w:val="21"/>
          <w:color w:val="auto"/>
        </w:rPr>
        <w:t>) and 3.9 (</w:t>
      </w:r>
      <w:r>
        <w:rPr>
          <w:rFonts w:ascii="Times New Roman" w:cs="Times New Roman" w:eastAsia="Times New Roman" w:hAnsi="Times New Roman"/>
          <w:sz w:val="21"/>
          <w:szCs w:val="21"/>
          <w:i w:val="1"/>
          <w:iCs w:val="1"/>
          <w:color w:val="auto"/>
        </w:rPr>
        <w:t>P1 Proceeds Account</w:t>
      </w:r>
      <w:r>
        <w:rPr>
          <w:rFonts w:ascii="Times New Roman" w:cs="Times New Roman" w:eastAsia="Times New Roman" w:hAnsi="Times New Roman"/>
          <w:sz w:val="21"/>
          <w:szCs w:val="21"/>
          <w:color w:val="auto"/>
        </w:rPr>
        <w:t>) of the P1 Accounts Agreement with respect to any payment of principal, interest, or other amounts payable (whether by prepayment, upon acceleration, or otherwise) under the Senior Loans or</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(II) the funding of the Senior Loans DSRA;</w:t>
      </w:r>
    </w:p>
    <w:p>
      <w:pPr>
        <w:spacing w:after="0" w:line="209" w:lineRule="exact"/>
        <w:rPr>
          <w:sz w:val="20"/>
          <w:szCs w:val="20"/>
          <w:color w:val="auto"/>
        </w:rPr>
      </w:pPr>
    </w:p>
    <w:p>
      <w:pPr>
        <w:jc w:val="both"/>
        <w:ind w:left="2600" w:hanging="648"/>
        <w:spacing w:after="0" w:line="248" w:lineRule="auto"/>
        <w:tabs>
          <w:tab w:leader="none" w:pos="259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deemed to have cast its vote in favor of any Modification to provisions of the Collateral and Intercreditor Agreement or the P1 Accounts Agreement related to the application of proceeds of Replacement Debt to the mandatory prepayment of Senior Secured Debt under the CD Credit Agreement or the TCF Credit Agreement, as applicable, if approved by the Senior Secured Bank Debt Holder Representative under the CD Credit Agreement or the TCF Credit Agreement, as applicable, in accordance with the Collateral and Intercreditor Agreement;</w:t>
      </w:r>
    </w:p>
    <w:p>
      <w:pPr>
        <w:spacing w:after="0" w:line="200" w:lineRule="exact"/>
        <w:rPr>
          <w:rFonts w:ascii="Times New Roman" w:cs="Times New Roman" w:eastAsia="Times New Roman" w:hAnsi="Times New Roman"/>
          <w:sz w:val="22"/>
          <w:szCs w:val="22"/>
          <w:color w:val="auto"/>
        </w:rPr>
      </w:pPr>
    </w:p>
    <w:p>
      <w:pPr>
        <w:jc w:val="both"/>
        <w:ind w:left="2600" w:hanging="648"/>
        <w:spacing w:after="0" w:line="251" w:lineRule="auto"/>
        <w:tabs>
          <w:tab w:leader="none" w:pos="2589"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deemed to have cast its vote in favor of any Modification of any P1 Collateral Document (other than the Collateral and Intercreditor Agreement) if (1) approved by each Senior Secured Bank Debt Holder Representative (if any) in accordance with the Collateral and Intercreditor Agreement and (2) the Borrower certifies to the Administrative Agent, as set forth in a certificate of an Authorized Officer of the Borrower, that such Modification is not materially adverse to the Senior Lenders; and</w:t>
      </w:r>
    </w:p>
    <w:p>
      <w:pPr>
        <w:spacing w:after="0" w:line="181" w:lineRule="exact"/>
        <w:rPr>
          <w:rFonts w:ascii="Times New Roman" w:cs="Times New Roman" w:eastAsia="Times New Roman" w:hAnsi="Times New Roman"/>
          <w:sz w:val="22"/>
          <w:szCs w:val="22"/>
          <w:color w:val="auto"/>
        </w:rPr>
      </w:pPr>
    </w:p>
    <w:p>
      <w:pPr>
        <w:jc w:val="both"/>
        <w:ind w:left="2600" w:hanging="648"/>
        <w:spacing w:after="0" w:line="250" w:lineRule="auto"/>
        <w:tabs>
          <w:tab w:leader="none" w:pos="2592"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deemed to have consented to the release of any Lien on any portion of the Collateral (other than a release of Collateral that comprises all or substantially all of the Collateral) or assets owned by any RG Facility Entity if (1) the Borrower certifies to the Administrative Agent, as set forth in a certificate of an Authorized Officer of the Borrower, that such release is reasonable and such Collateral or assets are not reasonably required for the operation of the RG Facility Entities in accordance with the RG Facility Agreements and (2) the Independent Engineer concurs with such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98" w:lineRule="exact"/>
        <w:rPr>
          <w:sz w:val="20"/>
          <w:szCs w:val="20"/>
          <w:color w:val="auto"/>
        </w:rPr>
      </w:pPr>
    </w:p>
    <w:p>
      <w:pPr>
        <w:jc w:val="both"/>
        <w:ind w:left="1960" w:hanging="656"/>
        <w:spacing w:after="0" w:line="251" w:lineRule="auto"/>
        <w:tabs>
          <w:tab w:leader="none" w:pos="1954"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vote in favor of amendments of, supplements to, or waivers of the Common Terms Agreement (other than Administrative Decisions) unless it first receives the affirmative vote of the Majority Senior Lenders. If the Administrative Agent has not received the affirmative vote of the Majority Senior Lenders on or prior to the date by which it must cast its vote in accordance with the Collateral and Intercreditor Agreement, then the Administrative Agent shall vote against the relevant Modification.</w:t>
      </w:r>
    </w:p>
    <w:p>
      <w:pPr>
        <w:spacing w:after="0" w:line="181"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6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request from the Borrower to direct the removal of the P1 Intercreditor Agent or the P1 Collateral Agent and direct the appointment of a replacement P1 Intercreditor Agent or P1 Collateral Agent in accordance with the terms of the Collateral and Intercreditor Agreement, the Administrative Agent shall give notice of such request to the Senior Lenders. Unless Senior Lenders representing more than 25% of the aggregate outstanding principal amount of the Senior Loans object to such request within thirty days, the Administrative Agent shall provide such direction on the immediately succeeding Business Day after such thirtieth day.</w:t>
      </w:r>
    </w:p>
    <w:p>
      <w:pPr>
        <w:spacing w:after="0" w:line="180"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4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Administrative Agent shall not consent to amendments of, supplements to, or waivers of the P1 Collateral Documents (other than Administrative Decisions) unless it first receives the affirmative vote of the Majority Senior Lenders.</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5"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certificate of an Authorized Officer of the Borrower and without the requirement of any vote or consent by the Senior Lenders, the Administrative Agent shall consent to any Administrative Decisions pursuant to the Collateral and Intercreditor Agreement.</w:t>
      </w:r>
    </w:p>
    <w:p>
      <w:pPr>
        <w:spacing w:after="0" w:line="186"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4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voting in accordance with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the Administrative Agent shall have received a certificate from an Authorized Officer of the Borrower, which certificate shall set forth (A) the vote or consent the Administrative Agent is directed to make as required by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in connection with any vote required by the Administrative Agent as Senior Secured Debt Holder Representative under the Collateral and Intercreditor Agreement or any other P1 Financing Document and (B) the relevant subsection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pursuant to which such vote is required.</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5"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whether the Senior Lenders of the required principal amount of Senior Loans have concurred in any direction, waiver or consent, any Senior Lender that is a Loan Party, an Equity Owner or an Affiliate or Controlled Subsidiary thereof will be considered as though not outstanding. For purposes of determining whether the Administrative Agent will be protected in relying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9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such direction, waiver or consent, only Senior Lenders that the Administrative Agent knows is a Loan Party, an Equity Owner or an Affiliate or Controlled Subsidiary thereof will be so disregarded.</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37" w:lineRule="exact"/>
        <w:rPr>
          <w:sz w:val="20"/>
          <w:szCs w:val="20"/>
          <w:color w:val="auto"/>
        </w:rPr>
      </w:pPr>
    </w:p>
    <w:p>
      <w:pPr>
        <w:jc w:val="both"/>
        <w:ind w:left="1300" w:hanging="644"/>
        <w:spacing w:after="0" w:line="257" w:lineRule="auto"/>
        <w:tabs>
          <w:tab w:leader="none" w:pos="1297"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other Financing Documents and any agreement, document or instrument attached hereto or referred to herein integrate all the terms and conditions mentioned herein or incidental hereto and supersede all oral negotiations and prior writings in respect to the subject matter hereof.</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terms, conditions and provisions of this Agreement and any such agreement, document or instrument (including the Common Terms Agreement), the terms, conditions and provisions of this Agreement shall prevail.</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color w:val="auto"/>
        </w:rPr>
        <w:t>Governing Law; Jurisdiction; Etc.</w:t>
      </w:r>
    </w:p>
    <w:p>
      <w:pPr>
        <w:spacing w:after="0" w:line="224" w:lineRule="exact"/>
        <w:rPr>
          <w:sz w:val="20"/>
          <w:szCs w:val="20"/>
          <w:color w:val="auto"/>
        </w:rPr>
      </w:pPr>
    </w:p>
    <w:p>
      <w:pPr>
        <w:jc w:val="both"/>
        <w:ind w:left="1300" w:hanging="644"/>
        <w:spacing w:after="0" w:line="257" w:lineRule="auto"/>
        <w:tabs>
          <w:tab w:leader="none" w:pos="1297"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RIGHTS AND OBLIGATIONS OF THE PARTIES HEREUNDER, SHALL BE GOVERNED BY, AND CONSTRUED IN ACCORDANCE WITH, THE LAW OF THE STATE OF NEW YORK, UNITED STATES OF AMERICA.</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60" w:lineRule="auto"/>
        <w:tabs>
          <w:tab w:leader="none" w:pos="1295"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TO THE EXTENT PERMITTED BY GOVERNMENT RULES, EACH PARTY HERETO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FINANCING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FINANCING DOCUMENT SHALL AFFECT ANY RIGHT THAT ANY PARTY HERETO MAY OTHERWISE HAVE TO BRING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98"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 xml:space="preserve">ANY ACTION OR PROCEEDING RELATING TO THIS AGREEMENT OR ANY OTHER FINANCING DOCUMENT AGAINST THE BORROWER OR ITS PROPERTIES IN THE COURTS OF ANY JURISDICTION IF GOVERNMENT RULES DOES NOT PERMIT A CLAIM, ACTION OR PROCEEDING REFERRED TO IN THE FIRST SENTENCE OF THIS </w:t>
      </w:r>
      <w:r>
        <w:rPr>
          <w:rFonts w:ascii="Times New Roman" w:cs="Times New Roman" w:eastAsia="Times New Roman" w:hAnsi="Times New Roman"/>
          <w:sz w:val="22"/>
          <w:szCs w:val="22"/>
          <w:u w:val="single" w:color="auto"/>
          <w:color w:val="auto"/>
        </w:rPr>
        <w:t>SECTION 12.3(b)</w:t>
      </w:r>
      <w:r>
        <w:rPr>
          <w:rFonts w:ascii="Times New Roman" w:cs="Times New Roman" w:eastAsia="Times New Roman" w:hAnsi="Times New Roman"/>
          <w:sz w:val="22"/>
          <w:szCs w:val="22"/>
          <w:color w:val="auto"/>
        </w:rPr>
        <w:t xml:space="preserve"> TO BE FILED, HEARD OR DETERMINED IN OR BY THE COURTS SPECIFIED THEREIN.</w:t>
      </w:r>
    </w:p>
    <w:p>
      <w:pPr>
        <w:spacing w:after="0" w:line="179" w:lineRule="exact"/>
        <w:rPr>
          <w:sz w:val="20"/>
          <w:szCs w:val="20"/>
          <w:color w:val="auto"/>
        </w:rPr>
      </w:pPr>
    </w:p>
    <w:p>
      <w:pPr>
        <w:jc w:val="both"/>
        <w:ind w:left="1300" w:hanging="644"/>
        <w:spacing w:after="0" w:line="249" w:lineRule="auto"/>
        <w:tabs>
          <w:tab w:leader="none" w:pos="1297"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EACH PARTY HERETO IRREVOCABLY AND UNCONDITIONALLY WAIVES, TO THE FULLEST EXTENT PERMITTED BY LAW, ANY OBJECTION THAT IT MAY NOW OR HEREAFTER HAVE TO THE LAYING OF VENUE OF ANY ACTION OR PROCEEDING ARISING OUT OF OR RELATING TO THIS AGREEMENT OR ANY OTHER FINANCING DOCUMENT IN ANY COURT REFERRED TO IN </w:t>
      </w:r>
      <w:r>
        <w:rPr>
          <w:rFonts w:ascii="Times New Roman" w:cs="Times New Roman" w:eastAsia="Times New Roman" w:hAnsi="Times New Roman"/>
          <w:sz w:val="22"/>
          <w:szCs w:val="22"/>
          <w:u w:val="single" w:color="auto"/>
          <w:color w:val="auto"/>
        </w:rPr>
        <w:t>SECTION 12.3(b)</w:t>
      </w:r>
      <w:r>
        <w:rPr>
          <w:rFonts w:ascii="Times New Roman" w:cs="Times New Roman" w:eastAsia="Times New Roman" w:hAnsi="Times New Roman"/>
          <w:sz w:val="22"/>
          <w:szCs w:val="22"/>
          <w:color w:val="auto"/>
        </w:rPr>
        <w:t>. EACH OF THE PARTIES HERETO HEREBY IRREVOCABLY WAIVES, TO THE FULLEST EXTENT PERMITTED BY GOVERNMENT RULES, THE DEFENSE OF AN INCONVENIENT FORUM TO THE MAINTENANCE OF SUCH ACTION OR PROCEEDING IN ANY SUCH COURT.</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the service of any and all process in any such action or proceeding by the mailing of copies of such process to such Person at its then effective notice addresses pursuant to </w:t>
      </w:r>
      <w:r>
        <w:rPr>
          <w:rFonts w:ascii="Times New Roman" w:cs="Times New Roman" w:eastAsia="Times New Roman" w:hAnsi="Times New Roman"/>
          <w:sz w:val="22"/>
          <w:szCs w:val="22"/>
          <w:u w:val="single" w:color="auto"/>
          <w:color w:val="auto"/>
        </w:rPr>
        <w:t>Section 12.11</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Immunity</w:t>
      </w:r>
      <w:r>
        <w:rPr>
          <w:rFonts w:ascii="Times New Roman" w:cs="Times New Roman" w:eastAsia="Times New Roman" w:hAnsi="Times New Roman"/>
          <w:sz w:val="22"/>
          <w:szCs w:val="22"/>
          <w:color w:val="auto"/>
        </w:rPr>
        <w:t xml:space="preserve">. To the extent that the Borrower has or hereafter may acquire any immunity from jurisdiction of any court or from any legal process (whether through service or notice, attachment prior to judgment, attachment in aid of execution, execution or otherwise) with respect to itself or its property, the Borrower hereby irrevocably and unconditionally waives such immunity in respect of its obligations under the Financing Documents and, without limiting the generality of the foregoing, agrees that the waiver set forth in this </w:t>
      </w:r>
      <w:r>
        <w:rPr>
          <w:rFonts w:ascii="Times New Roman" w:cs="Times New Roman" w:eastAsia="Times New Roman" w:hAnsi="Times New Roman"/>
          <w:sz w:val="22"/>
          <w:szCs w:val="22"/>
          <w:u w:val="single" w:color="auto"/>
          <w:color w:val="auto"/>
        </w:rPr>
        <w:t>Section 12.3(e)</w:t>
      </w:r>
      <w:r>
        <w:rPr>
          <w:rFonts w:ascii="Times New Roman" w:cs="Times New Roman" w:eastAsia="Times New Roman" w:hAnsi="Times New Roman"/>
          <w:sz w:val="22"/>
          <w:szCs w:val="22"/>
          <w:color w:val="auto"/>
        </w:rPr>
        <w:t xml:space="preserve"> shall have the fullest scope permitted under the Foreign Sovereign Immunities Act of 1976 of the United States and is intended to be irrevocable for purposes of such act.</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0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LAW, ANY RIGHT IT MAY HAVE TO A TRIAL BY JURY IN ANY LEGAL PROCEEDING DIRECTLY OR INDIRECTLY ARISING OUT OF OR RELATING TO THIS AGREEMENT, ANY OTHER FINANCING DOCUMENT OR THE TRANSACTIONS CONTEMPLATED HEREBY OR THEREBY (WHETHER BASED ON CONTRACT, TORT OR ANY OTHER THEORY). EACH PARTY HERETO (i) CERTIFIES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98"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 xml:space="preserve">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FINANCING DOCUMENTS BY, AMONG OTHER THINGS, THE MUTUAL WAIVERS AND CERTIFICATIONS IN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Assignments</w:t>
      </w:r>
    </w:p>
    <w:p>
      <w:pPr>
        <w:spacing w:after="0" w:line="224" w:lineRule="exact"/>
        <w:rPr>
          <w:sz w:val="20"/>
          <w:szCs w:val="20"/>
          <w:color w:val="auto"/>
        </w:rPr>
      </w:pPr>
    </w:p>
    <w:p>
      <w:pPr>
        <w:jc w:val="both"/>
        <w:ind w:left="1300" w:hanging="644"/>
        <w:spacing w:after="0" w:line="264" w:lineRule="auto"/>
        <w:tabs>
          <w:tab w:leader="none" w:pos="1297"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of the Senior Lenders and the Administrative Agent (and any attempted assignment or other transfer by the Borrower without such consent shall be null and void), and no Senior Lender may assign or otherwise transfer any of its rights or obligations hereunder except (i) to an assignee in accordance with </w:t>
      </w:r>
      <w:r>
        <w:rPr>
          <w:rFonts w:ascii="Times New Roman" w:cs="Times New Roman" w:eastAsia="Times New Roman" w:hAnsi="Times New Roman"/>
          <w:sz w:val="21"/>
          <w:szCs w:val="21"/>
          <w:u w:val="single" w:color="auto"/>
          <w:color w:val="auto"/>
        </w:rPr>
        <w:t>Section 12.4(b)</w:t>
      </w:r>
      <w:r>
        <w:rPr>
          <w:rFonts w:ascii="Times New Roman" w:cs="Times New Roman" w:eastAsia="Times New Roman" w:hAnsi="Times New Roman"/>
          <w:sz w:val="21"/>
          <w:szCs w:val="21"/>
          <w:color w:val="auto"/>
        </w:rPr>
        <w:t xml:space="preserve">, (ii) by way of participation in accordance with </w:t>
      </w:r>
      <w:r>
        <w:rPr>
          <w:rFonts w:ascii="Times New Roman" w:cs="Times New Roman" w:eastAsia="Times New Roman" w:hAnsi="Times New Roman"/>
          <w:sz w:val="21"/>
          <w:szCs w:val="21"/>
          <w:u w:val="single" w:color="auto"/>
          <w:color w:val="auto"/>
        </w:rPr>
        <w:t>Section 12.4(d)</w:t>
      </w:r>
      <w:r>
        <w:rPr>
          <w:rFonts w:ascii="Times New Roman" w:cs="Times New Roman" w:eastAsia="Times New Roman" w:hAnsi="Times New Roman"/>
          <w:sz w:val="21"/>
          <w:szCs w:val="21"/>
          <w:color w:val="auto"/>
        </w:rPr>
        <w:t xml:space="preserve">, or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12.4(e)</w:t>
      </w:r>
      <w:r>
        <w:rPr>
          <w:rFonts w:ascii="Times New Roman" w:cs="Times New Roman" w:eastAsia="Times New Roman" w:hAnsi="Times New Roman"/>
          <w:sz w:val="21"/>
          <w:szCs w:val="21"/>
          <w:color w:val="auto"/>
        </w:rPr>
        <w:t xml:space="preserve"> (and any other attempted assignment or transfer by any Party hereto shall be null and void).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jc w:val="both"/>
        <w:ind w:left="1960" w:hanging="656"/>
        <w:spacing w:after="0" w:line="257" w:lineRule="auto"/>
        <w:tabs>
          <w:tab w:leader="none" w:pos="194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12.4(h)</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12.4(b)</w:t>
      </w:r>
      <w:r>
        <w:rPr>
          <w:rFonts w:ascii="Times New Roman" w:cs="Times New Roman" w:eastAsia="Times New Roman" w:hAnsi="Times New Roman"/>
          <w:sz w:val="22"/>
          <w:szCs w:val="22"/>
          <w:color w:val="auto"/>
        </w:rPr>
        <w:t>, any Senior Lender may at any time after the Senior Loan Borrowing Date assign to one or more Persons all or a portion of its rights and obligations under this Agreement (including its participations in the Senior Loans at the time owing to it).</w:t>
      </w:r>
    </w:p>
    <w:p>
      <w:pPr>
        <w:spacing w:after="0" w:line="186"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4"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assignee is not a Senior Lender prior to such assignment, it shall deliver to the Administrative Agent an administrative questionnaire and all documentation and other information required by bank regulatory authorities under applicable KYC Requirements.</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6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of the entire remaining amount of the assigning Senior Lender’s Senior Loans, the outstanding Senior Loans subject to each such assignment (determined as of the date of the Lender Assignment Agreement with respect to such assignment is delivered to the Administrative Agent or, if a “Trade Date” is specified in the Lender Assignment Agreement, as of such date) shall not be less than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and in integral multiples of $1,000 unless the Borrower otherwise consents.</w:t>
      </w:r>
    </w:p>
    <w:p>
      <w:pPr>
        <w:spacing w:after="0" w:line="220" w:lineRule="exact"/>
        <w:rPr>
          <w:sz w:val="20"/>
          <w:szCs w:val="20"/>
          <w:color w:val="auto"/>
        </w:rPr>
      </w:pPr>
    </w:p>
    <w:p>
      <w:pPr>
        <w:jc w:val="both"/>
        <w:ind w:left="1960" w:hanging="656"/>
        <w:spacing w:after="0" w:line="263" w:lineRule="auto"/>
        <w:tabs>
          <w:tab w:leader="none" w:pos="1948"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 Lender Assignment Agreement, together with a processing and recordation fee of $3,500 (which fee may be waived or reduced in the Administrative Agent’s sole discretion).</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61" w:lineRule="auto"/>
        <w:tabs>
          <w:tab w:leader="none" w:pos="1955"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 xml:space="preserve">, from and after the effective date specified in each Lender Assignment Agreement, the assignee thereunder shall be a party to this Agreement and, to the extent of the interest assigned by such Lender Assignment Agreement, have the rights and obligations of a Senior Lender under this Agreement, and the assigning Senior Lender thereunder shall, to the extent of the interest assigned by such Lender Assignment Agreement, be released from its obligations under this Agreement (and, in the case of a Lender Assignment Agreement covering all of the assigning Senior Lender’s rights and obligations under this Agreement, such Senior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Section 8.7 (</w:t>
      </w:r>
      <w:r>
        <w:rPr>
          <w:rFonts w:ascii="Times New Roman" w:cs="Times New Roman" w:eastAsia="Times New Roman" w:hAnsi="Times New Roman"/>
          <w:sz w:val="21"/>
          <w:szCs w:val="21"/>
          <w:i w:val="1"/>
          <w:iCs w:val="1"/>
          <w:color w:val="auto"/>
        </w:rPr>
        <w:t>Costs and Expenses</w:t>
      </w:r>
      <w:r>
        <w:rPr>
          <w:rFonts w:ascii="Times New Roman" w:cs="Times New Roman" w:eastAsia="Times New Roman" w:hAnsi="Times New Roman"/>
          <w:sz w:val="21"/>
          <w:szCs w:val="21"/>
          <w:color w:val="auto"/>
        </w:rPr>
        <w:t>) of the Common Terms Agreement, Section 8.6 (</w:t>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of the P1 Security Agreement, and Section 4.7 (</w:t>
      </w:r>
      <w:r>
        <w:rPr>
          <w:rFonts w:ascii="Times New Roman" w:cs="Times New Roman" w:eastAsia="Times New Roman" w:hAnsi="Times New Roman"/>
          <w:sz w:val="21"/>
          <w:szCs w:val="21"/>
          <w:i w:val="1"/>
          <w:iCs w:val="1"/>
          <w:color w:val="auto"/>
        </w:rPr>
        <w:t>Fees; Expenses</w:t>
      </w:r>
      <w:r>
        <w:rPr>
          <w:rFonts w:ascii="Times New Roman" w:cs="Times New Roman" w:eastAsia="Times New Roman" w:hAnsi="Times New Roman"/>
          <w:sz w:val="21"/>
          <w:szCs w:val="21"/>
          <w:color w:val="auto"/>
        </w:rPr>
        <w:t>) of the P1 Accounts Agreement with respect to facts and circumstances occurring prior to the effective date of such assignment.</w:t>
      </w:r>
    </w:p>
    <w:p>
      <w:pPr>
        <w:spacing w:after="0" w:line="175" w:lineRule="exact"/>
        <w:rPr>
          <w:rFonts w:ascii="Times New Roman" w:cs="Times New Roman" w:eastAsia="Times New Roman" w:hAnsi="Times New Roman"/>
          <w:sz w:val="21"/>
          <w:szCs w:val="21"/>
          <w:color w:val="auto"/>
        </w:rPr>
      </w:pPr>
    </w:p>
    <w:p>
      <w:pPr>
        <w:jc w:val="both"/>
        <w:ind w:left="1960" w:hanging="656"/>
        <w:spacing w:after="0" w:line="257" w:lineRule="auto"/>
        <w:tabs>
          <w:tab w:leader="none" w:pos="1948"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the Borrower (at its expense) shall execute and deliver the applicable Senior Loan Notes to the assignee Senior Lender and/or revised Senior Loan Notes to the assigning Senior Lender reflecting such assignment.</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4"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or transfer by a Senior Lender of rights or obligations under this Agreement that does not comply with this </w:t>
      </w:r>
      <w:r>
        <w:rPr>
          <w:rFonts w:ascii="Times New Roman" w:cs="Times New Roman" w:eastAsia="Times New Roman" w:hAnsi="Times New Roman"/>
          <w:sz w:val="22"/>
          <w:szCs w:val="22"/>
          <w:u w:val="single" w:color="auto"/>
          <w:color w:val="auto"/>
        </w:rPr>
        <w:t>Section 12.4(b)</w:t>
      </w:r>
      <w:r>
        <w:rPr>
          <w:rFonts w:ascii="Times New Roman" w:cs="Times New Roman" w:eastAsia="Times New Roman" w:hAnsi="Times New Roman"/>
          <w:sz w:val="22"/>
          <w:szCs w:val="22"/>
          <w:color w:val="auto"/>
        </w:rPr>
        <w:t xml:space="preserve"> shall be treated for purposes of this Agreement as a sale by such Senior Lender of a participation in such rights and obligations in accordance with </w:t>
      </w:r>
      <w:r>
        <w:rPr>
          <w:rFonts w:ascii="Times New Roman" w:cs="Times New Roman" w:eastAsia="Times New Roman" w:hAnsi="Times New Roman"/>
          <w:sz w:val="22"/>
          <w:szCs w:val="22"/>
          <w:u w:val="single" w:color="auto"/>
          <w:color w:val="auto"/>
        </w:rPr>
        <w:t>Section 12.4(d)</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maintain the Register in accordance with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above.</w:t>
      </w:r>
    </w:p>
    <w:p>
      <w:pPr>
        <w:spacing w:after="0" w:line="219" w:lineRule="exact"/>
        <w:rPr>
          <w:rFonts w:ascii="Times New Roman" w:cs="Times New Roman" w:eastAsia="Times New Roman" w:hAnsi="Times New Roman"/>
          <w:sz w:val="22"/>
          <w:szCs w:val="22"/>
          <w:color w:val="auto"/>
        </w:rPr>
      </w:pPr>
    </w:p>
    <w:p>
      <w:pPr>
        <w:jc w:val="both"/>
        <w:ind w:left="1300" w:right="20" w:hanging="644"/>
        <w:spacing w:after="0" w:line="256" w:lineRule="auto"/>
        <w:tabs>
          <w:tab w:leader="none" w:pos="1295"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(each, a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in all or a portion of such Senior Lender’s rights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98"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 xml:space="preserve">under this Agreement (including all or a portion of its Senior Loan Commitment or the Senior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Senior Lender’s obligations under this Agreement shall remain unchanged, (ii) such Senior Lender remains solely responsible to the other parties hereto for the performance of such obligations and such participation shall not give rise to any legal privity between the Borrower and the Participant, and (iii) the Borrower, the Administrative Agent, the P1 Collateral Agent, and the other Senior Lenders shall continue to deal solely and directly with such Senior Lender in connection with such Senior Lender’s rights and obligations under this Agreement. For the avoidance of doubt, each Senior Lender shall be responsible for the indemnity under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with respect to any payments made by such Senior Lender to its Participant(s). Any agreement or instrument pursuant to which a Senior Lender sells such a participation shall provide that such Senior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Senior Lender will not, without the consent of the Participant, agree to any amendment, waiver or other modification described in the proviso to </w:t>
      </w:r>
      <w:r>
        <w:rPr>
          <w:rFonts w:ascii="Times New Roman" w:cs="Times New Roman" w:eastAsia="Times New Roman" w:hAnsi="Times New Roman"/>
          <w:sz w:val="22"/>
          <w:szCs w:val="22"/>
          <w:u w:val="single" w:color="auto"/>
          <w:color w:val="auto"/>
        </w:rPr>
        <w:t>Section 12.1(b)(i)</w:t>
      </w:r>
      <w:r>
        <w:rPr>
          <w:rFonts w:ascii="Times New Roman" w:cs="Times New Roman" w:eastAsia="Times New Roman" w:hAnsi="Times New Roman"/>
          <w:sz w:val="22"/>
          <w:szCs w:val="22"/>
          <w:color w:val="auto"/>
        </w:rPr>
        <w:t xml:space="preserve"> that directly affects such Participant. The Borrower agrees that each Participant shall be entitled to the benefits of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4.2(g)</w:t>
      </w:r>
      <w:r>
        <w:rPr>
          <w:rFonts w:ascii="Times New Roman" w:cs="Times New Roman" w:eastAsia="Times New Roman" w:hAnsi="Times New Roman"/>
          <w:sz w:val="22"/>
          <w:szCs w:val="22"/>
          <w:color w:val="auto"/>
        </w:rPr>
        <w:t xml:space="preserve"> (it being understood that any documentation required under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shall be delivered to the participating Senior Lender)) to the same extent as if it were a Senior Lender and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as if it were an assignee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and (B) shall not be entitled to receive any greater payment under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with respect to any participation, than its participating Senior Lender would have been entitled to receive, except to the extent such entitlement to receive a greater payment results from a Change in Law that occurs after the Participant acquired the applicable participation. Each Senior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xml:space="preserve"> as though it were a Senior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as though it were a Senior Lender. Each Senior Lender that sells a participation shall, acting solely for this purpose as a non-fiduciary agent of the Borrower, maintain a register on which it enters the name and address of each Participant and the principal amounts (and stated interest) of each Participant’s interest in the applicable Senior Loans or other obligations under the Financing Documents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Senior Lender shall have any obligation to disclose all or any portion of the Participant Register (including the identity of any Participant or any information relating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-4794885</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-3311525</wp:posOffset>
            </wp:positionV>
            <wp:extent cx="425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-2326005</wp:posOffset>
            </wp:positionV>
            <wp:extent cx="34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-1005840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-354330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Participant’s interest in any commitments, loans or its other obligations under any Financing Document) to any other Person except to the extent that such disclosure is necessary to establish that such commitment, loan or other obligation is in registered form under Section 5f.103-1(c) of the United States Treasury Regulations and Proposed Treasury Regulations Section 1.163-5(b) and within the meaning of Sections 163(f), 871(h)(2), and 881(c)(2) of the Code and any related United States Treasury Regulations (or any other relevant or successor provisions of the Code or of such United States Treasury Regulations). The entries in the Participant Register shall be conclusive absent manifest error, and such Senior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jc w:val="both"/>
        <w:ind w:left="1300" w:hanging="644"/>
        <w:spacing w:after="0" w:line="253" w:lineRule="auto"/>
        <w:tabs>
          <w:tab w:leader="none" w:pos="1297"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Senior Lender may at any time pledge or assign a security interest in all or any portion of its rights under this Agreement (including under its Senior Loan Notes, if any) to secure obligations of such Senior Lender, including any pledge or assignment to secure obligations to a Federal Reserve Bank or any central bank having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pledge or assignment shall release such Senior Lender from any of its obligations hereunder or substitute any such pledgee or assignee for such Senior Lender as a Party hereto.</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30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Senior Lender may at any time, assign all or a portion of its rights and obligations with respect to Senior Loans under this Agreement to a Person who is or will become, after such assignment, an Affiliated Lender through (i) Dutch auctions open to all Senior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accordance with the procedures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or (ii) open market purchases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or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each case subject to the following limitations:</w:t>
      </w:r>
    </w:p>
    <w:p>
      <w:pPr>
        <w:spacing w:after="0" w:line="178" w:lineRule="exact"/>
        <w:rPr>
          <w:rFonts w:ascii="Times New Roman" w:cs="Times New Roman" w:eastAsia="Times New Roman" w:hAnsi="Times New Roman"/>
          <w:sz w:val="22"/>
          <w:szCs w:val="22"/>
          <w:color w:val="auto"/>
        </w:rPr>
      </w:pPr>
    </w:p>
    <w:p>
      <w:pPr>
        <w:jc w:val="both"/>
        <w:ind w:left="2600" w:hanging="648"/>
        <w:spacing w:after="0" w:line="275" w:lineRule="auto"/>
        <w:tabs>
          <w:tab w:leader="none" w:pos="2589"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assigning Senior Lender and the Affiliated Lender purchasing such Senior Lender’s Senior Loans shall execute and deliver to the Administrative Agent an assignment agreement substantially in the form of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hereto (an “</w:t>
      </w:r>
      <w:r>
        <w:rPr>
          <w:rFonts w:ascii="Times New Roman" w:cs="Times New Roman" w:eastAsia="Times New Roman" w:hAnsi="Times New Roman"/>
          <w:sz w:val="21"/>
          <w:szCs w:val="21"/>
          <w:b w:val="1"/>
          <w:bCs w:val="1"/>
          <w:color w:val="auto"/>
        </w:rPr>
        <w:t>Affiliated Lender Assignment Agreement</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left="2600" w:hanging="648"/>
        <w:spacing w:after="0" w:line="251" w:lineRule="auto"/>
        <w:tabs>
          <w:tab w:leader="none" w:pos="2591"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Affiliated Lenders will not receive information provided solely to Senior Lenders by the Administrative Agent or any Senior Lender and will not be permitted to attend or participate in conference calls or meetings attended solely by the Senior Lenders and the Administrative Agent, other than the right to receive notices of prepayments and other administrative notices in respect of its Senior Loans or Senior Loan Commitments required to be delivered to Senior Lenders pursuant to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-2918460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98" w:lineRule="exact"/>
        <w:rPr>
          <w:sz w:val="20"/>
          <w:szCs w:val="20"/>
          <w:color w:val="auto"/>
        </w:rPr>
      </w:pPr>
    </w:p>
    <w:p>
      <w:pPr>
        <w:jc w:val="both"/>
        <w:ind w:left="2600" w:hanging="648"/>
        <w:spacing w:after="0" w:line="251" w:lineRule="auto"/>
        <w:tabs>
          <w:tab w:leader="none" w:pos="259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Senior Loans held at any one time by Affiliated Lenders shall not exceed 25% of the principal amount of all Senior Loans at such time outstanding (measured at the time of purchase) (such percentage, the “</w:t>
      </w:r>
      <w:r>
        <w:rPr>
          <w:rFonts w:ascii="Times New Roman" w:cs="Times New Roman" w:eastAsia="Times New Roman" w:hAnsi="Times New Roman"/>
          <w:sz w:val="22"/>
          <w:szCs w:val="22"/>
          <w:b w:val="1"/>
          <w:bCs w:val="1"/>
          <w:color w:val="auto"/>
        </w:rPr>
        <w:t>Affiliated Lender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any assignment to an Affiliated Lender would result in the aggregate principal amount of all Senior Loans held by Affiliated Lenders exceeding the Affiliated Lender Cap, the assignment of such excess amount will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w:t>
      </w:r>
    </w:p>
    <w:p>
      <w:pPr>
        <w:spacing w:after="0" w:line="181" w:lineRule="exact"/>
        <w:rPr>
          <w:rFonts w:ascii="Times New Roman" w:cs="Times New Roman" w:eastAsia="Times New Roman" w:hAnsi="Times New Roman"/>
          <w:sz w:val="22"/>
          <w:szCs w:val="22"/>
          <w:color w:val="auto"/>
        </w:rPr>
      </w:pPr>
    </w:p>
    <w:p>
      <w:pPr>
        <w:jc w:val="both"/>
        <w:ind w:left="2600" w:hanging="648"/>
        <w:spacing w:after="0" w:line="253" w:lineRule="auto"/>
        <w:tabs>
          <w:tab w:leader="none" w:pos="2589"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to each assignment pursuant to this </w:t>
      </w:r>
      <w:r>
        <w:rPr>
          <w:rFonts w:ascii="Times New Roman" w:cs="Times New Roman" w:eastAsia="Times New Roman" w:hAnsi="Times New Roman"/>
          <w:sz w:val="22"/>
          <w:szCs w:val="22"/>
          <w:u w:val="single" w:color="auto"/>
          <w:color w:val="auto"/>
        </w:rPr>
        <w:t>Section 12.4(f)</w:t>
      </w:r>
      <w:r>
        <w:rPr>
          <w:rFonts w:ascii="Times New Roman" w:cs="Times New Roman" w:eastAsia="Times New Roman" w:hAnsi="Times New Roman"/>
          <w:sz w:val="22"/>
          <w:szCs w:val="22"/>
          <w:color w:val="auto"/>
        </w:rPr>
        <w:t>, the Administrative Agent shall have been provided a notice in connection with each assignment to an Affiliated Lender or a Person that upon effectiveness of such assignment would constitute an Affiliated Lender pursuant to which such Affiliated Lender shall waive any right to bring any action in connection with such Senior Loans against the Administrative Agent, in its capacity as such.</w:t>
      </w:r>
    </w:p>
    <w:p>
      <w:pPr>
        <w:spacing w:after="0" w:line="174" w:lineRule="exact"/>
        <w:rPr>
          <w:rFonts w:ascii="Times New Roman" w:cs="Times New Roman" w:eastAsia="Times New Roman" w:hAnsi="Times New Roman"/>
          <w:sz w:val="22"/>
          <w:szCs w:val="22"/>
          <w:color w:val="auto"/>
        </w:rPr>
      </w:pPr>
    </w:p>
    <w:p>
      <w:pPr>
        <w:jc w:val="both"/>
        <w:ind w:left="1300" w:hanging="644"/>
        <w:spacing w:after="0" w:line="266" w:lineRule="auto"/>
        <w:tabs>
          <w:tab w:leader="none" w:pos="1295"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w:t>
      </w:r>
      <w:r>
        <w:rPr>
          <w:rFonts w:ascii="Times New Roman" w:cs="Times New Roman" w:eastAsia="Times New Roman" w:hAnsi="Times New Roman"/>
          <w:sz w:val="21"/>
          <w:szCs w:val="21"/>
          <w:i w:val="1"/>
          <w:iCs w:val="1"/>
          <w:color w:val="auto"/>
        </w:rPr>
        <w:t>execution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signed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signature</w:t>
      </w:r>
      <w:r>
        <w:rPr>
          <w:rFonts w:ascii="Times New Roman" w:cs="Times New Roman" w:eastAsia="Times New Roman" w:hAnsi="Times New Roman"/>
          <w:sz w:val="21"/>
          <w:szCs w:val="21"/>
          <w:color w:val="auto"/>
        </w:rPr>
        <w:t>,” and words of like import in any Lender Assignment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spacing w:after="0" w:line="166" w:lineRule="exact"/>
        <w:rPr>
          <w:rFonts w:ascii="Times New Roman" w:cs="Times New Roman" w:eastAsia="Times New Roman" w:hAnsi="Times New Roman"/>
          <w:sz w:val="21"/>
          <w:szCs w:val="21"/>
          <w:color w:val="auto"/>
        </w:rPr>
      </w:pPr>
    </w:p>
    <w:p>
      <w:pPr>
        <w:jc w:val="both"/>
        <w:ind w:left="1300" w:hanging="644"/>
        <w:spacing w:after="0" w:line="253" w:lineRule="auto"/>
        <w:tabs>
          <w:tab w:leader="none" w:pos="1295"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assignments by a Senior Lender of all or a portion of its rights and obligations hereunder with respect to any then outstanding Senior Loan Commitments shall be made only as an assignment of the same percentage of outstanding Senior Loan Commitments and Senior Loans and a proportionate part of all the assigning Senior Lender’s rights and obligations under this Agreement with respect to the Senior Loans and Senior Loan Commitments.</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8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sale, assignment, transfer, negotiation or other disposition of the interests of any Senior Lender hereunder or under the other Financing Documents shall be allowed if it could reasonably be expected to require securities registration under any laws or regulations of any applicable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-4222115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b w:val="1"/>
          <w:bCs w:val="1"/>
          <w:color w:val="auto"/>
        </w:rPr>
        <w:t>Benefits of Agreement</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 xml:space="preserve">Nothing in this Agreement or any other Financing Document, express or implied, shall be construed to give to any Person, other than the parties hereto, the P1 Intercreditor Agent, the P1 Collateral Agent, each of their successors and permitted assigns under this Agreement or any other Financing Document, Participants to the extent provided in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and, to the extent expressly contemplated hereby, the Related Parties of each of the Administrative Agent, the P1 Collateral Agent, the P1 Intercreditor Agent, and the Senior Lenders, any benefit or any legal or equitable right or remedy under this Agreement.</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b w:val="1"/>
          <w:bCs w:val="1"/>
          <w:color w:val="auto"/>
        </w:rPr>
        <w:t>Costs and Expenses</w:t>
      </w:r>
    </w:p>
    <w:p>
      <w:pPr>
        <w:spacing w:after="0" w:line="22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The Borrower shall pay (a) all reasonable and documented out-of-pocket expenses incurred by each of the Administrative Agent, the P1 Collateral Agent, and the Senior Lenders and their Affiliates (including all reasonable fees, costs and expenses of counsel to the Administrative Agent, the P1 Collateral Agent, and one counsel plus one local counsel for the Senior Lenders and their Affiliates in each relevant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case of the continuation of an Event of Default, any Senior Lender may retain separate counsel in the event of an actual conflict of interest (which may be multiple counsel, but only the least number necessary to resolve such conflict of interest) and the Borrower shall pay all reasonable fees, cost and expenses of such additional counsel)) in connection with the preparation, negotiation, syndication, execution and delivery of this Agreement and the other Financing Documents; (b) all reasonable and documented out of pocket expenses incurred by the Administrative Agent, the P1 Collateral Agent, and the Senior Lenders (including all reasonable fees, costs and expenses of counsel to the Administrative Agent, counsel to the P1 Collateral Agent, and one counsel plus one local counsel for the Senior Lenders and their Affiliates in each relevant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case of the continuation of an Event of Default, any Senior Lender may retain separate counsel in the event of an actual conflict of interest (which may be multiple counsel, but only the least number necessary to resolve such conflict of interest) and the Borrower shall pay all reasonable fees, cost and expenses of such additional counsel)) in connection with any amendments, modifications or waivers of the provisions of this Agreement and the other Financing Documents (whether or not the transactions contemplated hereby or thereby are consummated); (c) all reasonable and documented out-of-pocket expenses incurred by the Administrative Agent and the P1 Collateral Agent (including all reasonable fees, costs and expenses of counsel to the Administrative Agent, counsel to the P1 Collateral Agent, and one counsel plus one local counsel for the Senior Lenders and their Affiliates in each relevant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case of the continuation of an Event of Default, any Senior Lender may retain separate counsel in the event of an actual conflict of interest (which may be multiple counsel, but only the least number necessary to resolve such conflict of interest) and the Borrower shall pay all reasonable fees, cost and expenses of such additional counsel)) in connection with the administration of this Agreement and the other Financing Documents (whether or not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-3162300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-1850390</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-530225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98"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transactions contemplated hereby or thereby are consummated); and (d) all documented out-of-pocket expenses incurred by the Credit Agreement Senior Secured Parties (including all reasonable fees, costs and expenses of one counsel plus one local counsel for the Senior Lenders and their Affiliates in each relevant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the continuation of an Event of Default, any Senior Lender may retain separate counsel in the event of an actual conflict of interest (which may be multiple counsel, but only the least number necessary to resolve such conflict of interest) and the Borrower shall pay all reasonable fees, cost and expenses of such additional counsel)) in connection with the enforcement or protection (other than in connection with assignment of Senior Loans or Senior Loan Commitments) of their rights in connection with this Agreement and the other Financing Documents, including their rights under this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including in connection with any workout, restructuring or negotiations in respect of the Obligations. Notwithstanding the foregoing, in the event that the P1 Collateral Agent reasonably believes that a conflict exists in using one counsel, the P1 Collateral Agent may engage its own counsel. Furthermore, notwithstanding anything to the contrary in Section 8.6 (</w:t>
      </w:r>
      <w:r>
        <w:rPr>
          <w:rFonts w:ascii="Times New Roman" w:cs="Times New Roman" w:eastAsia="Times New Roman" w:hAnsi="Times New Roman"/>
          <w:sz w:val="22"/>
          <w:szCs w:val="22"/>
          <w:i w:val="1"/>
          <w:iCs w:val="1"/>
          <w:color w:val="auto"/>
        </w:rPr>
        <w:t>Consultants</w:t>
      </w:r>
      <w:r>
        <w:rPr>
          <w:rFonts w:ascii="Times New Roman" w:cs="Times New Roman" w:eastAsia="Times New Roman" w:hAnsi="Times New Roman"/>
          <w:sz w:val="22"/>
          <w:szCs w:val="22"/>
          <w:color w:val="auto"/>
        </w:rPr>
        <w:t>) of the Common Terms Agreement, during the continuation of any Event of Default, the Borrower shall pay (against direct invoices) the reasonable and documented fees and expenses of any other consultants and advisors of the Credit Agreement Senior Secured Parties (in addition to the Consultants as provided in such Section 8.6 (</w:t>
      </w:r>
      <w:r>
        <w:rPr>
          <w:rFonts w:ascii="Times New Roman" w:cs="Times New Roman" w:eastAsia="Times New Roman" w:hAnsi="Times New Roman"/>
          <w:sz w:val="22"/>
          <w:szCs w:val="22"/>
          <w:i w:val="1"/>
          <w:iCs w:val="1"/>
          <w:color w:val="auto"/>
        </w:rPr>
        <w:t>Consultants</w:t>
      </w:r>
      <w:r>
        <w:rPr>
          <w:rFonts w:ascii="Times New Roman" w:cs="Times New Roman" w:eastAsia="Times New Roman" w:hAnsi="Times New Roman"/>
          <w:sz w:val="22"/>
          <w:szCs w:val="22"/>
          <w:color w:val="auto"/>
        </w:rPr>
        <w:t xml:space="preserve">) of the Common Terms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 limiting the obligation of the Borrower to pay such reasonable and documented fees and expenses) such fees and expenses shall be subject to separate fee agreements entered into by the Borrower acting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5805805</wp:posOffset>
            </wp:positionH>
            <wp:positionV relativeFrom="paragraph">
              <wp:posOffset>-2338070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-358140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1"/>
          <w:szCs w:val="21"/>
          <w:b w:val="1"/>
          <w:bCs w:val="1"/>
          <w:color w:val="auto"/>
        </w:rPr>
        <w:t>Counterparts; Effectiveness</w:t>
      </w:r>
    </w:p>
    <w:p>
      <w:pPr>
        <w:spacing w:after="0" w:line="22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This Agreement may be executed in counterparts (and by different parties hereto in different counterparts), each of which shall constitute an original, but all of which when taken together shall constitute a single contract. This Agreement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Agreement by facsimile or portable document format (“pdf”) shall be effective as delivery of a manually executed counterpart of this Agreement. The words “execution,” “signed,” “signature,” and words of like import in this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12.8.</w:t>
      </w:r>
      <w:r>
        <w:rPr>
          <w:sz w:val="20"/>
          <w:szCs w:val="20"/>
          <w:color w:val="auto"/>
        </w:rPr>
        <w:tab/>
      </w:r>
      <w:r>
        <w:rPr>
          <w:rFonts w:ascii="Times New Roman" w:cs="Times New Roman" w:eastAsia="Times New Roman" w:hAnsi="Times New Roman"/>
          <w:sz w:val="21"/>
          <w:szCs w:val="21"/>
          <w:b w:val="1"/>
          <w:bCs w:val="1"/>
          <w:color w:val="auto"/>
        </w:rPr>
        <w:t>Indemnification</w:t>
      </w:r>
    </w:p>
    <w:p>
      <w:pPr>
        <w:spacing w:after="0" w:line="224" w:lineRule="exact"/>
        <w:rPr>
          <w:sz w:val="20"/>
          <w:szCs w:val="20"/>
          <w:color w:val="auto"/>
        </w:rPr>
      </w:pPr>
    </w:p>
    <w:p>
      <w:pPr>
        <w:jc w:val="both"/>
        <w:ind w:left="1300" w:hanging="644"/>
        <w:spacing w:after="0" w:line="251" w:lineRule="auto"/>
        <w:tabs>
          <w:tab w:leader="none" w:pos="1297"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indemnify each Credit Agreement Senior Secured Party and each Related Party of any of the foregoing Persons (each such Person being called a “</w:t>
      </w:r>
      <w:r>
        <w:rPr>
          <w:rFonts w:ascii="Times New Roman" w:cs="Times New Roman" w:eastAsia="Times New Roman" w:hAnsi="Times New Roman"/>
          <w:sz w:val="22"/>
          <w:szCs w:val="22"/>
          <w:b w:val="1"/>
          <w:bCs w:val="1"/>
          <w:color w:val="auto"/>
        </w:rPr>
        <w:t>Credit Agreement Indemnitee</w:t>
      </w:r>
      <w:r>
        <w:rPr>
          <w:rFonts w:ascii="Times New Roman" w:cs="Times New Roman" w:eastAsia="Times New Roman" w:hAnsi="Times New Roman"/>
          <w:sz w:val="22"/>
          <w:szCs w:val="22"/>
          <w:color w:val="auto"/>
        </w:rPr>
        <w:t>”) against, and hold each Credit Agreement Indemnitee harmless from, any and all losses, claims, damages, liabilities and related expenses (including all reasonable fees, costs and expenses of counsel or consultants for any Credit Agreement Indemnitee), incurred by any Credit Agreement Indemnitee or asserted against any Credit Agreement Indemnitee by any Person arising out of, in connection with, or as a result of:</w:t>
      </w:r>
    </w:p>
    <w:p>
      <w:pPr>
        <w:spacing w:after="0" w:line="181"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or delivery of this Agreement, any other Credit Agreement Transaction Document,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Loan or the use or proposed use of the proceeds therefrom;</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65" w:lineRule="auto"/>
        <w:tabs>
          <w:tab w:leader="none" w:pos="1960"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actual or alleged presence, Release or threatened Release of Hazardous Materials on, from or related to the Project that could reasonably result in an Environmental Claim related in any way to the Project, the Rio Grande Facility, the Land or any property owned or operated by the Borrower, the Administrator, the Coordinator, the Operator or any RG Facility Entity, or any Environmental Affiliate or any liability pursuant to an Environmental Law related in any way to the Project, the Rio Grande Facility, the Land, the Borrower, the Administrator, the Coordinator, the Operator or any RG Facility Entity;</w:t>
      </w:r>
    </w:p>
    <w:p>
      <w:pPr>
        <w:spacing w:after="0" w:line="182" w:lineRule="exact"/>
        <w:rPr>
          <w:rFonts w:ascii="Times New Roman" w:cs="Times New Roman" w:eastAsia="Times New Roman" w:hAnsi="Times New Roman"/>
          <w:sz w:val="21"/>
          <w:szCs w:val="21"/>
          <w:color w:val="auto"/>
        </w:rPr>
      </w:pPr>
    </w:p>
    <w:p>
      <w:pPr>
        <w:jc w:val="both"/>
        <w:ind w:left="1960" w:hanging="656"/>
        <w:spacing w:after="0" w:line="250" w:lineRule="auto"/>
        <w:tabs>
          <w:tab w:leader="none" w:pos="1948"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(including Environmental Claims), litigation, investigation or proceeding relating to any of the foregoing, whether based on common law, contract, tort or any other theory, whether brought by the Borrower or any of the Borrower’s members, managers or creditors or by any other Person, and regardless of whether any Credit Agreement Indemnitee is a party thereto and whether or not any of the transactions contemplated hereunder or under any of the other Financing Documents is consummated, in all cases, whether or not caused by or arising, in whole or in part, out of the comparative, contributory or sole negligence of the Credit Agreement Indemnitee; or</w:t>
      </w:r>
    </w:p>
    <w:p>
      <w:pPr>
        <w:spacing w:after="0" w:line="180"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5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demand or liability for broker’s or finder’s or placement fees or similar commissions, whether or not payable by the Borrower, alleged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98"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have been incurred in connection with such transactions, other than any broker’s or finder’s fees payable to Persons engaged by any Credit Agreement Senior Secured Party, or any Affiliates or Related Parties of any of the foregoing;</w:t>
      </w:r>
    </w:p>
    <w:p>
      <w:pPr>
        <w:spacing w:after="0" w:line="186" w:lineRule="exact"/>
        <w:rPr>
          <w:sz w:val="20"/>
          <w:szCs w:val="20"/>
          <w:color w:val="auto"/>
        </w:rPr>
      </w:pPr>
    </w:p>
    <w:p>
      <w:pPr>
        <w:jc w:val="both"/>
        <w:ind w:left="1280"/>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indemnity shall not, as to any Credit Agreement Indemnitee, be available to the extent that such losses, claims, damages, liabilities or related expenses are determined by a final and Non-Appealable judgment of a court of competent jurisdiction to have resulted from the gross negligence or willful misconduct of such Credit Agreement Indemnitee, or in the case of any Credit Agreement Indemnitee other than the Administrative Agent, breach by such Credit Agreement Indemnitee of any provisions of any Financing Document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-861060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4" w:lineRule="exact"/>
        <w:rPr>
          <w:sz w:val="20"/>
          <w:szCs w:val="20"/>
          <w:color w:val="auto"/>
        </w:rPr>
      </w:pPr>
    </w:p>
    <w:p>
      <w:pPr>
        <w:jc w:val="both"/>
        <w:ind w:left="1300" w:hanging="644"/>
        <w:spacing w:after="0" w:line="248" w:lineRule="auto"/>
        <w:tabs>
          <w:tab w:leader="none" w:pos="1295"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for any reason fails to pay any amount required under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12.8(a)</w:t>
      </w:r>
      <w:r>
        <w:rPr>
          <w:rFonts w:ascii="Times New Roman" w:cs="Times New Roman" w:eastAsia="Times New Roman" w:hAnsi="Times New Roman"/>
          <w:sz w:val="22"/>
          <w:szCs w:val="22"/>
          <w:color w:val="auto"/>
        </w:rPr>
        <w:t xml:space="preserve"> above to be paid by it to any of the Administrative Agent or any Related Party of any of the foregoing, each Senior Lender severally agrees to pay to the Administrative Agent, or such Related Party, as the case may be, such Senior Lender’s ratable share (determined as of the time that the applicable unreimbursed expense or indemnity payment is sought) of such unpaid amount, based on the aggregate of such Senior Lender’s Senior Loan Commitments to the aggregate of all Senior Loan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in each case in its capacity as such, or against any Related Party of any of the foregoing acting for the Administrative Agent, in each case in its capacity as such. The obligations of the Senior Lenders under this </w:t>
      </w:r>
      <w:r>
        <w:rPr>
          <w:rFonts w:ascii="Times New Roman" w:cs="Times New Roman" w:eastAsia="Times New Roman" w:hAnsi="Times New Roman"/>
          <w:sz w:val="22"/>
          <w:szCs w:val="22"/>
          <w:u w:val="single" w:color="auto"/>
          <w:color w:val="auto"/>
        </w:rPr>
        <w:t>Section 12.8(b)</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The obligations of the Senior Lenders to make payments pursuant to this </w:t>
      </w:r>
      <w:r>
        <w:rPr>
          <w:rFonts w:ascii="Times New Roman" w:cs="Times New Roman" w:eastAsia="Times New Roman" w:hAnsi="Times New Roman"/>
          <w:sz w:val="22"/>
          <w:szCs w:val="22"/>
          <w:u w:val="single" w:color="auto"/>
          <w:color w:val="auto"/>
        </w:rPr>
        <w:t>Section 12.8(b)</w:t>
      </w:r>
      <w:r>
        <w:rPr>
          <w:rFonts w:ascii="Times New Roman" w:cs="Times New Roman" w:eastAsia="Times New Roman" w:hAnsi="Times New Roman"/>
          <w:sz w:val="22"/>
          <w:szCs w:val="22"/>
          <w:color w:val="auto"/>
        </w:rPr>
        <w:t xml:space="preserve"> are several and not joint and shall survive the payment in full of the Obligations and the termination of this Agreement. The failure of any Senior Lender to make payments on any date required hereunder shall not relieve any other Senior Lender of its corresponding obligation to do so on such date, and no Senior Lender shall be responsible for the failure of any other Senior Lender to do so.</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Section 8.10(b) (</w:t>
      </w:r>
      <w:r>
        <w:rPr>
          <w:rFonts w:ascii="Times New Roman" w:cs="Times New Roman" w:eastAsia="Times New Roman" w:hAnsi="Times New Roman"/>
          <w:sz w:val="22"/>
          <w:szCs w:val="22"/>
          <w:i w:val="1"/>
          <w:iCs w:val="1"/>
          <w:color w:val="auto"/>
        </w:rPr>
        <w:t>Indemnification by Borrower</w:t>
      </w:r>
      <w:r>
        <w:rPr>
          <w:rFonts w:ascii="Times New Roman" w:cs="Times New Roman" w:eastAsia="Times New Roman" w:hAnsi="Times New Roman"/>
          <w:sz w:val="22"/>
          <w:szCs w:val="22"/>
          <w:color w:val="auto"/>
        </w:rPr>
        <w:t>) of the Common Terms Agreement or any other indemnification provision in any Financing Document providing for indemnification by any Senior Secured Party in favor of the P1 Collateral Agent, the P1 Intercreditor Agent or any Related Party of any of the foregoing, to the extent that the Borrower for any reason fails to pay any amount required under Section 8.7 (</w:t>
      </w:r>
      <w:r>
        <w:rPr>
          <w:rFonts w:ascii="Times New Roman" w:cs="Times New Roman" w:eastAsia="Times New Roman" w:hAnsi="Times New Roman"/>
          <w:sz w:val="22"/>
          <w:szCs w:val="22"/>
          <w:i w:val="1"/>
          <w:iCs w:val="1"/>
          <w:color w:val="auto"/>
        </w:rPr>
        <w:t>Costs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or Section 8.10(a) (</w:t>
      </w:r>
      <w:r>
        <w:rPr>
          <w:rFonts w:ascii="Times New Roman" w:cs="Times New Roman" w:eastAsia="Times New Roman" w:hAnsi="Times New Roman"/>
          <w:sz w:val="22"/>
          <w:szCs w:val="22"/>
          <w:i w:val="1"/>
          <w:iCs w:val="1"/>
          <w:color w:val="auto"/>
        </w:rPr>
        <w:t>Indemnification by Borrower</w:t>
      </w:r>
      <w:r>
        <w:rPr>
          <w:rFonts w:ascii="Times New Roman" w:cs="Times New Roman" w:eastAsia="Times New Roman" w:hAnsi="Times New Roman"/>
          <w:sz w:val="22"/>
          <w:szCs w:val="22"/>
          <w:color w:val="auto"/>
        </w:rPr>
        <w:t>) of the Common Terms Agreement or any analogous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costs and expenses or indemnity provisions of any Financing Document to be paid by it to any of the P1 Intercreditor Agent, the P1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-2805430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98"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1"/>
          <w:szCs w:val="21"/>
          <w:color w:val="auto"/>
        </w:rPr>
        <w:t xml:space="preserve">Agent or any Related Party of any of the foregoing, each Senior Lender severally agrees to pay to the P1 Intercreditor Agent, the P1 Collateral Agent or such Related Party, as the case may be, the ratable share of such unpaid amount (determined as of the time that the applicable unreimbursed expense or indemnity payment is sought), based on the aggregate of such Senior Lender’s Senior Loan Commitments to the aggregate of all Senior Secured Debt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P1 Intercreditor Agent, the P1 Collateral Agent or the applicable Related Party, in its capacity as such. The obligations of the Senior Lenders to make payments pursuant to this </w:t>
      </w:r>
      <w:r>
        <w:rPr>
          <w:rFonts w:ascii="Times New Roman" w:cs="Times New Roman" w:eastAsia="Times New Roman" w:hAnsi="Times New Roman"/>
          <w:sz w:val="21"/>
          <w:szCs w:val="21"/>
          <w:u w:val="single" w:color="auto"/>
          <w:color w:val="auto"/>
        </w:rPr>
        <w:t>Section 12.8(c)</w:t>
      </w:r>
      <w:r>
        <w:rPr>
          <w:rFonts w:ascii="Times New Roman" w:cs="Times New Roman" w:eastAsia="Times New Roman" w:hAnsi="Times New Roman"/>
          <w:sz w:val="21"/>
          <w:szCs w:val="21"/>
          <w:color w:val="auto"/>
        </w:rPr>
        <w:t xml:space="preserve"> are several and not joint and shall survive the payment in full of the Obligations and the termination of this Agreement. The failure of any Senior Lender to make payments on any date required hereunder shall not relieve any other Senior Lender of its corresponding obligation to do so on such date, and no Senior Lender shall be responsible for the failure of any other Senior Lender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-1027430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due under this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be payable promptly after demand therefor.</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297"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that, without the Credit Agreement Indemnitee’s prior written consent, it will not settle, compromise or consent to the entry of any judgment in any pending or threatened (in writing) claim, action or proceeding in respect of which indemnification could be sought by or on behalf of such Credit Agreement Indemnitee under this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(whether or not any Credit Agreement Indemnitee is an actual or potential party to such claim, action or proceeding), unless such settlement, compromise or consent includes an unconditional release of such Credit Agreement Indemnitee from all liability arising out of such claim, action or proceeding. In the event that a Credit Agreement Indemnitee is requested or required to appear as a witness in any action brought by or on behalf of or against the Borrower or any Affiliate thereof in which such Credit Agreement Indemnitee is not named as a defendant, the Borrower agrees to reimburse such Credit Agreement Indemnitee for all reasonable expenses incurred by it in connection with such Credit Agreement Indemnitee appearing and preparing to appear as such a witness, including the reasonable and documented fees and disbursements of its legal counsel. In the case of any claim brought against a Credit Agreement Indemnitee for which the Borrower may be responsible under this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the Administrative Agent, the P1 Collateral Agent, and the Senior Lenders agree (at the expense of the Borrower) to execute such instruments and documents and cooperate as reasonably requested by the Borrower in connection with the Borrower’s defense, settlement or compromise of such claim,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98" w:lineRule="exact"/>
        <w:rPr>
          <w:sz w:val="20"/>
          <w:szCs w:val="20"/>
          <w:color w:val="auto"/>
        </w:rPr>
      </w:pPr>
    </w:p>
    <w:p>
      <w:pPr>
        <w:ind w:left="1300" w:hanging="644"/>
        <w:spacing w:after="0" w:line="271" w:lineRule="auto"/>
        <w:tabs>
          <w:tab w:leader="none" w:pos="130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P1 Intercreditor Agent and the Related Parties of any of the Administrative Agent, the P1 Collateral Agent, and the P1 Intercreditor Agent are express third party beneficiaries of this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1"/>
          <w:szCs w:val="21"/>
          <w:b w:val="1"/>
          <w:bCs w:val="1"/>
          <w:color w:val="auto"/>
        </w:rPr>
        <w:t>Interest Rate Limitation</w:t>
      </w:r>
    </w:p>
    <w:p>
      <w:pPr>
        <w:spacing w:after="0" w:line="22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Notwithstanding anything to the contrary contained in any Financing Document, the interest paid or agreed to be paid under the Financing Documents shall not exceed the maximum rate of non-usurious interest permitted by applicable Government Rule (the “</w:t>
      </w:r>
      <w:r>
        <w:rPr>
          <w:rFonts w:ascii="Times New Roman" w:cs="Times New Roman" w:eastAsia="Times New Roman" w:hAnsi="Times New Roman"/>
          <w:sz w:val="22"/>
          <w:szCs w:val="22"/>
          <w:b w:val="1"/>
          <w:bCs w:val="1"/>
          <w:color w:val="auto"/>
        </w:rPr>
        <w:t>Maximum Rate</w:t>
      </w:r>
      <w:r>
        <w:rPr>
          <w:rFonts w:ascii="Times New Roman" w:cs="Times New Roman" w:eastAsia="Times New Roman" w:hAnsi="Times New Roman"/>
          <w:sz w:val="22"/>
          <w:szCs w:val="22"/>
          <w:color w:val="auto"/>
        </w:rPr>
        <w:t>”). If the Administrative Agent or any Senior Lender shall receive interest in an amount that exceeds the Maximum Rate, the excess interest shall be applied to the principal of such Senior Lender’s Senior Loans or, if it exceeds such unpaid principal, refunded to the Borrower. In determining whether the interest contracted for, charged, or received by the Administrative Agent or any Senior Lender exceeds the Maximum Rate, such Person may, to the extent permitted by applicable Government Rule, (a) characterize any payment that is not principal as an expense, fee or premium, rather than interest, (b) exclude prepayments and the effects thereof, and (c) amortize, prorate, allocate and spread in equal or unequal parts the total amount of interest throughout the contemplated term of the Obligations 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12.10. No Waiver; Cumulative Remedies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No failure by any Credit Agreement Senior Secured Party to exercise, and no delay by any such Person in exercising, any right, remedy, power or privilege hereunder or under any other Financing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Financing Document, are cumulative and not exclusive of any rights, remedies, powers and privileges provided by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12.11. Notices and Other Communications</w:t>
      </w:r>
    </w:p>
    <w:p>
      <w:pPr>
        <w:spacing w:after="0" w:line="224" w:lineRule="exact"/>
        <w:rPr>
          <w:sz w:val="20"/>
          <w:szCs w:val="20"/>
          <w:color w:val="auto"/>
        </w:rPr>
      </w:pPr>
    </w:p>
    <w:p>
      <w:pPr>
        <w:jc w:val="both"/>
        <w:ind w:left="1300" w:hanging="644"/>
        <w:spacing w:after="0" w:line="253" w:lineRule="auto"/>
        <w:tabs>
          <w:tab w:leader="none" w:pos="129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facsimile or sent by email to the address(es), facsimile number or email address specified for the Borrower, the Administrative Agent, the P1 Collateral Agent, or the Senior Lenders, as applicable, on </w:t>
      </w:r>
      <w:r>
        <w:rPr>
          <w:rFonts w:ascii="Times New Roman" w:cs="Times New Roman" w:eastAsia="Times New Roman" w:hAnsi="Times New Roman"/>
          <w:sz w:val="22"/>
          <w:szCs w:val="22"/>
          <w:u w:val="single" w:color="auto"/>
          <w:color w:val="auto"/>
        </w:rPr>
        <w:t>Schedule 12.11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98" w:lineRule="exact"/>
        <w:rPr>
          <w:sz w:val="20"/>
          <w:szCs w:val="20"/>
          <w:color w:val="auto"/>
        </w:rPr>
      </w:pPr>
    </w:p>
    <w:p>
      <w:pPr>
        <w:jc w:val="both"/>
        <w:ind w:left="1300" w:hanging="644"/>
        <w:spacing w:after="0" w:line="253" w:lineRule="auto"/>
        <w:tabs>
          <w:tab w:leader="none" w:pos="129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sent by hand or overnight courier service, or mailed by certified or registered mail, shall be deemed to have been given when received; and notices sent by facsimile shall be deemed to have been given when sent (except that, if not given during normal business hours for the recipient, they shall be deemed to have been given at the opening of business on the next Business Day for the recipient). Notices delivered through electronic communications shall be effective as provided in </w:t>
      </w:r>
      <w:r>
        <w:rPr>
          <w:rFonts w:ascii="Times New Roman" w:cs="Times New Roman" w:eastAsia="Times New Roman" w:hAnsi="Times New Roman"/>
          <w:sz w:val="22"/>
          <w:szCs w:val="22"/>
          <w:u w:val="single" w:color="auto"/>
          <w:color w:val="auto"/>
        </w:rPr>
        <w:t>Schedule 12.11</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prescribed,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received during the normal business hours of the recipient, such notice or communication shall be deemed to have been received at the opening of business on the next Business Day for the recipient, and (ii) notices or communications posted to an internet or intranet website shall be deemed received upon the deemed receipt by the intended recipient at its e-mail address as described in </w:t>
      </w:r>
      <w:r>
        <w:rPr>
          <w:rFonts w:ascii="Times New Roman" w:cs="Times New Roman" w:eastAsia="Times New Roman" w:hAnsi="Times New Roman"/>
          <w:sz w:val="22"/>
          <w:szCs w:val="22"/>
          <w:u w:val="single" w:color="auto"/>
          <w:color w:val="auto"/>
        </w:rPr>
        <w:t>Schedule 12.11</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 Notwithstanding the above, all notices delivered by the Borrower to the Administrative Agent through electronic communications shall be followed by the delivery of a hard copy.</w:t>
      </w:r>
    </w:p>
    <w:p>
      <w:pPr>
        <w:spacing w:after="0" w:line="183" w:lineRule="exact"/>
        <w:rPr>
          <w:rFonts w:ascii="Times New Roman" w:cs="Times New Roman" w:eastAsia="Times New Roman" w:hAnsi="Times New Roman"/>
          <w:sz w:val="22"/>
          <w:szCs w:val="22"/>
          <w:color w:val="auto"/>
        </w:rPr>
      </w:pPr>
    </w:p>
    <w:p>
      <w:pPr>
        <w:jc w:val="both"/>
        <w:ind w:left="1300" w:hanging="644"/>
        <w:spacing w:after="0" w:line="268" w:lineRule="auto"/>
        <w:tabs>
          <w:tab w:leader="none" w:pos="1295"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the Administrative Agent and the P1 Collateral Agent may change its address, facsimile, email address or telephone number for notices and other communications hereunder by notice to the other parties hereto. Each Senior Lender may change its address, facsimile, email address or telephone number for notices and other communications hereunder by notice to the Borrower, the Administrative Agent and the P1 Collateral Agent.</w:t>
      </w:r>
    </w:p>
    <w:p>
      <w:pPr>
        <w:spacing w:after="0" w:line="176" w:lineRule="exact"/>
        <w:rPr>
          <w:rFonts w:ascii="Times New Roman" w:cs="Times New Roman" w:eastAsia="Times New Roman" w:hAnsi="Times New Roman"/>
          <w:sz w:val="21"/>
          <w:szCs w:val="21"/>
          <w:color w:val="auto"/>
        </w:rPr>
      </w:pPr>
    </w:p>
    <w:p>
      <w:pPr>
        <w:jc w:val="both"/>
        <w:ind w:left="1300" w:hanging="644"/>
        <w:spacing w:after="0" w:line="247" w:lineRule="auto"/>
        <w:tabs>
          <w:tab w:leader="none" w:pos="129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the P1 Collateral Agent, and the Senior Lenders shall be entitled to rely and act upon any written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P1 Collateral Agent, the Senior Lenders, and the Related Parties of each of them for all losses, costs, expenses and liabilities resulting from the reliance by such Person on each notice purportedly given by or on behalf of the Borrower. All telephonic notices to and other telephonic communications with the Administrative Agent, the P1 Collateral Agent, the Senior Lenders by the Borrower may be recorded by the Administrative Agent the P1 Collateral Agent, the Senior Lenders, as applicable,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-3761105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98" w:lineRule="exact"/>
        <w:rPr>
          <w:sz w:val="20"/>
          <w:szCs w:val="20"/>
          <w:color w:val="auto"/>
        </w:rPr>
      </w:pPr>
    </w:p>
    <w:p>
      <w:pPr>
        <w:jc w:val="both"/>
        <w:ind w:left="1300" w:hanging="644"/>
        <w:spacing w:after="0" w:line="257" w:lineRule="auto"/>
        <w:tabs>
          <w:tab w:leader="none" w:pos="130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nothing herein shall prejudice the right of the Administrative Agent, the P1 Collateral Agent, any of the Senior Lenders to give any notice or other communication pursuant to any Financing Document in any other manner specified in such Financing Document.</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29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that it will provide to the Administrative Agent all information, documents and other materials that it is obligated to furnish to the Administrative Agent pursuant to the Financing Documents, including all notices, requests, financial statements, financial and other reports, certificates and other information materials, but excluding any such communication that (i) relates to any Senior Loan Borrowing, (ii) relates to the payment of any principal or other amount due under this Agreement prior to the scheduled date therefor, (iii) provides notice of any Default or Event of Default, or (iv) is required to be delivered to satisfy any condition precedent to any Senior Loan Borrowing (all such non-excluded communications being referred to herein collectively as “</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xml:space="preserve">”), by transmitting the Communications in an electronic/soft medium in a format acceptable to the Administrative Agent at the email addresses specified in </w:t>
      </w:r>
      <w:r>
        <w:rPr>
          <w:rFonts w:ascii="Times New Roman" w:cs="Times New Roman" w:eastAsia="Times New Roman" w:hAnsi="Times New Roman"/>
          <w:sz w:val="22"/>
          <w:szCs w:val="22"/>
          <w:u w:val="single" w:color="auto"/>
          <w:color w:val="auto"/>
        </w:rPr>
        <w:t>Schedule 12.11</w:t>
      </w:r>
      <w:r>
        <w:rPr>
          <w:rFonts w:ascii="Times New Roman" w:cs="Times New Roman" w:eastAsia="Times New Roman" w:hAnsi="Times New Roman"/>
          <w:sz w:val="22"/>
          <w:szCs w:val="22"/>
          <w:color w:val="auto"/>
        </w:rPr>
        <w:t>. In addition, the Borrower agrees to continue to provide the Communications to the Administrative Agent in the manner specified in the Financing Documents but only to the extent requested by the Administrative Agent.</w:t>
      </w:r>
    </w:p>
    <w:p>
      <w:pPr>
        <w:spacing w:after="0" w:line="200"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further agrees that the Administrative Agent may make the Communications available to the Senior Lenders by posting the Communications on an internet website that may, from time to time, be notified to the Senior Lenders or a substantially similar electronic transmission system (the “</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xml:space="preserve">”). The costs and expenses incurred by the Administrative Agent in creating and maintaining the Platform shall be paid by Borrower in accordance with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60" w:lineRule="auto"/>
        <w:tabs>
          <w:tab w:leader="none" w:pos="1288"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ADMINISTRATIVE AGENT DOES NOT WARRANT THE ACCURACY OR COMPLETENESS OF THE COMMUNICATIONS OR THE ADEQUACY OF THE PLATFORM AND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PLATFORM. IN NO EVENT SHALL THE ADMINISTRATIVE AGENT OR ANY AFFILIATE THEREOF OR ANY OF ITS OFFICERS, DIRECTORS, EMPLOYEES, AGENTS, ADVISORS OR REPRESENTATIVES (COLLECTIVELY, “</w:t>
      </w:r>
      <w:r>
        <w:rPr>
          <w:rFonts w:ascii="Times New Roman" w:cs="Times New Roman" w:eastAsia="Times New Roman" w:hAnsi="Times New Roman"/>
          <w:sz w:val="21"/>
          <w:szCs w:val="21"/>
          <w:b w:val="1"/>
          <w:bCs w:val="1"/>
          <w:color w:val="auto"/>
        </w:rPr>
        <w:t>AGENT PARTIES</w:t>
      </w:r>
      <w:r>
        <w:rPr>
          <w:rFonts w:ascii="Times New Roman" w:cs="Times New Roman" w:eastAsia="Times New Roman" w:hAnsi="Times New Roman"/>
          <w:sz w:val="21"/>
          <w:szCs w:val="21"/>
          <w:color w:val="auto"/>
        </w:rPr>
        <w:t>”)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98"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LIABILITY TO THE BORROWER, ANY SENIOR LENDER, OR ANY OTHER PERSON OR ENTITY FOR DAMAGES OF ANY KIND, INCLUDING DIRECT OR INDIRECT, SPECIAL, INCIDENTAL OR CONSEQUENTIAL DAMAGES, LOSSES OR EXPENSES (WHETHER IN TORT, CONTRACT OR OTHERWISE) ARISING OUT OF THE BORROWER’S OR ANY AGENT PARTY’S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12.12. Patriot Act Notice</w:t>
      </w:r>
    </w:p>
    <w:p>
      <w:pPr>
        <w:spacing w:after="0" w:line="22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Each of the Administrative Agent, the P1 Collateral Agent, and the Senior Lenders hereby notifies the Borrower that pursuant to the requirements of the Patriot Act, it is required to obtain, verify and record information that identifies the Borrower, which information includes the name and address of the Borrower and other information that will allow such Administrative Agent, the P1 Collateral Agent or such Senior Lender, as applicable, to identify the Borrower in accordance with the Patriot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12.13. Payments Set Aside</w:t>
      </w:r>
    </w:p>
    <w:p>
      <w:pPr>
        <w:spacing w:after="0" w:line="22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 xml:space="preserve">To the extent that any payment by or on behalf of the Borrower is made to the Administrative Agent, the P1 Collateral Agent, any Senior Lender, or the Administrative Agent, the P1 Collateral Agent, or any Senior Lender (as the case may be) exercises its right of setoff, and such payment or the proceeds of such setoff or any part thereof is subsequently invalidated, declared to be fraudulent or preferential, set aside or required (including pursuant to any settlement entered into by the Administrative Agent, the P1 Collateral Agent or such Senior Lender in its discretion) to be repaid to a trustee, receiver or any other party, in connection with any bankruptcy or insolvency proceeding or otherwise, then (a) to the extent of such recovery, the Obligation or part thereof originally intended to be satisfied by such payment shall be revived and continued in full force and effect as if such payment had not been made or such setoff had not occurred, and (b) each Senior Lender severally agrees to pay to the Administrative Agent or the P1 Collateral Agent upon demand its applicable share (without duplication) of any amount so recovered from or repaid by the Administrative Agent or the P1 Collateral Agent, as the case may be,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interest thereon from the date of such demand to the date such payment is made at a rate </w:t>
      </w:r>
      <w:r>
        <w:rPr>
          <w:rFonts w:ascii="Times New Roman" w:cs="Times New Roman" w:eastAsia="Times New Roman" w:hAnsi="Times New Roman"/>
          <w:sz w:val="21"/>
          <w:szCs w:val="21"/>
          <w:i w:val="1"/>
          <w:iCs w:val="1"/>
          <w:color w:val="auto"/>
        </w:rPr>
        <w:t xml:space="preserve">per annum </w:t>
      </w:r>
      <w:r>
        <w:rPr>
          <w:rFonts w:ascii="Times New Roman" w:cs="Times New Roman" w:eastAsia="Times New Roman" w:hAnsi="Times New Roman"/>
          <w:sz w:val="21"/>
          <w:szCs w:val="21"/>
          <w:color w:val="auto"/>
        </w:rPr>
        <w:t>equal to the Federal Funds Effective Rate from time to time in effect. The obligations of the Senior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under this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12.14. Right of Setoff</w:t>
      </w:r>
    </w:p>
    <w:p>
      <w:pPr>
        <w:spacing w:after="0" w:line="224"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 xml:space="preserve">Each of the Senior Lenders and each of their respective Affiliates is hereby authorized at any time and from time to time during the continuance of an Event of Default, to the fullest extent permitted by applicable Government Rule, to set off and apply any and all deposits (general or special, time or demand, provisional or final, in whatever currency) at any time held and other obligations (in whatever currency) at any time owing by such Senior Lender, or any such Affiliate to or for the credit or the account of the Borrower against any and all of the Obligations of the Borrower now or hereafter existing under this Agreement or any other Financing Document to such Senior Lender, irrespective of whether or not such Senior Lender shall have made any demand under this Agreement or any other Financing Document and although such obligations of the Borrower may be contingent or unmatured or are owed to a branch or office of such Senior Lender different from the branch or office holding such deposit or obligated on such indebtedness. The rights of each of the Senior Lenders and their respective Affiliates under this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xml:space="preserve"> are in addition to other rights and remedies (including other rights of setoff) that such Senior Lender or their respective Affiliates may have. Each of the Senior Lenders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-31115</wp:posOffset>
            </wp:positionV>
            <wp:extent cx="34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12.15. Severability</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If any provision of this Agreement or any other Financing Document is held to be illegal, invalid or unenforceable, (a) the legality, validity and enforceability of the remaining provisions of this Agreement and the other Financing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12.16. Survival</w:t>
      </w:r>
    </w:p>
    <w:p>
      <w:pPr>
        <w:spacing w:after="0" w:line="22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in this Agreement to the contrary,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 xml:space="preserve"> shall survive any termination of this Agreement. In addition, each representation and warranty made hereunder and in any other Financing Document or other document delivered pursuant hereto or thereto or in connection herewith or therewith shall survive the execution and delivery hereof and thereof. Such representations and warranties shall be considered to have been relied upon by the Credit Agreement Senior Secured Parties regardless of any investigation made by any Credit Agreement Senior Secured Party or on their behalf and notwithstanding that the Credit Agreement Senior Secured Parties may have had notice or knowledge of any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98"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Event of Default at the time of the Senior Loan Borrowing, and shall continue in full force and effect as of the date made or any date referred to herein as long as any Senior Loan or any other Obligation hereunder or under any other Financing Document shall remain unpaid or unsatisfied.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12.17. Treatment of Certain Information; Confidentiality</w:t>
      </w:r>
    </w:p>
    <w:p>
      <w:pPr>
        <w:spacing w:after="0" w:line="22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The Administrative Agent, the P1 Collateral Agent and each of the Senior Lenders agrees to maintain the confidentiality of the Credit Agreement Information, except that Credit Agreement Information may be disclosed (a) to its Affiliates (including branches) and to its and its Affiliates’ respective shareholders, members, partners, directors, officers, employees, agents, advisors, auditors, service providers and representatives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Persons to whom such disclosure is made will be informed prior to disclosure of the confidential nature of such Credit Agreement Information and instructed to keep such Credit Agreement Information confidential); (b) to the extent requested or required by any regulatory authority purporting to have jurisdiction over it or to any Federal Reserve Bank or central bank in connection with a pledge or assignment pursuant to </w:t>
      </w:r>
      <w:r>
        <w:rPr>
          <w:rFonts w:ascii="Times New Roman" w:cs="Times New Roman" w:eastAsia="Times New Roman" w:hAnsi="Times New Roman"/>
          <w:sz w:val="21"/>
          <w:szCs w:val="21"/>
          <w:u w:val="single" w:color="auto"/>
          <w:color w:val="auto"/>
        </w:rPr>
        <w:t>Section 12.4(e)</w:t>
      </w:r>
      <w:r>
        <w:rPr>
          <w:rFonts w:ascii="Times New Roman" w:cs="Times New Roman" w:eastAsia="Times New Roman" w:hAnsi="Times New Roman"/>
          <w:sz w:val="21"/>
          <w:szCs w:val="21"/>
          <w:color w:val="auto"/>
        </w:rPr>
        <w:t xml:space="preserve">; (c) to the extent required by applicable Government Rule or regulations or by any subpoena or similar legal process; (d) to any other party to this Agreement; (e) in connection with the exercise of any remedies hereunder or under any other Financing Document or any suit, action or proceeding relating to this Agreement or any other Financing Document or the enforcement of rights hereunder or thereunder (including any actual or prospective purchaser of Collateral); (f) subject to an agreement containing provisions substantially the same as those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to (i) any assignee of or Participant in, or any prospective assignee of or Participant in, any of its rights or obligations under this Agreement (or such assignee or Participant’s or prospective assignee or Participant’s professional advisor), (ii) any direct or indirect contractual counterparty or prospective counterparty (or such contractual counterparty’s or prospective counterparty’s professional advisor) to any credit derivative transaction relating to obligations of the Borrower, or (iii) any Person (and any of its officers, directors, employees, agents or advisors) that may enter into or support, directly or indirectly, or that may be considering entering into or supporting, directly or indirectly, either (A) contractual arrangements with the Administrative Agent, the P1 Collateral Agent, such Senior Lender, or any Affiliates thereof, pursuant to which all or any portion of the risks, rights, benefits or obligations under or with respect to any Senior Loan or Financing Document is transferred to such Person or (B) an actual or proposed securitization or collateralization of, or similar transaction relating to, all or a part of any amounts payable to or for the benefit of any Senior Lender under any Financing Document (including any rating agency); (g) with the consent of the Borrower (which consent shall not unreasonably be withheld, conditioned or delayed); (h) to any state, federal or foreign authority or examiner (including the National Association of Insurance Commissioners or any other similar organization) regulating the Administrative Agent, the P1 Collateral Agent, any Senior Lender or any of their respective Affiliates; (i)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5306695</wp:posOffset>
            </wp:positionH>
            <wp:positionV relativeFrom="paragraph">
              <wp:posOffset>-3658870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9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1"/>
          <w:szCs w:val="21"/>
          <w:color w:val="auto"/>
        </w:rPr>
        <w:t xml:space="preserve">rating agency when required by it (it being understood that, prior to any such disclosure, such rating agency shall undertake to preserve the confidentiality of any Credit Agreement Information relating to the Borrower received by it from any Senior Lender, the Administrative Agent or the P1 Collateral Agent, as applicable); (j) to any party providing (and any brokers arranging) any Credit Agreement Senior Secured Party insurance or reinsurance or other direct or indirect credit protection (including credit default swaps) with respect to its Senior Loans; (k) to (x) the CUSIP Service Bureau, Clearpar or Loanserv or any similar agency in connection with the issuance and monitoring of CUSIP numbers, Private Placement Numbers (“PPNs”) or any other similar numbers with respect to the Senior Loans (it being understood and agreed that any Lender may apply for the issuance of one or more CUSIP numbers, PPNs or any other similar numbers with respect to any of the Senior Loans without the consent of the Loan Parties); or (l) in the case of any Senior Lender that is a Blackstone Entity only, the disclosure of the existence of this Agreement and the Senior Loans hereunder, its participation therein, and a summary of the terms hereof in any marketing publication and the Borrower’s logo may be used in connection with such publication. In addition, the Administrative Agent, the P1 Collateral Agent or any Senior Lender may disclose the existence of this Agreement and information about this Agreement to market data collectors, similar service providers to the lending industry, and service providers to the Administrative Agent, the P1 Collateral Agent and the Senior Lenders in connection with the numbering, administration, settlement and management of this Agreement, the other Financing Documents, the Senior Loan Commitments, and the Senior Loan Borrowings. For the purposes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Credit Agreement Information</w:t>
      </w:r>
      <w:r>
        <w:rPr>
          <w:rFonts w:ascii="Times New Roman" w:cs="Times New Roman" w:eastAsia="Times New Roman" w:hAnsi="Times New Roman"/>
          <w:sz w:val="21"/>
          <w:szCs w:val="21"/>
          <w:color w:val="auto"/>
        </w:rPr>
        <w:t xml:space="preserve">” means written information that is furnished by or on behalf of the Borrower, the Pledgor, the Equity Owners or any of their Affiliates to the Administrative Agent, the P1 Collateral Agent or any Senior Lender pursuant to or in connection with any Financing Document, relating to the assets and business of the Borrower, the Pledgor, the Equity Owners, the RG Facility Entities or any of their Affiliates, but does not include any such information that (x) is or becomes generally available to the public other than as a result of a breach by the Administrative Agent, the P1 Collateral Agent, such Senior Lender of its obligations hereunder, (y) is or becomes available to the Administrative Agent, the P1 Collateral Agent or such Senior Lender from a source other than the Borrower, the Pledgor, the Equity Owners or any of their Affiliates, as applicable, that is not, to the knowledge of the Administrative Agent, the P1 Collateral Agent or such Senior Lender acting in violation of a confidentiality obligation with the Borrower, the Pledgor, the Equity Owners or any of their Affiliates, as applicable, or (z) is independently compiled by the Administrative Agent, the P1 Collateral Agent or such Senior Lender as evidenced by their records, without the use of the Credit Agreement Information. Any Person required to maintain the confidentiality of Credit Agreement Information as provided in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xml:space="preserve"> shall be considered to have complied with its obligation to do so if such Person has exercised the same degree of care to maintain the confidentiality of such Credit Agreement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12.18. Waiver of Consequential Damages, Etc.</w:t>
      </w:r>
    </w:p>
    <w:p>
      <w:pPr>
        <w:spacing w:after="0" w:line="22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 xml:space="preserve">Except with respect to any indemnification obligations of the Borrower under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or any other indemnification provisions of the Borrower under any other Financing Document, to the fullest extent permitted by applicable Government Rule, no Party hereto shall assert, and each Party hereto hereby waives, any claim against any other Party hereto or their Related Parties, on any theory of liability, for special, indirect, consequential or punitive damages (as opposed to direct or actual damages) arising out of, in connection with, or as a result of, this Agreement, any other Financing Document or any agreement or instrument contemplated hereby, the transactions contemplated hereby or thereby, any Senior Loan or the use of the proceeds thereof. No Party hereto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12.19. Waiver of Litigation Payments</w:t>
      </w:r>
    </w:p>
    <w:p>
      <w:pPr>
        <w:spacing w:after="0" w:line="22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 xml:space="preserve">To the extent that any Party hereto may, in any action, suit or proceeding brought in any of the courts referred to in </w:t>
      </w:r>
      <w:r>
        <w:rPr>
          <w:rFonts w:ascii="Times New Roman" w:cs="Times New Roman" w:eastAsia="Times New Roman" w:hAnsi="Times New Roman"/>
          <w:sz w:val="22"/>
          <w:szCs w:val="22"/>
          <w:u w:val="single" w:color="auto"/>
          <w:color w:val="auto"/>
        </w:rPr>
        <w:t>Section 12.3(b)</w:t>
      </w:r>
      <w:r>
        <w:rPr>
          <w:rFonts w:ascii="Times New Roman" w:cs="Times New Roman" w:eastAsia="Times New Roman" w:hAnsi="Times New Roman"/>
          <w:sz w:val="22"/>
          <w:szCs w:val="22"/>
          <w:color w:val="auto"/>
        </w:rPr>
        <w:t xml:space="preserve"> or elsewhere arising out of or in connection with this Agreement or any other Financing Document to which it is a party, be entitled to the benefit of any provision of law requiring any other Party hereto in such action, suit or proceeding to post security for the costs of such Person or to post a bond or to take similar action, each such Person hereby irrevocably waives such benefit, in each case to the fullest extent now or in the future permitted under the laws of the State of New York or, as the case may be, the jurisdiction in which such court is located.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12.20. Reinstatement</w:t>
      </w:r>
    </w:p>
    <w:p>
      <w:pPr>
        <w:spacing w:after="0" w:line="22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This Agreement and the obligations of the Borrower hereunder shall automatically be reinstated if and to the extent that for any reason any payment made pursuant to this Agreement is rescinded or must otherwise be restored or returned, whether as a result of any proceedings in bankruptcy or reorganization or otherwise with respect to the Borrower or any other Person or as a result of any settlement or compromise with any Person (including the Borrower) in respect of such payment, and the Borrower shall pay the Credit Agreement Senior Secured Parties on demand all of their reasonable costs and expenses (including reasonable fees, expenses and disbursements of counsel) incurred by such parties in connection with such rescission or restoration.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12.21. No Recourse</w:t>
      </w:r>
    </w:p>
    <w:p>
      <w:pPr>
        <w:spacing w:after="0" w:line="224"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The obligations of the Borrower under this Agreement and each other Credit Agreement Transaction Document to which it is a party, and any certificate, notice, instrument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98"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 xml:space="preserve">document delivered pursuant hereto or thereto, are obligations solely of the Borrower and do not constitute a debt or obligation of (and no recourse shall be made with respect to) the Non-Recourse Parties, except (a) as hereinafter set forth in this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 xml:space="preserve">, or (b) as expressly provided in any Credit Agreement Transaction Document to which such Non-Recourse Party is a party. No action under or in connection with this Agreement or any other Financing Documents to which the Borrower is a party shall be brought against any Non-Recourse Party, and no judgment for any deficiency upon the obligations hereunder or thereunder shall be obtainable by any Senior Secured Party against any Non-Recourse Party, except as hereinafter expressly set forth in this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 xml:space="preserve"> or as expressly provided in any Credit Agreement Transaction Document to which such Non-Recourse Party is a party. Notwithstanding the foregoing, it is expressly understood and agreed that nothing contained in this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 xml:space="preserve"> shall in any manner or way (i) restrict the remedies available to the P1 Intercreditor Agent, the P1 Collateral Agent, any Senior Secured Debt Holder Representative or any other Senior Secured Party to realize upon the Collateral or under any Credit Agreement Transaction Document, or constitute or be deemed to be a release of the obligations secured by (or impair the enforceability of) the Liens and the security interests and possessory rights created by or arising from any Financing Document, or (ii) release, or be deemed to release, any Non-Recourse Party from liability for its own willful misrepresentation, fraudulent actions, gross negligence or willful misconduct or from any of its obligations or liabilities under any Credit Agreement Transaction Document to which such Non-Recourse Party is a party. The limitations on recourse set forth in this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 xml:space="preserve"> shall survive the Discharge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12.22. P1 Intercreditor Agreement</w:t>
      </w:r>
    </w:p>
    <w:p>
      <w:pPr>
        <w:spacing w:after="0" w:line="22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Any actions, consents, approvals, authorizations or discretion taken, given, made or exercised, or not taken, given, made or exercised by the Administrative Agent, acting as the Senior Secured Debt Holder Representative on behalf of the Senior Lenders in accordance with the Collateral and Intercreditor Agreement, shall be binding on each Senior Lender.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12.23. Termination</w:t>
      </w:r>
    </w:p>
    <w:p>
      <w:pPr>
        <w:spacing w:after="0" w:line="224"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This Agreement shall terminate and shall have no force and effect (except with respect to the provisions that expressly survive termination of this Agreement) if all Obligations have been indefeasibly paid in full and all Senior Loan Commitments have been terminated and the Administrative Agent shall have given the notice required by Section 2.9(a) (</w:t>
      </w:r>
      <w:r>
        <w:rPr>
          <w:rFonts w:ascii="Times New Roman" w:cs="Times New Roman" w:eastAsia="Times New Roman" w:hAnsi="Times New Roman"/>
          <w:sz w:val="22"/>
          <w:szCs w:val="22"/>
          <w:i w:val="1"/>
          <w:iCs w:val="1"/>
          <w:color w:val="auto"/>
        </w:rPr>
        <w:t>Payment in Full of Senior Secured Debt</w:t>
      </w:r>
      <w:r>
        <w:rPr>
          <w:rFonts w:ascii="Times New Roman" w:cs="Times New Roman" w:eastAsia="Times New Roman" w:hAnsi="Times New Roman"/>
          <w:sz w:val="22"/>
          <w:szCs w:val="22"/>
          <w:color w:val="auto"/>
        </w:rPr>
        <w:t>) of the Common Terms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12.24. Consultants</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Notwithstanding anything to the contrary in Section 8.6 (</w:t>
      </w:r>
      <w:r>
        <w:rPr>
          <w:rFonts w:ascii="Times New Roman" w:cs="Times New Roman" w:eastAsia="Times New Roman" w:hAnsi="Times New Roman"/>
          <w:sz w:val="22"/>
          <w:szCs w:val="22"/>
          <w:i w:val="1"/>
          <w:iCs w:val="1"/>
          <w:color w:val="auto"/>
        </w:rPr>
        <w:t>Consultants</w:t>
      </w:r>
      <w:r>
        <w:rPr>
          <w:rFonts w:ascii="Times New Roman" w:cs="Times New Roman" w:eastAsia="Times New Roman" w:hAnsi="Times New Roman"/>
          <w:sz w:val="22"/>
          <w:szCs w:val="22"/>
          <w:color w:val="auto"/>
        </w:rPr>
        <w:t>) of the Common Terms Agreement, the Borrower shall appoint as any replacement Consultant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98"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Credit Agreement Discharge Date the Person designated by the Majority Senior Lenders (after consultation with the Borrower if no Event of Default exists).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12.25. No Fiduciary Duty</w:t>
      </w:r>
    </w:p>
    <w:p>
      <w:pPr>
        <w:spacing w:after="0" w:line="22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The Borrower acknowledges and agrees that (a) no fiduciary, advisory, or agency relationship between the Borrower and any Credit Agreement Senior Secured Party or any of their Affiliates is intended to be or has been created in respect of any of the transactions contemplated by this Agreement or any Financing Document, irrespective of whether any Credit Agreement Senior Secured Parties or their Affiliates have advised or is advising the Borrower on other matters, (b) the Credit Agreement Senior Secured Parties and their Affiliates, on the one hand, and the Borrower, on the other hand, have an arm’s-length business relationship that does not directly or indirectly give rise to, nor does the Borrower rely on, any fiduciary duty on the part of any Credit Agreement Senior Secured Party or any of their Affiliates, and (c) the Borrower waives, to the fullest extent permitted by law, any claims that the Borrower may have against any Credit Agreement Senior Secured Party or any of its Affiliates for breach of fiduciary duty or alleged breach of fiduciary duty and agree that the Credit Agreement Senior Secured Parties and their respective Affiliates shall have no liability (whether direct or indirect) to the Borrower in respect of such a fiduciary duty claim or to any person asserting a fiduciary duty claim on behalf of or in right of the Borrower, including the Borrower’s equity holders, employees, or other creditors.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12.26. Acknowledgement and Consent to Bail-In of Affected Financial Institutions</w:t>
      </w:r>
    </w:p>
    <w:p>
      <w:pPr>
        <w:spacing w:after="0" w:line="22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 unsecured, may be subject to the write-down and conversion powers of the applicable Resolution Authority and agrees and consents to, and acknowledges and agrees to be bound by:</w:t>
      </w:r>
    </w:p>
    <w:p>
      <w:pPr>
        <w:spacing w:after="0" w:line="165" w:lineRule="exact"/>
        <w:rPr>
          <w:sz w:val="20"/>
          <w:szCs w:val="20"/>
          <w:color w:val="auto"/>
        </w:rPr>
      </w:pPr>
    </w:p>
    <w:p>
      <w:pPr>
        <w:jc w:val="both"/>
        <w:ind w:left="1300" w:hanging="644"/>
        <w:spacing w:after="0" w:line="257" w:lineRule="auto"/>
        <w:tabs>
          <w:tab w:leader="none" w:pos="1297"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4"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98"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will be accepted by it in lieu of any rights with respect to any such liability under this Agreement or any other Financing Document; or</w:t>
      </w:r>
    </w:p>
    <w:p>
      <w:pPr>
        <w:spacing w:after="0" w:line="158" w:lineRule="exact"/>
        <w:rPr>
          <w:sz w:val="20"/>
          <w:szCs w:val="20"/>
          <w:color w:val="auto"/>
        </w:rPr>
      </w:pPr>
    </w:p>
    <w:p>
      <w:pPr>
        <w:ind w:left="1960" w:right="20" w:hanging="656"/>
        <w:spacing w:after="0" w:line="284" w:lineRule="auto"/>
        <w:tabs>
          <w:tab w:leader="none" w:pos="196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12.27. Cashless Settlement</w:t>
      </w:r>
    </w:p>
    <w:p>
      <w:pPr>
        <w:spacing w:after="0" w:line="224"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any Senior Lender may exchange, continue or rollover all or a portion of its Senior Loans in connection with any refinancing, extension, loan modification or similar transaction permitted by the terms of this Agreement, pursuant to a cashless settlement mechanism approved by the Borrower, the Administrative Agent and such Senior Lender.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12.28. Restricted Lenders</w:t>
      </w:r>
    </w:p>
    <w:p>
      <w:pPr>
        <w:spacing w:after="0" w:line="23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Section 5.22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xml:space="preserve"> of this Agreement, in relation to each Senior Lender that is incorporated in a non-US jurisdiction or that otherwise notifies the Administrative Agent to this effect (each a “</w:t>
      </w:r>
      <w:r>
        <w:rPr>
          <w:rFonts w:ascii="Times New Roman" w:cs="Times New Roman" w:eastAsia="Times New Roman" w:hAnsi="Times New Roman"/>
          <w:sz w:val="21"/>
          <w:szCs w:val="21"/>
          <w:b w:val="1"/>
          <w:bCs w:val="1"/>
          <w:color w:val="auto"/>
        </w:rPr>
        <w:t>Restricted Lender</w:t>
      </w:r>
      <w:r>
        <w:rPr>
          <w:rFonts w:ascii="Times New Roman" w:cs="Times New Roman" w:eastAsia="Times New Roman" w:hAnsi="Times New Roman"/>
          <w:sz w:val="21"/>
          <w:szCs w:val="21"/>
          <w:color w:val="auto"/>
        </w:rPr>
        <w:t>”), the representations and undertakings in the provisions of such Sections shall only apply for the benefit of such Restricted Lender and shall only be given by the Borrower to such Restricted Lender to the extent that the sanctions provisions would not result in any violation of, conflict with or liability under (a) EU Regulation (EC) 2271/96,</w:t>
      </w:r>
    </w:p>
    <w:p>
      <w:pPr>
        <w:spacing w:after="0" w:line="4" w:lineRule="exact"/>
        <w:rPr>
          <w:sz w:val="20"/>
          <w:szCs w:val="20"/>
          <w:color w:val="auto"/>
        </w:rPr>
      </w:pPr>
    </w:p>
    <w:p>
      <w:pPr>
        <w:jc w:val="both"/>
        <w:ind w:left="640" w:firstLine="6"/>
        <w:spacing w:after="0" w:line="252" w:lineRule="auto"/>
        <w:tabs>
          <w:tab w:leader="none" w:pos="963"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 of the foreign trade rules (AWV) (Außenwirtschaftsverordnung) (in connection with section 4 paragraph 1 no. 3 and Section 19 paragraph 3 no. 1(a) foreign trade law (AWG) (Außenwirtschaftsgesetz)), or (c) a similar anti-boycott statute or other applicable Government Rule as in effect in that Restricted Lender’s home jurisdiction.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12.29. Disclosure in Connection with Equator Principles</w:t>
      </w:r>
    </w:p>
    <w:p>
      <w:pPr>
        <w:spacing w:after="0" w:line="224"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The Administrative Agent may disclose to the Equator Principles Association (or any successor thereof) the following information in connection with the Project: Project name; Closing Date; sector; and host country.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by their respective officers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RIO GRANDE LNG, LLC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-13970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Brent Wahl</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11160"/>
          </w:cols>
          <w:pgMar w:left="400" w:top="1440" w:right="339" w:bottom="1440" w:gutter="0" w:footer="0" w:header="0"/>
        </w:sectPr>
      </w:pPr>
    </w:p>
    <w:bookmarkStart w:id="287" w:name="page288"/>
    <w:bookmarkEnd w:id="287"/>
    <w:p>
      <w:pPr>
        <w:spacing w:after="0" w:line="200" w:lineRule="exact"/>
        <w:rPr>
          <w:sz w:val="20"/>
          <w:szCs w:val="20"/>
          <w:color w:val="auto"/>
        </w:rPr>
      </w:pPr>
    </w:p>
    <w:p>
      <w:pPr>
        <w:spacing w:after="0" w:line="237" w:lineRule="exact"/>
        <w:rPr>
          <w:sz w:val="20"/>
          <w:szCs w:val="20"/>
          <w:color w:val="auto"/>
        </w:rPr>
      </w:pPr>
    </w:p>
    <w:p>
      <w:pPr>
        <w:ind w:left="2780" w:right="1099"/>
        <w:spacing w:after="0" w:line="275"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Administrative Agent</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Jessica A. Jankiewicz</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Vice President</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strike w:val="1"/>
        </w:rPr>
        <w:t>Name: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88" w:name="page289"/>
    <w:bookmarkEnd w:id="288"/>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MIZUHO BANK (USA)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the P1 Collateral Agent</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Dominick D’Ascoli</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194" w:lineRule="exact"/>
        <w:rPr>
          <w:sz w:val="20"/>
          <w:szCs w:val="20"/>
          <w:color w:val="auto"/>
        </w:rPr>
      </w:pPr>
    </w:p>
    <w:p>
      <w:pPr>
        <w:ind w:left="2120" w:right="1659"/>
        <w:spacing w:after="0" w:line="275" w:lineRule="auto"/>
        <w:rPr>
          <w:sz w:val="20"/>
          <w:szCs w:val="20"/>
          <w:color w:val="auto"/>
        </w:rPr>
      </w:pPr>
      <w:r>
        <w:rPr>
          <w:rFonts w:ascii="Times New Roman" w:cs="Times New Roman" w:eastAsia="Times New Roman" w:hAnsi="Times New Roman"/>
          <w:sz w:val="22"/>
          <w:szCs w:val="22"/>
          <w:b w:val="1"/>
          <w:bCs w:val="1"/>
          <w:color w:val="auto"/>
        </w:rPr>
        <w:t>ALLIANZ LIFE INSURANCE COMPANY OF NORTH AMERICA,</w:t>
      </w:r>
    </w:p>
    <w:p>
      <w:pPr>
        <w:spacing w:after="0" w:line="200" w:lineRule="exact"/>
        <w:rPr>
          <w:sz w:val="20"/>
          <w:szCs w:val="20"/>
          <w:color w:val="auto"/>
        </w:rPr>
      </w:pP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u w:val="single" w:color="auto"/>
          <w:color w:val="auto"/>
        </w:rPr>
        <w:t>By: /s/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0" w:name="page291"/>
    <w:bookmarkEnd w:id="290"/>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AMERICAN GENERAL LIFE INSURANCE COMPANY,</w:t>
      </w: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601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1" w:name="page292"/>
    <w:bookmarkEnd w:id="291"/>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EVERLAKE LIFE INSURANCE</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258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2" w:name="page293"/>
    <w:bookmarkEnd w:id="292"/>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FIDELITY &amp; GUARANTY LIFE</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INSURANCE COMPANY,</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-13970</wp:posOffset>
            </wp:positionV>
            <wp:extent cx="1558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3" w:name="page294"/>
    <w:bookmarkEnd w:id="293"/>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SECURITY LIFE OF DENVER</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INSURANCE COMPANY,</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-13970</wp:posOffset>
            </wp:positionV>
            <wp:extent cx="1558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4" w:name="page295"/>
    <w:bookmarkEnd w:id="294"/>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b w:val="1"/>
          <w:bCs w:val="1"/>
          <w:color w:val="auto"/>
        </w:rPr>
        <w:t>SYMETRA LIFE INSURANCE COMPANY,</w:t>
      </w:r>
    </w:p>
    <w:p>
      <w:pPr>
        <w:spacing w:after="0" w:line="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as Senior Lender</w:t>
      </w:r>
    </w:p>
    <w:p>
      <w:pPr>
        <w:spacing w:after="0" w:line="200" w:lineRule="exact"/>
        <w:rPr>
          <w:sz w:val="20"/>
          <w:szCs w:val="20"/>
          <w:color w:val="auto"/>
        </w:rPr>
      </w:pPr>
    </w:p>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By: /s/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-13970</wp:posOffset>
            </wp:positionV>
            <wp:extent cx="1558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22"/>
          <w:szCs w:val="22"/>
          <w:b w:val="1"/>
          <w:bCs w:val="1"/>
          <w:color w:val="auto"/>
        </w:rPr>
        <w:t>Appendix I</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79"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Acceptable Distribution Guarantor</w:t>
      </w:r>
      <w:r>
        <w:rPr>
          <w:rFonts w:ascii="Times New Roman" w:cs="Times New Roman" w:eastAsia="Times New Roman" w:hAnsi="Times New Roman"/>
          <w:sz w:val="22"/>
          <w:szCs w:val="22"/>
          <w:color w:val="auto"/>
        </w:rPr>
        <w:t>” means a Person that is rated by at least one of S&amp;P, Fitch, or Moody’s and at least one such rating is equal to or better than “A-” by S&amp;P or Fitch or “A3” by Moody’s.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w:t>
      </w:r>
      <w:r>
        <w:rPr>
          <w:rFonts w:ascii="Times New Roman" w:cs="Times New Roman" w:eastAsia="Times New Roman" w:hAnsi="Times New Roman"/>
          <w:sz w:val="22"/>
          <w:szCs w:val="22"/>
          <w:color w:val="auto"/>
        </w:rPr>
        <w:t>” has the meaning assigned to such term in the applicable Designated Offtake Agreement.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xml:space="preserve">” means Wilmington Trust, National Association, not in its individual capacity, but solely as Administrative Agent for the Senior Loans hereunder, and each other Person that may, from time to time, be appointed as successor Administrative Agent pursuant to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 Fee Letter</w:t>
      </w:r>
      <w:r>
        <w:rPr>
          <w:rFonts w:ascii="Times New Roman" w:cs="Times New Roman" w:eastAsia="Times New Roman" w:hAnsi="Times New Roman"/>
          <w:sz w:val="22"/>
          <w:szCs w:val="22"/>
          <w:color w:val="auto"/>
        </w:rPr>
        <w:t>” means the Fee Letter dated as of the date hereof, between the Borrower and the Administrative Agent.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Decisions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w:t>
      </w:r>
      <w:r>
        <w:rPr>
          <w:rFonts w:ascii="Times New Roman" w:cs="Times New Roman" w:eastAsia="Times New Roman" w:hAnsi="Times New Roman"/>
          <w:sz w:val="22"/>
          <w:szCs w:val="22"/>
          <w:color w:val="auto"/>
        </w:rPr>
        <w:t>” means, at any time, any Senior Lender that is an Equity Owner or any Affiliate of an Equity Owner (other than the Pledgor, the Borrower, any RG Facility Entity, and any Debt Fund Affiliate, or any natural Person) or a Non-Debt Fund Affiliate of an Equity Owner at such time.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 Assignment Agreement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12.4(f)(ii)(A)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 Cap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12.4(f)(ii)(C)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12.11(i)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Funded Equity</w:t>
      </w:r>
      <w:r>
        <w:rPr>
          <w:rFonts w:ascii="Times New Roman" w:cs="Times New Roman" w:eastAsia="Times New Roman" w:hAnsi="Times New Roman"/>
          <w:sz w:val="22"/>
          <w:szCs w:val="22"/>
          <w:color w:val="auto"/>
        </w:rPr>
        <w:t>” has the meaning assigned to such term in the P1 Equity Contribution Agreement.</w:t>
      </w:r>
    </w:p>
    <w:p>
      <w:pPr>
        <w:spacing w:after="0" w:line="22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Senior Loan Commitment</w:t>
      </w:r>
      <w:r>
        <w:rPr>
          <w:rFonts w:ascii="Times New Roman" w:cs="Times New Roman" w:eastAsia="Times New Roman" w:hAnsi="Times New Roman"/>
          <w:sz w:val="22"/>
          <w:szCs w:val="22"/>
          <w:color w:val="auto"/>
        </w:rPr>
        <w:t xml:space="preserve">” means $356,000,000, as the same may be reduced in accordance with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assigned to such term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Capital Budget</w:t>
      </w:r>
      <w:r>
        <w:rPr>
          <w:rFonts w:ascii="Times New Roman" w:cs="Times New Roman" w:eastAsia="Times New Roman" w:hAnsi="Times New Roman"/>
          <w:sz w:val="22"/>
          <w:szCs w:val="22"/>
          <w:color w:val="auto"/>
        </w:rPr>
        <w:t>” has the meaning assigned to such term in the Definitions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22" w:right="339" w:bottom="1440" w:gutter="0" w:footer="0" w:header="0"/>
        </w:sectPr>
      </w:pPr>
    </w:p>
    <w:bookmarkStart w:id="296" w:name="page297"/>
    <w:bookmarkEnd w:id="296"/>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Capital Plan</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Facility Plan</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O&amp;M Budget</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O&amp;M Plan</w:t>
      </w:r>
      <w:r>
        <w:rPr>
          <w:rFonts w:ascii="Times New Roman" w:cs="Times New Roman" w:eastAsia="Times New Roman" w:hAnsi="Times New Roman"/>
          <w:sz w:val="22"/>
          <w:szCs w:val="22"/>
          <w:color w:val="auto"/>
        </w:rPr>
        <w:t>” has the meaning assigned to such term in the Definitions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Operating Budget</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Operating Plan</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the U.S. Foreign Corrupt Practices Act of 1977, 15 U.S.C. §§78m, 78dd-1 through 78dd-3 and 78ff, et seq., and all similar laws, rules, and regulations of any jurisdiction prohibiting bribery and corruption, including the U.K. Bribery Act, applicable to the Borrower or any of its subsidiaries at the relevant time.</w:t>
      </w:r>
    </w:p>
    <w:p>
      <w:pPr>
        <w:spacing w:after="0" w:line="16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Anti-Terrorism and Money Laundering Laws</w:t>
      </w:r>
      <w:r>
        <w:rPr>
          <w:rFonts w:ascii="Times New Roman" w:cs="Times New Roman" w:eastAsia="Times New Roman" w:hAnsi="Times New Roman"/>
          <w:sz w:val="21"/>
          <w:szCs w:val="21"/>
          <w:color w:val="auto"/>
        </w:rPr>
        <w:t>” means any of the following (a) Section 1 of Executive Order 13224 of September 24, 2001, Blocking Property and Prohibiting Transactions With Persons Who Commit, Threaten to Commit, or Support Terrorism (Title 12, Part 595 of the US Code of Federal Regulations),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USA Patriot Act of 2001 (Pub. L. No. 107-56), (f) the U.S. Money Laundering Control Act of 1986, as amended, (g) the Bank Secrecy Act, 31 U.S.C. sections 5301 et seq.,</w:t>
      </w:r>
    </w:p>
    <w:p>
      <w:pPr>
        <w:spacing w:after="0" w:line="5" w:lineRule="exact"/>
        <w:rPr>
          <w:sz w:val="20"/>
          <w:szCs w:val="20"/>
          <w:color w:val="auto"/>
        </w:rPr>
      </w:pPr>
    </w:p>
    <w:p>
      <w:pPr>
        <w:jc w:val="both"/>
        <w:ind w:left="640" w:firstLine="6"/>
        <w:spacing w:after="0" w:line="247" w:lineRule="auto"/>
        <w:tabs>
          <w:tab w:leader="none" w:pos="979"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Laundering of Monetary Instruments, 18 U.S.C. section 1956, (i) Engaging in Monetary Transactions in Property Derived from Specified Unlawful Activity, 18 U.S.C. section 1957, (j) the Financial Recordkeeping and Reporting of Currency and Foreign Transactions Regulations (Title 31 Part 103 of the US Code of Federal Regulations), (k) any other similar federal Government Rule having the force of law and relating to money laundering, terrorist acts or acts of war, and (l) any regulations promulgated under any of the foregoing.</w:t>
      </w:r>
    </w:p>
    <w:p>
      <w:pPr>
        <w:spacing w:after="0" w:line="182" w:lineRule="exact"/>
        <w:rPr>
          <w:sz w:val="20"/>
          <w:szCs w:val="20"/>
          <w:color w:val="auto"/>
        </w:rPr>
      </w:pPr>
    </w:p>
    <w:p>
      <w:pPr>
        <w:jc w:val="both"/>
        <w:ind w:left="640" w:right="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Owners</w:t>
      </w:r>
      <w:r>
        <w:rPr>
          <w:rFonts w:ascii="Times New Roman" w:cs="Times New Roman" w:eastAsia="Times New Roman" w:hAnsi="Times New Roman"/>
          <w:sz w:val="22"/>
          <w:szCs w:val="22"/>
          <w:color w:val="auto"/>
        </w:rPr>
        <w:t>” means (a) Global Infrastructure Management, LLC, (b) Devonshire Investment Pte. Ltd., (c) MIC TI Holding Company 2 RSC Limited, (d) Global LNG North America Corp., (e) any Qualified Mezzanine Entity, and (f) to the extent satisfying the KYC Requirements, any other Person approved by the Majority Senior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 Proceeds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6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Fee Letters</w:t>
      </w:r>
      <w:r>
        <w:rPr>
          <w:rFonts w:ascii="Times New Roman" w:cs="Times New Roman" w:eastAsia="Times New Roman" w:hAnsi="Times New Roman"/>
          <w:sz w:val="22"/>
          <w:szCs w:val="22"/>
          <w:color w:val="auto"/>
        </w:rPr>
        <w:t>” means each of:</w:t>
      </w:r>
    </w:p>
    <w:p>
      <w:pPr>
        <w:spacing w:after="0" w:line="224" w:lineRule="exact"/>
        <w:rPr>
          <w:sz w:val="20"/>
          <w:szCs w:val="20"/>
          <w:color w:val="auto"/>
        </w:rPr>
      </w:pPr>
    </w:p>
    <w:p>
      <w:pPr>
        <w:ind w:left="1280" w:hanging="634"/>
        <w:spacing w:after="0"/>
        <w:tabs>
          <w:tab w:leader="none" w:pos="128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Fee Letter; and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Structuring Fee Letter.</w:t>
      </w:r>
    </w:p>
    <w:p>
      <w:pPr>
        <w:spacing w:after="0" w:line="21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 Financing Documents</w:t>
      </w:r>
      <w:r>
        <w:rPr>
          <w:rFonts w:ascii="Times New Roman" w:cs="Times New Roman" w:eastAsia="Times New Roman" w:hAnsi="Times New Roman"/>
          <w:sz w:val="22"/>
          <w:szCs w:val="22"/>
          <w:color w:val="auto"/>
        </w:rPr>
        <w:t>” means (a) this Agreement, (b) the Bank Fee Letters, (c) the other financing and security agreements, documents and instruments delivered in connection with this Agreement, including each of the Common Terms Accession Agreement and the CIA Accession Confirmation, and (d) each other document designated as a Bank Financing Document by the Borrower and the Administrative Agent.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11 U.S.C. § 101 et. seq.</w:t>
      </w:r>
    </w:p>
    <w:p>
      <w:pPr>
        <w:spacing w:after="0" w:line="220"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Committed Quantity</w:t>
      </w:r>
      <w:r>
        <w:rPr>
          <w:rFonts w:ascii="Times New Roman" w:cs="Times New Roman" w:eastAsia="Times New Roman" w:hAnsi="Times New Roman"/>
          <w:sz w:val="22"/>
          <w:szCs w:val="22"/>
          <w:color w:val="auto"/>
        </w:rPr>
        <w:t xml:space="preserve">” means 844.880 million MMBtu (equivalent to approximately 16.19 MTPA), being the aggregate ACQ under the Initial Offtake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following the full payment of the required amount of Senior Secured Debt (taking into account any amounts declined by the Senior Lenders or other applicable Senior Secured Debt Holders) upon any Credit Agreement LNG Sales Mandatory Prepayment Event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the Base Committed Quantity will be equal to the aggregate ACQ under the Designated Offtake Agreements used to calculate the amount of Senior Secured Debt that the Borrower is not required to repay upon a Credit Agreement LNG Sales Mandatory Prepayment Event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(b) to the extent that any other Offtake Agreement becomes a Designated Offtake Agreement or an existing Designated Offtake Agreement is amended to adjust the quantity of LNG contracted to be sold thereunder, the Base Committed Quantity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-1185545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7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 xml:space="preserve">equal to the aggregate ACQ under such Designated Offtake Agreements as at such time, and (c) following prepayment of Senior Secured Debt (other than any prepayment referenced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Base Committed Quantity will be reduced to the minimum ACQ under the Designated Offtake Agreements in effect at such time that is required to achieve a Credit Agreement Projected DSCR of at least 1.40:1.00 (or, at any time after any prepayment referenced in clause (a), 1.20:1:00) based on the Base Case Forecast updated only to reflect such prepayment.</w:t>
      </w:r>
    </w:p>
    <w:p>
      <w:pPr>
        <w:spacing w:after="0" w:line="175"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“beneficially owned” and “beneficial ownership” have a corresponding meaning.</w:t>
      </w:r>
    </w:p>
    <w:p>
      <w:pPr>
        <w:spacing w:after="0" w:line="175"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refers to 31 C.F.R. § 1010.230.</w:t>
      </w:r>
    </w:p>
    <w:p>
      <w:pPr>
        <w:spacing w:after="0" w:line="22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Entity</w:t>
      </w:r>
      <w:r>
        <w:rPr>
          <w:rFonts w:ascii="Times New Roman" w:cs="Times New Roman" w:eastAsia="Times New Roman" w:hAnsi="Times New Roman"/>
          <w:sz w:val="22"/>
          <w:szCs w:val="22"/>
          <w:color w:val="auto"/>
        </w:rPr>
        <w:t>” means Blackstone Alternative Credit Advisors LP, its Affiliates and funds, accounts and clients managed, advised or sub-advised by any of them.</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has the meaning assigned to such term in the Preamble.</w:t>
      </w:r>
    </w:p>
    <w:p>
      <w:pPr>
        <w:spacing w:after="0" w:line="220"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Notice</w:t>
      </w:r>
      <w:r>
        <w:rPr>
          <w:rFonts w:ascii="Times New Roman" w:cs="Times New Roman" w:eastAsia="Times New Roman" w:hAnsi="Times New Roman"/>
          <w:sz w:val="22"/>
          <w:szCs w:val="22"/>
          <w:color w:val="auto"/>
        </w:rPr>
        <w:t xml:space="preserve">” means each request for a Senior Loan Borrowing of Senior Loans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delivered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Canada Blocked Person</w:t>
      </w:r>
      <w:r>
        <w:rPr>
          <w:rFonts w:ascii="Times New Roman" w:cs="Times New Roman" w:eastAsia="Times New Roman" w:hAnsi="Times New Roman"/>
          <w:sz w:val="22"/>
          <w:szCs w:val="22"/>
          <w:color w:val="auto"/>
        </w:rPr>
        <w:t xml:space="preserve">” means (a) a “terrorist group” as defined for the purposes of Part II.1 of the Criminal Code (Canada), as amended or (b) a Person identified in or pursuant to (w) Part II.1 of the Criminal Code (Canada), as amended or (i) the Proceeds of Crime (Money Laundering) and Terrorist Financing Act, as amended or (ii) the Justice for Victims of Corrupt Foreign Officials Act (Sergei Magnitsky Law), as amended or (iii) regulations or orders promulgated pursuant to the Special Economic Measures Act (Canada), as amended, the United Nations Act (Canada), as amended, or the Freezing Assets of Corrupt Foreign Officials Act (Canada), as amended, in any case pursuant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as a Person in respect of whose property or benefit a Senior Lender would be prohibited from entering into or facilitating a related financial transaction.</w:t>
      </w:r>
    </w:p>
    <w:p>
      <w:pPr>
        <w:spacing w:after="0" w:line="17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Equity Financing</w:t>
      </w:r>
      <w:r>
        <w:rPr>
          <w:rFonts w:ascii="Times New Roman" w:cs="Times New Roman" w:eastAsia="Times New Roman" w:hAnsi="Times New Roman"/>
          <w:sz w:val="22"/>
          <w:szCs w:val="22"/>
          <w:color w:val="auto"/>
        </w:rPr>
        <w:t>” means the commitment of the Pledgor, pursuant to the P1 Equity Contribution Agreement, to directly or indirectly make cash contributions to the Borrower up to the Remaining Equity Amount (as defined in the P1 Equity Contribution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 Indenture Rating Reaffirmation</w:t>
      </w:r>
      <w:r>
        <w:rPr>
          <w:rFonts w:ascii="Times New Roman" w:cs="Times New Roman" w:eastAsia="Times New Roman" w:hAnsi="Times New Roman"/>
          <w:sz w:val="22"/>
          <w:szCs w:val="22"/>
          <w:color w:val="auto"/>
        </w:rPr>
        <w:t>” means a “Rating Reaffirmation” as defined in the CD Senior Notes Indenture.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CFCo Deed of Trust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Law</w:t>
      </w:r>
      <w:r>
        <w:rPr>
          <w:rFonts w:ascii="Times New Roman" w:cs="Times New Roman" w:eastAsia="Times New Roman" w:hAnsi="Times New Roman"/>
          <w:sz w:val="22"/>
          <w:szCs w:val="22"/>
          <w:color w:val="auto"/>
        </w:rPr>
        <w:t xml:space="preserve">” means (a) the adoption or introduction of any law, rule, directive, guideline, decision or regulation after the Closing Date, (b) any change in law, rule, directive, guideline, decision or regulation or in the interpretation or application thereof by any Government Authority charged with its interpretation or administration after the Closing Date, or (c) compliance by any Senior Lender, by any lending office of such Senior Lender, or by such Senior Lender’s holding company, if any, with any written request, guideline, decision or directive (whether or not having the force of law but if not having the force of law, then being one with which the relevant party would customarily comply) of any Government Authority charged with its interpretation or administration made or issued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6849745</wp:posOffset>
            </wp:positionH>
            <wp:positionV relativeFrom="paragraph">
              <wp:posOffset>-1022985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jc w:val="both"/>
        <w:ind w:left="1280" w:hanging="634"/>
        <w:spacing w:after="0" w:line="257" w:lineRule="auto"/>
        <w:tabs>
          <w:tab w:leader="none" w:pos="1273"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Project Completion Date, the Sponsor and the Approved Owners collectively fail to directly or indirectly hold legally and beneficially more than 50% of the total voting and economic Equity Interests of the Borrower and voting Equity Interests of the Pledgor;</w:t>
      </w:r>
    </w:p>
    <w:p>
      <w:pPr>
        <w:spacing w:after="0" w:line="172" w:lineRule="exact"/>
        <w:rPr>
          <w:rFonts w:ascii="Times New Roman" w:cs="Times New Roman" w:eastAsia="Times New Roman" w:hAnsi="Times New Roman"/>
          <w:sz w:val="22"/>
          <w:szCs w:val="22"/>
          <w:color w:val="auto"/>
        </w:rPr>
      </w:pPr>
    </w:p>
    <w:p>
      <w:pPr>
        <w:ind w:left="1280" w:hanging="634"/>
        <w:spacing w:after="0" w:line="284" w:lineRule="auto"/>
        <w:tabs>
          <w:tab w:leader="none" w:pos="1272"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Project Completion Date, the Sponsor fails to directly or indirectly hold legally and beneficially 15% or more of the voting and economic Equity Interests of the Borrower;</w:t>
      </w:r>
    </w:p>
    <w:p>
      <w:pPr>
        <w:spacing w:after="0" w:line="143" w:lineRule="exact"/>
        <w:rPr>
          <w:rFonts w:ascii="Times New Roman" w:cs="Times New Roman" w:eastAsia="Times New Roman" w:hAnsi="Times New Roman"/>
          <w:sz w:val="22"/>
          <w:szCs w:val="22"/>
          <w:color w:val="auto"/>
        </w:rPr>
      </w:pPr>
    </w:p>
    <w:p>
      <w:pPr>
        <w:jc w:val="both"/>
        <w:ind w:left="1280" w:hanging="634"/>
        <w:spacing w:after="0" w:line="252" w:lineRule="auto"/>
        <w:tabs>
          <w:tab w:leader="none" w:pos="1273"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Project Completion Date, the Sponsor, any Approved Owners, any Qualified Public Company, any Qualified Investment Entity, any Qualified Offtaker Investor, and any Qualified Energy Company collectively fail to directly or indirectly hold legally and beneficially more than 50% of the total voting and economic Equity Interests of the Borrower; or</w:t>
      </w:r>
    </w:p>
    <w:p>
      <w:pPr>
        <w:spacing w:after="0" w:line="179" w:lineRule="exact"/>
        <w:rPr>
          <w:rFonts w:ascii="Times New Roman" w:cs="Times New Roman" w:eastAsia="Times New Roman" w:hAnsi="Times New Roman"/>
          <w:sz w:val="22"/>
          <w:szCs w:val="22"/>
          <w:color w:val="auto"/>
        </w:rPr>
      </w:pPr>
    </w:p>
    <w:p>
      <w:pPr>
        <w:ind w:left="1280" w:hanging="634"/>
        <w:spacing w:after="0" w:line="284" w:lineRule="auto"/>
        <w:tabs>
          <w:tab w:leader="none" w:pos="127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Pledgor fails to hold legally and beneficially 100% of the total voting and economic Equity Interests in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2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any Equity Interests of the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purposes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the definition of Approved Owners, (x) “Global Infrastructure Management, LLC” means Global Infrastructure Management, LLC, its Related Entities and its Affiliates,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-853440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-193040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jc w:val="both"/>
        <w:ind w:firstLine="8"/>
        <w:spacing w:after="0" w:line="245" w:lineRule="auto"/>
        <w:tabs>
          <w:tab w:leader="none" w:pos="29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“Affiliates” means (A) any Person that is managed or advised by Global Infrastructure Management, LLC or its Related Entities or (B) any trustee, custodian, or nominee of any fund managed or advised by Global Infrastructure Management, LLC or its Related Entities and (ii) “advised” means being in receipt of an implementing advice in relation to the management of investments of that Person which (other than in relation to actually making decisions to implement such advice) is substantially the same as the services which would be provided by a fund manager of the relevant Person, (y) “Devonshire Investment Pte. Ltd.” means Devonshire Investment Pte. Ltd., its Related Entities and its Affiliates, where “Affiliates” means any Person that is, or is managed or advised by, GIC Private Limited or its Related Entities and (z) “MIC TI Holding Company 2 RSC Limited” means MIC TI Holding Company 2 RSC Limited, its Related Entities and its Affiliates, where “Affiliates” means the government of the Emirate of Abu Dhabi and any Person it Controls, whether directly or indirectly.</w:t>
      </w:r>
    </w:p>
    <w:p>
      <w:pPr>
        <w:spacing w:after="0" w:line="19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Triggering Event</w:t>
      </w:r>
      <w:r>
        <w:rPr>
          <w:rFonts w:ascii="Times New Roman" w:cs="Times New Roman" w:eastAsia="Times New Roman" w:hAnsi="Times New Roman"/>
          <w:sz w:val="22"/>
          <w:szCs w:val="22"/>
          <w:color w:val="auto"/>
        </w:rPr>
        <w:t xml:space="preserve">” means the occurrence of a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Change of Control shall not be deemed to have occurred if (a) the Borrower shall have received written confirmation that a Rating Reaffirmation shall have occurred and (b) so long as the SSD Discharge Date with respect to the Senior Secured Debt under the CD Senior Notes Indenture has not occurred, a CD Indenture Rating Reaffirmation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-528320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means the date on which the conditions precedent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have been satisfied or waived in accordance with this Agreement.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Proceeds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Deed of Trust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right="20"/>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Terms Agreement</w:t>
      </w:r>
      <w:r>
        <w:rPr>
          <w:rFonts w:ascii="Times New Roman" w:cs="Times New Roman" w:eastAsia="Times New Roman" w:hAnsi="Times New Roman"/>
          <w:sz w:val="21"/>
          <w:szCs w:val="21"/>
          <w:color w:val="auto"/>
        </w:rPr>
        <w:t>” means that certain Common Terms Agreement, dated as of July 12, 2023, by and among the Borrower, each Senior Secured Debt Holder Representative that is a party thereto, and the P1 Intercreditor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12.11(g)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Consent Agreement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Construction Budget and Schedule</w:t>
      </w:r>
      <w:r>
        <w:rPr>
          <w:rFonts w:ascii="Times New Roman" w:cs="Times New Roman" w:eastAsia="Times New Roman" w:hAnsi="Times New Roman"/>
          <w:sz w:val="22"/>
          <w:szCs w:val="22"/>
          <w:color w:val="auto"/>
        </w:rPr>
        <w:t>” means (a) a budget attached as Exhibit O-1 to the CD Credit Agreement setting forth, on a monthly basis, the timing and amount of all projected payments of P1 Project Costs through the date on which T1 Substantial Completion, T2 Substantial Completion, and T3 Substantial Completion shall have occurred and (b) a schedule attached as Exhibit O-2 of the CD Credit Agreement setting forth the proposed engineering, procurement, construction and testing milestone schedule for the Project’s Development through the projected date on which Final Completion shall have occurred under each of the P1 EPC Contracts.</w:t>
      </w:r>
    </w:p>
    <w:p>
      <w:pPr>
        <w:spacing w:after="0" w:line="175"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Contracted Revenues</w:t>
      </w:r>
      <w:r>
        <w:rPr>
          <w:rFonts w:ascii="Times New Roman" w:cs="Times New Roman" w:eastAsia="Times New Roman" w:hAnsi="Times New Roman"/>
          <w:sz w:val="22"/>
          <w:szCs w:val="22"/>
          <w:color w:val="auto"/>
        </w:rPr>
        <w:t>” means, for any period, Cash Flow projected to be received by the Borrower during such period under Qualified Offtake Agreements calculated solely to reflect the price paid if no LNG is lifted under Qualified Offtake Agreements then in effect.</w:t>
      </w:r>
    </w:p>
    <w:p>
      <w:pPr>
        <w:spacing w:after="0" w:line="161"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Subsidiary</w:t>
      </w:r>
      <w:r>
        <w:rPr>
          <w:rFonts w:ascii="Times New Roman" w:cs="Times New Roman" w:eastAsia="Times New Roman" w:hAnsi="Times New Roman"/>
          <w:sz w:val="22"/>
          <w:szCs w:val="22"/>
          <w:color w:val="auto"/>
        </w:rPr>
        <w:t>” means, with respect to any specified Person, a corporation, partnership, joint venture, limited liability company or other Person of which a majority of the Equity Interests of such Person having ordinary voting power or authority for the election or 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Discharge Date</w:t>
      </w:r>
      <w:r>
        <w:rPr>
          <w:rFonts w:ascii="Times New Roman" w:cs="Times New Roman" w:eastAsia="Times New Roman" w:hAnsi="Times New Roman"/>
          <w:sz w:val="22"/>
          <w:szCs w:val="22"/>
          <w:color w:val="auto"/>
        </w:rPr>
        <w:t>” means the date on which:</w:t>
      </w:r>
    </w:p>
    <w:p>
      <w:pPr>
        <w:spacing w:after="0" w:line="224" w:lineRule="exact"/>
        <w:rPr>
          <w:sz w:val="20"/>
          <w:szCs w:val="20"/>
          <w:color w:val="auto"/>
        </w:rPr>
      </w:pPr>
    </w:p>
    <w:p>
      <w:pPr>
        <w:jc w:val="both"/>
        <w:ind w:left="1280" w:hanging="634"/>
        <w:spacing w:after="0" w:line="253" w:lineRule="auto"/>
        <w:tabs>
          <w:tab w:leader="none" w:pos="1272"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P1 Collateral Agent, the Administrative Agent and the Senior Lenders shall have received payment in full in cash of all of the Obligations and all other amounts owing to the P1 Collateral Agent, the Administrative Agent, and the Senior Lenders under the Financing Documents (other than Obligations thereunder that by their terms survive and with respect to which no claim has been made by the applicable Credit Agreement Senior Secured Parties); and</w:t>
      </w:r>
    </w:p>
    <w:p>
      <w:pPr>
        <w:spacing w:after="0" w:line="178"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Loan Commitments shall have terminated, expired or been reduced to zero Dollars.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Indemnitee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Information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12.17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275"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LNG Sales Mandatory Prepayment Event</w:t>
      </w:r>
      <w:r>
        <w:rPr>
          <w:rFonts w:ascii="Times New Roman" w:cs="Times New Roman" w:eastAsia="Times New Roman" w:hAnsi="Times New Roman"/>
          <w:sz w:val="22"/>
          <w:szCs w:val="22"/>
          <w:color w:val="auto"/>
        </w:rPr>
        <w:t xml:space="preserve">” means any event triggering a mandatory prepayment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Maturity Date</w:t>
      </w:r>
      <w:r>
        <w:rPr>
          <w:rFonts w:ascii="Times New Roman" w:cs="Times New Roman" w:eastAsia="Times New Roman" w:hAnsi="Times New Roman"/>
          <w:sz w:val="22"/>
          <w:szCs w:val="22"/>
          <w:color w:val="auto"/>
        </w:rPr>
        <w:t>” means July 7, 2033.</w:t>
      </w:r>
    </w:p>
    <w:p>
      <w:pPr>
        <w:spacing w:after="0" w:line="220"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Projected CFADS</w:t>
      </w:r>
      <w:r>
        <w:rPr>
          <w:rFonts w:ascii="Times New Roman" w:cs="Times New Roman" w:eastAsia="Times New Roman" w:hAnsi="Times New Roman"/>
          <w:sz w:val="22"/>
          <w:szCs w:val="22"/>
          <w:color w:val="auto"/>
        </w:rPr>
        <w:t xml:space="preserve">” means, for any period, an amount equal to (a) the amount of Cash Flow from Contracted Revenues projected to be received by the Borrower during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all amounts projected to be paid during such period pursuant to Sections 3.3(c)(i) and 3.3(c)(ii) (</w:t>
      </w:r>
      <w:r>
        <w:rPr>
          <w:rFonts w:ascii="Times New Roman" w:cs="Times New Roman" w:eastAsia="Times New Roman" w:hAnsi="Times New Roman"/>
          <w:sz w:val="22"/>
          <w:szCs w:val="22"/>
          <w:i w:val="1"/>
          <w:iCs w:val="1"/>
          <w:color w:val="auto"/>
        </w:rPr>
        <w:t>P1 Revenue Account</w:t>
      </w:r>
      <w:r>
        <w:rPr>
          <w:rFonts w:ascii="Times New Roman" w:cs="Times New Roman" w:eastAsia="Times New Roman" w:hAnsi="Times New Roman"/>
          <w:sz w:val="22"/>
          <w:szCs w:val="22"/>
          <w:color w:val="auto"/>
        </w:rPr>
        <w:t xml:space="preserve">) of the P1 Accounts Agreement (other than any fee projected to be payable to any Senior Secured Party), which amounts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exclude any such amounts that (i) are related to the lifting of LNG or (ii) are P1 Project Costs, RCI EPC CAPEX, or RCI Owners’ Costs, in each case, to the extent funded with Indebtedness or equity.</w:t>
      </w:r>
    </w:p>
    <w:p>
      <w:pPr>
        <w:spacing w:after="0" w:line="175"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Projected DSCR</w:t>
      </w:r>
      <w:r>
        <w:rPr>
          <w:rFonts w:ascii="Times New Roman" w:cs="Times New Roman" w:eastAsia="Times New Roman" w:hAnsi="Times New Roman"/>
          <w:sz w:val="22"/>
          <w:szCs w:val="22"/>
          <w:color w:val="auto"/>
        </w:rPr>
        <w:t xml:space="preserve">” means, for the applicable period, the ratio of (a) Credit Agreement Projected CFADS to (b) Debt Service (other than (i) principal of Working Capital Debt and the principal amount of Senior Secured Debt payable on the Maturity Date thereof, (ii) commitment fees, front-end fees and up-front fees paid prior to the Project Completion Date or, if later, out of the proceeds of Senior Secured Debt, (iii) LC Costs, (iv) interest in respect of the Senior Secured Debt and Senior Secured Obligations under Senior Secured IR Hedge Agreements, in each case, paid prior to the Project Completion Date, (v) amounts payable under Senior Secured Hedge Agreements that are not in respect of interest rates, (vi) without duplication of amounts in </w:t>
      </w:r>
      <w:r>
        <w:rPr>
          <w:rFonts w:ascii="Times New Roman" w:cs="Times New Roman" w:eastAsia="Times New Roman" w:hAnsi="Times New Roman"/>
          <w:sz w:val="22"/>
          <w:szCs w:val="22"/>
          <w:u w:val="single" w:color="auto"/>
          <w:color w:val="auto"/>
        </w:rPr>
        <w:t>clause (b)(v)</w:t>
      </w:r>
      <w:r>
        <w:rPr>
          <w:rFonts w:ascii="Times New Roman" w:cs="Times New Roman" w:eastAsia="Times New Roman" w:hAnsi="Times New Roman"/>
          <w:sz w:val="22"/>
          <w:szCs w:val="22"/>
          <w:color w:val="auto"/>
        </w:rPr>
        <w:t xml:space="preserve">, P1 Hedge Termination Amounts under Senior Secured Hedge Agreements, and (vii) for purposes of satisfying the conditions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incremental carrying costs of such Senior Secured Debt and the costs associated with arranging, issuing, and incurring such Senior Secured Debt projected for such period).</w:t>
      </w:r>
    </w:p>
    <w:p>
      <w:pPr>
        <w:spacing w:after="0" w:line="183"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Senior Secured Parties</w:t>
      </w:r>
      <w:r>
        <w:rPr>
          <w:rFonts w:ascii="Times New Roman" w:cs="Times New Roman" w:eastAsia="Times New Roman" w:hAnsi="Times New Roman"/>
          <w:sz w:val="22"/>
          <w:szCs w:val="22"/>
          <w:color w:val="auto"/>
        </w:rPr>
        <w:t>” means the Senior Lenders, the Administrative Agent, the P1 Collateral Agent, and each of their respective successors and permitted assigns, in each case in connection with this Agreement, and the Senior Loans.</w:t>
      </w:r>
    </w:p>
    <w:p>
      <w:pPr>
        <w:spacing w:after="0" w:line="161"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Transaction Documents</w:t>
      </w:r>
      <w:r>
        <w:rPr>
          <w:rFonts w:ascii="Times New Roman" w:cs="Times New Roman" w:eastAsia="Times New Roman" w:hAnsi="Times New Roman"/>
          <w:sz w:val="22"/>
          <w:szCs w:val="22"/>
          <w:color w:val="auto"/>
        </w:rPr>
        <w:t>” means, collectively, the Financing Documents (as defined in this Agreement) and the Material Project Documents.</w:t>
      </w:r>
    </w:p>
    <w:p>
      <w:pPr>
        <w:spacing w:after="0" w:line="149"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Certain</w:t>
      </w:r>
      <w:r>
        <w:rPr>
          <w:rFonts w:ascii="Times New Roman" w:cs="Times New Roman" w:eastAsia="Times New Roman" w:hAnsi="Times New Roman"/>
          <w:sz w:val="22"/>
          <w:szCs w:val="22"/>
          <w:color w:val="auto"/>
        </w:rPr>
        <w:t>” means, the “Date Certain” as defined under the CD Credit Agreement, as of the date of this Agreement and without giving effect to how that term may be amended, waived, extended or otherwise modified from time to time, pursuant to the terms of the CD Credit Agreement notwithstanding any contrary provision in any Financing Document.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DBRS</w:t>
      </w:r>
      <w:r>
        <w:rPr>
          <w:rFonts w:ascii="Times New Roman" w:cs="Times New Roman" w:eastAsia="Times New Roman" w:hAnsi="Times New Roman"/>
          <w:sz w:val="22"/>
          <w:szCs w:val="22"/>
          <w:u w:val="single" w:color="auto"/>
          <w:color w:val="auto"/>
        </w:rPr>
        <w:t>” means DBRS, Inc., or if applicable, its successor.</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Fund Affiliate</w:t>
      </w:r>
      <w:r>
        <w:rPr>
          <w:rFonts w:ascii="Times New Roman" w:cs="Times New Roman" w:eastAsia="Times New Roman" w:hAnsi="Times New Roman"/>
          <w:sz w:val="22"/>
          <w:szCs w:val="22"/>
          <w:color w:val="auto"/>
        </w:rPr>
        <w:t xml:space="preserve">” means any Affiliate of the Pledgor other than the Borrower or any RG Facility Entity that is, in each case,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debt fund or an investment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279"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that is engaged in the making, purchasing, holding or otherwise investing in commercial loans, bonds and similar extensions of credit in the ordinary course, is not organized for the purpose of making equity investments, and with respect to which (a) any such Debt Fund Affiliate has in place customary information barriers between it and the applicable Equity Owner and any Affiliate of the applicable Equity Owner that is not primarily engaged in the investing activities described above, (b) its managers have fiduciary duties to the investors thereof independent of and in addition to their duties to the applicable Equity Owner and any Affiliate of the applicable Equity Owner, and (c) the Equity Owners and investment vehicles managed or advised by any Equity Owner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81"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Repayment Triggering Event</w:t>
      </w:r>
      <w:r>
        <w:rPr>
          <w:rFonts w:ascii="Times New Roman" w:cs="Times New Roman" w:eastAsia="Times New Roman" w:hAnsi="Times New Roman"/>
          <w:sz w:val="22"/>
          <w:szCs w:val="22"/>
          <w:color w:val="auto"/>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Borrower or its subsidiaries (other than the obligations to use the proceeds of </w:t>
      </w:r>
      <w:r>
        <w:rPr>
          <w:rFonts w:ascii="Times New Roman" w:cs="Times New Roman" w:eastAsia="Times New Roman" w:hAnsi="Times New Roman"/>
          <w:sz w:val="22"/>
          <w:szCs w:val="22"/>
          <w:color w:val="auto"/>
          <w:strike w:val="1"/>
        </w:rPr>
        <w:t>the</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Senior Loans </w:t>
      </w:r>
      <w:r>
        <w:rPr>
          <w:rFonts w:ascii="Times New Roman" w:cs="Times New Roman" w:eastAsia="Times New Roman" w:hAnsi="Times New Roman"/>
          <w:sz w:val="22"/>
          <w:szCs w:val="22"/>
          <w:u w:val="single" w:color="auto"/>
          <w:color w:val="auto"/>
        </w:rPr>
        <w:t>to repay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xml:space="preserve"> otherwise terminate commitments as indicated in the Disclosure Documents) or would cause such Indebtedness to become due and payable before its stated maturity or before its regularly scheduled dates of payment.</w:t>
      </w:r>
    </w:p>
    <w:p>
      <w:pPr>
        <w:spacing w:after="0" w:line="18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to Equity Ratio</w:t>
      </w:r>
      <w:r>
        <w:rPr>
          <w:rFonts w:ascii="Times New Roman" w:cs="Times New Roman" w:eastAsia="Times New Roman" w:hAnsi="Times New Roman"/>
          <w:sz w:val="22"/>
          <w:szCs w:val="22"/>
          <w:color w:val="auto"/>
        </w:rPr>
        <w:t>” means, as of any date of determination, the ratio of (a) the aggregate principal amount of all Senior Secured Debt (other than the principal of Working Capital Debt) at such time outstanding to (b) the sum of Aggregate Funded Equity and Voluntary Equity Contributions, in each case, made on or prior to such date.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 Relief Laws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 event or condition which, with the giving of notice, lapse of time or upon a declaration or determination being made (or any combination thereof), would become an Event of Default.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xml:space="preserve">” means an interest rate (before as well as after judgment) equal to the Interest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640" w:right="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Delivered</w:t>
      </w:r>
      <w:r>
        <w:rPr>
          <w:rFonts w:ascii="Times New Roman" w:cs="Times New Roman" w:eastAsia="Times New Roman" w:hAnsi="Times New Roman"/>
          <w:sz w:val="22"/>
          <w:szCs w:val="22"/>
          <w:color w:val="auto"/>
        </w:rPr>
        <w:t>” refers to quantities of LNG sold “cost, insurance and freight,” “cost and freight”, “delivered ex ship,” “delivered at terminal,” or otherwise where the Borrower is responsible for the transportation of LNG to a delivery point other than at the Rio Grande Facility under the terms of the relevant Offtake Agreement.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Documents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Guaranty</w:t>
      </w:r>
      <w:r>
        <w:rPr>
          <w:rFonts w:ascii="Times New Roman" w:cs="Times New Roman" w:eastAsia="Times New Roman" w:hAnsi="Times New Roman"/>
          <w:sz w:val="22"/>
          <w:szCs w:val="22"/>
          <w:color w:val="auto"/>
        </w:rPr>
        <w:t>” means an unconditional guarantee, in form and substance satisfactory to the P1 Administrative Agent, for the benefit of the P1 Collateral Agent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27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 xml:space="preserve">behalf of the Senior Lenders provided by an Acceptable Distribution Guarantor without recourse to any Loan Party in connection with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LC</w:t>
      </w:r>
      <w:r>
        <w:rPr>
          <w:rFonts w:ascii="Times New Roman" w:cs="Times New Roman" w:eastAsia="Times New Roman" w:hAnsi="Times New Roman"/>
          <w:sz w:val="22"/>
          <w:szCs w:val="22"/>
          <w:color w:val="auto"/>
        </w:rPr>
        <w:t xml:space="preserve">” an irrevocable, standby letter of credit issued by a Qualifying LC Issuer in connection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7.1(c)</w:t>
      </w:r>
      <w:r>
        <w:rPr>
          <w:rFonts w:ascii="Times New Roman" w:cs="Times New Roman" w:eastAsia="Times New Roman" w:hAnsi="Times New Roman"/>
          <w:sz w:val="22"/>
          <w:szCs w:val="22"/>
          <w:color w:val="auto"/>
        </w:rPr>
        <w:t xml:space="preserve"> that (a) includes an expiration date no earlier than 364 days following its issuance date, (b) allows the P1 Collateral Agent to make a drawdown of up to the full stated amount in the circumstances permitted hereunder, (c) is for the benefit of the P1 Collateral Agent on behalf of the Senior Lenders, the CD Senior Lenders and the TCF Senior Lenders, and (d) is in form and substance reasonably satisfactory to the P1 Administrative Agent.</w:t>
      </w:r>
    </w:p>
    <w:p>
      <w:pPr>
        <w:spacing w:after="0" w:line="173"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DOE Export Authorization</w:t>
      </w:r>
      <w:r>
        <w:rPr>
          <w:rFonts w:ascii="Times New Roman" w:cs="Times New Roman" w:eastAsia="Times New Roman" w:hAnsi="Times New Roman"/>
          <w:sz w:val="22"/>
          <w:szCs w:val="22"/>
          <w:color w:val="auto"/>
        </w:rPr>
        <w:t>” means (a) the Order Granting Long-Term Multi-Contract Authorization to Export LNG to Free Trade Agreement Nations issued by DOE/FE in FE Docket No. 15-190-LNG in its Order No. 3869 on August 17, 2016, and (b) the Opinion and Order Granting Long-Term Multi-Contract Authorization to Export LNG to Non-Free Trade Agreement Nations issued by DOE/FE in FE Docket No. 15-190-LNG in its Order No. 4492 on February 10, 2020, as amended to extend the term in DOE/FE Order No. 4492-A issued on October 21, 2020.</w:t>
      </w:r>
    </w:p>
    <w:p>
      <w:pPr>
        <w:spacing w:after="0" w:line="17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DOE/FE</w:t>
      </w:r>
      <w:r>
        <w:rPr>
          <w:rFonts w:ascii="Times New Roman" w:cs="Times New Roman" w:eastAsia="Times New Roman" w:hAnsi="Times New Roman"/>
          <w:sz w:val="22"/>
          <w:szCs w:val="22"/>
          <w:color w:val="auto"/>
        </w:rPr>
        <w:t>” means the U.S. Department of Energy, Office of Fossil Energy or, as subsequently renamed, Office of Fossil Energy and Carbon Management.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DSR Credit Support</w:t>
      </w:r>
      <w:r>
        <w:rPr>
          <w:rFonts w:ascii="Times New Roman" w:cs="Times New Roman" w:eastAsia="Times New Roman" w:hAnsi="Times New Roman"/>
          <w:sz w:val="22"/>
          <w:szCs w:val="22"/>
          <w:color w:val="auto"/>
        </w:rPr>
        <w:t>” has the meaning assigned to such term in the P1 Accounts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DSRA Reserve Amount</w:t>
      </w:r>
      <w:r>
        <w:rPr>
          <w:rFonts w:ascii="Times New Roman" w:cs="Times New Roman" w:eastAsia="Times New Roman" w:hAnsi="Times New Roman"/>
          <w:sz w:val="22"/>
          <w:szCs w:val="22"/>
          <w:color w:val="auto"/>
        </w:rPr>
        <w:t>” has the meaning assigned to such term in the P1 Accounts Agreement.</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that is subject to the supervision of an EEA Resolution Authority, (b) any entity established in an EEA Member Country that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that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6"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and Social Action Plan</w:t>
      </w:r>
      <w:r>
        <w:rPr>
          <w:rFonts w:ascii="Times New Roman" w:cs="Times New Roman" w:eastAsia="Times New Roman" w:hAnsi="Times New Roman"/>
          <w:sz w:val="22"/>
          <w:szCs w:val="22"/>
          <w:color w:val="auto"/>
        </w:rPr>
        <w:t>” means the Environmental and Social Action Plan attached to the report of the Environmental Advisor delivered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27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Agreement, together with any updates thereto as may be made from time to time by the Borrower as required or permitted under the P1 Financing Documents.</w:t>
      </w:r>
    </w:p>
    <w:p>
      <w:pPr>
        <w:spacing w:after="0" w:line="15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and Social Incident</w:t>
      </w:r>
      <w:r>
        <w:rPr>
          <w:rFonts w:ascii="Times New Roman" w:cs="Times New Roman" w:eastAsia="Times New Roman" w:hAnsi="Times New Roman"/>
          <w:sz w:val="22"/>
          <w:szCs w:val="22"/>
          <w:color w:val="auto"/>
        </w:rPr>
        <w:t>” means a significant and serious incident or accident as a result of the construction or operation of the Project that (a) under the Environmental Laws requires the Borrower to undertake emergency or immediate remedial action and (b) has the following impacts: (i) death, major health disability or material adverse health damage, (ii) material adverse and persistent damage to the environment, or (iii) material destruction of a site or object of cultural or religious significance.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Equator Principles</w:t>
      </w:r>
      <w:r>
        <w:rPr>
          <w:rFonts w:ascii="Times New Roman" w:cs="Times New Roman" w:eastAsia="Times New Roman" w:hAnsi="Times New Roman"/>
          <w:sz w:val="22"/>
          <w:szCs w:val="22"/>
          <w:color w:val="auto"/>
        </w:rPr>
        <w:t>” means the principles named “The Equator Principles EP4 – A financial industry benchmark for determining, assessing and managing environmental and social risk in projects” adopted by various financial institutions in the form dated July 2020 that became effective on October 1, 2020.</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any corporation or trade or business which is a member of any group of organizations:</w:t>
      </w:r>
    </w:p>
    <w:p>
      <w:pPr>
        <w:spacing w:after="0" w:line="32" w:lineRule="exact"/>
        <w:rPr>
          <w:sz w:val="20"/>
          <w:szCs w:val="20"/>
          <w:color w:val="auto"/>
        </w:rPr>
      </w:pPr>
    </w:p>
    <w:p>
      <w:pPr>
        <w:jc w:val="both"/>
        <w:ind w:left="640" w:firstLine="6"/>
        <w:spacing w:after="0" w:line="249" w:lineRule="auto"/>
        <w:tabs>
          <w:tab w:leader="none" w:pos="96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described in Section 414(b) or Section 414(c) of the Code of which the Borrower is a member; and (b) solely for purposes of potential liability under Section 302(b) of ERISA and Section 412(b) of the Code and the lien created under Section 303(k) of ERISA and Section 430(k) of the Code, described in Section 414(m) or Section 414(o) of the Code of which the Borrower is a member.</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jc w:val="both"/>
        <w:ind w:left="1280" w:right="20" w:hanging="634"/>
        <w:spacing w:after="0" w:line="263" w:lineRule="auto"/>
        <w:tabs>
          <w:tab w:leader="none" w:pos="1278"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“reportable event”, as defined in Section 4043 of ERISA or the regulations issued thereunder with respect to a Plan, other than events for which the 30-day notice period has been waived by current regulation under PBGC Regulation Subsections .27, .28, .29 or .31;</w:t>
      </w:r>
    </w:p>
    <w:p>
      <w:pPr>
        <w:spacing w:after="0" w:line="167" w:lineRule="exact"/>
        <w:rPr>
          <w:rFonts w:ascii="Times New Roman" w:cs="Times New Roman" w:eastAsia="Times New Roman" w:hAnsi="Times New Roman"/>
          <w:sz w:val="22"/>
          <w:szCs w:val="22"/>
          <w:color w:val="auto"/>
        </w:rPr>
      </w:pPr>
    </w:p>
    <w:p>
      <w:pPr>
        <w:ind w:left="1280" w:hanging="634"/>
        <w:spacing w:after="0" w:line="271" w:lineRule="auto"/>
        <w:tabs>
          <w:tab w:leader="none" w:pos="1278"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with respect to any Plan to meet the minimum funding requirements of Section 412 or Section 430 of the Code or Section 302 or Section 303 of ERISA, whether or not waived;</w:t>
      </w:r>
    </w:p>
    <w:p>
      <w:pPr>
        <w:spacing w:after="0" w:line="157" w:lineRule="exact"/>
        <w:rPr>
          <w:rFonts w:ascii="Times New Roman" w:cs="Times New Roman" w:eastAsia="Times New Roman" w:hAnsi="Times New Roman"/>
          <w:sz w:val="22"/>
          <w:szCs w:val="22"/>
          <w:color w:val="auto"/>
        </w:rPr>
      </w:pPr>
    </w:p>
    <w:p>
      <w:pPr>
        <w:ind w:left="1280" w:hanging="634"/>
        <w:spacing w:after="0" w:line="271" w:lineRule="auto"/>
        <w:tabs>
          <w:tab w:leader="none" w:pos="1272"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pursuant to Section 412(c) of the Code or Section 303 of ERISA of an application for a waiver of the minimum funding standard with respect to any Plan;</w:t>
      </w:r>
    </w:p>
    <w:p>
      <w:pPr>
        <w:spacing w:after="0" w:line="157" w:lineRule="exact"/>
        <w:rPr>
          <w:rFonts w:ascii="Times New Roman" w:cs="Times New Roman" w:eastAsia="Times New Roman" w:hAnsi="Times New Roman"/>
          <w:sz w:val="22"/>
          <w:szCs w:val="22"/>
          <w:color w:val="auto"/>
        </w:rPr>
      </w:pPr>
    </w:p>
    <w:p>
      <w:pPr>
        <w:ind w:left="1280" w:hanging="634"/>
        <w:spacing w:after="0" w:line="284" w:lineRule="auto"/>
        <w:tabs>
          <w:tab w:leader="none" w:pos="1278"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the Borrower or any of its ERISA Affiliates of any liability under Title IV of ERISA with respect to the termination of 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279" w:lineRule="exact"/>
        <w:rPr>
          <w:sz w:val="20"/>
          <w:szCs w:val="20"/>
          <w:color w:val="auto"/>
        </w:rPr>
      </w:pPr>
    </w:p>
    <w:p>
      <w:pPr>
        <w:ind w:left="1280" w:hanging="634"/>
        <w:spacing w:after="0" w:line="271" w:lineRule="auto"/>
        <w:tabs>
          <w:tab w:leader="none" w:pos="1278"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notice of intent to terminate a Plan or the treatment of a Plan amendment as a termination under Section 4041 of ERISA;</w:t>
      </w:r>
    </w:p>
    <w:p>
      <w:pPr>
        <w:spacing w:after="0" w:line="157"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of proceedings to terminate a Plan by PBGC or to appoint a trustee to administer any Plan;</w:t>
      </w:r>
    </w:p>
    <w:p>
      <w:pPr>
        <w:spacing w:after="0" w:line="219" w:lineRule="exact"/>
        <w:rPr>
          <w:rFonts w:ascii="Times New Roman" w:cs="Times New Roman" w:eastAsia="Times New Roman" w:hAnsi="Times New Roman"/>
          <w:sz w:val="22"/>
          <w:szCs w:val="22"/>
          <w:color w:val="auto"/>
        </w:rPr>
      </w:pPr>
    </w:p>
    <w:p>
      <w:pPr>
        <w:jc w:val="both"/>
        <w:ind w:left="1280" w:hanging="634"/>
        <w:spacing w:after="0" w:line="256" w:lineRule="auto"/>
        <w:tabs>
          <w:tab w:leader="none" w:pos="127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by the Borrower or any of its ERISA Affiliates from a multiple employer plan (within the meaning of Section 4064 of ERISA) during a plan year in which it was a “substantial employer”, as such term is defined under Section 4064 of ERISA, upon the termination of a Multiemployer Plan or the cessation of operations under a Plan pursuant to Section 4062(e) of ERISA;</w:t>
      </w:r>
    </w:p>
    <w:p>
      <w:pPr>
        <w:spacing w:after="0" w:line="176" w:lineRule="exact"/>
        <w:rPr>
          <w:rFonts w:ascii="Times New Roman" w:cs="Times New Roman" w:eastAsia="Times New Roman" w:hAnsi="Times New Roman"/>
          <w:sz w:val="22"/>
          <w:szCs w:val="22"/>
          <w:color w:val="auto"/>
        </w:rPr>
      </w:pPr>
    </w:p>
    <w:p>
      <w:pPr>
        <w:ind w:left="1280" w:hanging="634"/>
        <w:spacing w:after="0" w:line="271" w:lineRule="auto"/>
        <w:tabs>
          <w:tab w:leader="none" w:pos="127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the Borrower or any of its ERISA Affiliates of any liability with respect to the withdrawal or partial withdrawal from any Multiemployer Plan;</w:t>
      </w:r>
    </w:p>
    <w:p>
      <w:pPr>
        <w:spacing w:after="0" w:line="157"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attainment of any Plan of “at risk” status within the meaning of Section 430 of the Code or Section 303 of</w:t>
      </w:r>
    </w:p>
    <w:p>
      <w:pPr>
        <w:spacing w:after="0" w:line="29" w:lineRule="exact"/>
        <w:rPr>
          <w:rFonts w:ascii="Times New Roman" w:cs="Times New Roman" w:eastAsia="Times New Roman" w:hAnsi="Times New Roman"/>
          <w:sz w:val="22"/>
          <w:szCs w:val="22"/>
          <w:color w:val="auto"/>
        </w:rPr>
      </w:pPr>
    </w:p>
    <w:p>
      <w:pPr>
        <w:ind w:left="1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w:t>
      </w:r>
    </w:p>
    <w:p>
      <w:pPr>
        <w:spacing w:after="0" w:line="207" w:lineRule="exact"/>
        <w:rPr>
          <w:rFonts w:ascii="Times New Roman" w:cs="Times New Roman" w:eastAsia="Times New Roman" w:hAnsi="Times New Roman"/>
          <w:sz w:val="22"/>
          <w:szCs w:val="22"/>
          <w:color w:val="auto"/>
        </w:rPr>
      </w:pPr>
    </w:p>
    <w:p>
      <w:pPr>
        <w:jc w:val="both"/>
        <w:ind w:left="1280" w:hanging="634"/>
        <w:spacing w:after="0" w:line="252" w:lineRule="auto"/>
        <w:tabs>
          <w:tab w:leader="none" w:pos="1276"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critical, endangered or critical and declining status, within the meaning of the Code or Title IV of ERISA;</w:t>
      </w:r>
    </w:p>
    <w:p>
      <w:pPr>
        <w:spacing w:after="0" w:line="192" w:lineRule="exact"/>
        <w:rPr>
          <w:rFonts w:ascii="Times New Roman" w:cs="Times New Roman" w:eastAsia="Times New Roman" w:hAnsi="Times New Roman"/>
          <w:sz w:val="22"/>
          <w:szCs w:val="22"/>
          <w:color w:val="auto"/>
        </w:rPr>
      </w:pPr>
    </w:p>
    <w:p>
      <w:pPr>
        <w:ind w:left="1280" w:right="20" w:hanging="634"/>
        <w:spacing w:after="0" w:line="271" w:lineRule="auto"/>
        <w:tabs>
          <w:tab w:leader="none" w:pos="1275"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Borrower or any ERISA Affiliate to pay when due any amount that has become liable to the PBGC, any Plan or trust established thereunder pursuant to Title IV of ERISA or the Code;</w:t>
      </w:r>
    </w:p>
    <w:p>
      <w:pPr>
        <w:spacing w:after="0" w:line="157" w:lineRule="exact"/>
        <w:rPr>
          <w:rFonts w:ascii="Times New Roman" w:cs="Times New Roman" w:eastAsia="Times New Roman" w:hAnsi="Times New Roman"/>
          <w:sz w:val="22"/>
          <w:szCs w:val="22"/>
          <w:color w:val="auto"/>
        </w:rPr>
      </w:pPr>
    </w:p>
    <w:p>
      <w:pPr>
        <w:ind w:left="1280" w:hanging="634"/>
        <w:spacing w:after="0" w:line="271" w:lineRule="auto"/>
        <w:tabs>
          <w:tab w:leader="none" w:pos="1278"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an amendment to a Plan requiring the provision of security to such Plan pursuant to Section 436(f) of the Code;</w:t>
      </w:r>
    </w:p>
    <w:p>
      <w:pPr>
        <w:spacing w:after="0" w:line="157" w:lineRule="exact"/>
        <w:rPr>
          <w:rFonts w:ascii="Times New Roman" w:cs="Times New Roman" w:eastAsia="Times New Roman" w:hAnsi="Times New Roman"/>
          <w:sz w:val="22"/>
          <w:szCs w:val="22"/>
          <w:color w:val="auto"/>
        </w:rPr>
      </w:pPr>
    </w:p>
    <w:p>
      <w:pPr>
        <w:jc w:val="both"/>
        <w:ind w:left="1280" w:hanging="634"/>
        <w:spacing w:after="0" w:line="263" w:lineRule="auto"/>
        <w:tabs>
          <w:tab w:leader="none" w:pos="127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Controlled Subsidiaries engages in a “prohibited transaction” within the meaning of Section 4975 of the Code or Section 406 of ERISA that is not otherwise exempt by statute, regulation or administrative pronouncement; or</w:t>
      </w:r>
    </w:p>
    <w:p>
      <w:pPr>
        <w:spacing w:after="0" w:line="167"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lien under ERISA or the Code with respect to any Plan or Multiemployer Plan.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Deficiency Assignment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Impacted Class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Return Deficiency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means any of the events described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means, with respect to the Administrative Agent or any Senior Lender or any other recipient of any payment to be made by or on account of any obligation of the Borrower under any Financing Document, (a) Taxes imposed on or measured by net income (however denominated), franchise Taxes, and branch profits Taxes, in each case,</w:t>
      </w:r>
    </w:p>
    <w:p>
      <w:pPr>
        <w:spacing w:after="0" w:line="1" w:lineRule="exact"/>
        <w:rPr>
          <w:sz w:val="20"/>
          <w:szCs w:val="20"/>
          <w:color w:val="auto"/>
        </w:rPr>
      </w:pPr>
    </w:p>
    <w:p>
      <w:pPr>
        <w:jc w:val="both"/>
        <w:ind w:left="640" w:firstLine="6"/>
        <w:spacing w:after="0" w:line="261" w:lineRule="auto"/>
        <w:tabs>
          <w:tab w:leader="none" w:pos="905"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imposed as a result of such Person being organized under the laws of, or having its principal office or, in the case of a Senior Lender, its lending office located in, the jurisdiction imposing such Tax (or any political subdivision thereof) or</w:t>
      </w:r>
    </w:p>
    <w:p>
      <w:pPr>
        <w:spacing w:after="0" w:line="1" w:lineRule="exact"/>
        <w:rPr>
          <w:rFonts w:ascii="Times New Roman" w:cs="Times New Roman" w:eastAsia="Times New Roman" w:hAnsi="Times New Roman"/>
          <w:sz w:val="21"/>
          <w:szCs w:val="21"/>
          <w:color w:val="auto"/>
        </w:rPr>
      </w:pPr>
    </w:p>
    <w:p>
      <w:pPr>
        <w:jc w:val="both"/>
        <w:ind w:left="640" w:firstLine="6"/>
        <w:spacing w:after="0" w:line="256" w:lineRule="auto"/>
        <w:tabs>
          <w:tab w:leader="none" w:pos="965"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are Other Connection Taxes, (b) in the case of a Senior Lender, any U.S. federal withholding Tax that is imposed on amounts payable to or for the account of such Person with respect to an applicable interest in a Financing Document pursuant to a law in effect on the date on which (i) such Person acquires such interest in the Financing Document (other than pursuant to an assignment request by the Borrower under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or (ii) such Person changes its lending office, except in each case to the extent, pursuant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amounts with respect to such Taxes were payable either to such Person’s assignor immediately before such Person became a Party hereto or to such Person immediately before it changed its lending office, (c) Taxes attributable to such Person’s failure to comply with </w:t>
      </w:r>
      <w:r>
        <w:rPr>
          <w:rFonts w:ascii="Times New Roman" w:cs="Times New Roman" w:eastAsia="Times New Roman" w:hAnsi="Times New Roman"/>
          <w:sz w:val="21"/>
          <w:szCs w:val="21"/>
          <w:u w:val="single" w:color="auto"/>
          <w:color w:val="auto"/>
        </w:rPr>
        <w:t>Section 4.2(g)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4.2(h)</w:t>
      </w:r>
      <w:r>
        <w:rPr>
          <w:rFonts w:ascii="Times New Roman" w:cs="Times New Roman" w:eastAsia="Times New Roman" w:hAnsi="Times New Roman"/>
          <w:sz w:val="21"/>
          <w:szCs w:val="21"/>
          <w:color w:val="auto"/>
        </w:rPr>
        <w:t xml:space="preserve"> and</w:t>
      </w:r>
    </w:p>
    <w:p>
      <w:pPr>
        <w:spacing w:after="0" w:line="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any withholding Tax imposed under FATCA.</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Export Authorization Remediation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7.4(b)(i)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 Independent Engineer</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27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intergovernmental agreement, treaty or convention among Government Authorities and implementing such Sections of the Code.</w:t>
      </w:r>
    </w:p>
    <w:p>
      <w:pPr>
        <w:spacing w:after="0" w:line="154"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 Deduction</w:t>
      </w:r>
      <w:r>
        <w:rPr>
          <w:rFonts w:ascii="Times New Roman" w:cs="Times New Roman" w:eastAsia="Times New Roman" w:hAnsi="Times New Roman"/>
          <w:sz w:val="22"/>
          <w:szCs w:val="22"/>
          <w:color w:val="auto"/>
        </w:rPr>
        <w:t>” means a deduction or withholding from a payment under a Financing Document required by FATCA.</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 Exempt Party</w:t>
      </w:r>
      <w:r>
        <w:rPr>
          <w:rFonts w:ascii="Times New Roman" w:cs="Times New Roman" w:eastAsia="Times New Roman" w:hAnsi="Times New Roman"/>
          <w:sz w:val="22"/>
          <w:szCs w:val="22"/>
          <w:color w:val="auto"/>
        </w:rPr>
        <w:t>” means a Party that is entitled to receive payments free from any FATCA Deduction.</w:t>
      </w:r>
    </w:p>
    <w:p>
      <w:pPr>
        <w:spacing w:after="0" w:line="220"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Funds Effective Rate</w:t>
      </w:r>
      <w:r>
        <w:rPr>
          <w:rFonts w:ascii="Times New Roman" w:cs="Times New Roman" w:eastAsia="Times New Roman" w:hAnsi="Times New Roman"/>
          <w:sz w:val="21"/>
          <w:szCs w:val="21"/>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59"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xml:space="preserve">” means, collectively, each of the fees payable by the Borrower for the account of any Senior Lender or the Administrative Agent pursuant to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FERC Authorization</w:t>
      </w:r>
      <w:r>
        <w:rPr>
          <w:rFonts w:ascii="Times New Roman" w:cs="Times New Roman" w:eastAsia="Times New Roman" w:hAnsi="Times New Roman"/>
          <w:sz w:val="22"/>
          <w:szCs w:val="22"/>
          <w:color w:val="auto"/>
        </w:rPr>
        <w:t>” means the authorization to site, construct, and operate the P1 Train Facilities and the Common Facilities originally issued by FERC in its Order in Docket Nos. CP16-454 on November 22, 2019, with rehearing subsequently denied and later remanded by the Court of Appeals for the D.C. Circuit, and with those certain design modifications approved by FERC in 2020 and 2021, and the FERC Remand Order, as such FERC orders may be amended, supplemented, clarified, restated, reissued, or otherwise modified from time to time by FERC.</w:t>
      </w:r>
    </w:p>
    <w:p>
      <w:pPr>
        <w:spacing w:after="0" w:line="17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FERC Remand Order</w:t>
      </w:r>
      <w:r>
        <w:rPr>
          <w:rFonts w:ascii="Times New Roman" w:cs="Times New Roman" w:eastAsia="Times New Roman" w:hAnsi="Times New Roman"/>
          <w:sz w:val="22"/>
          <w:szCs w:val="22"/>
          <w:color w:val="auto"/>
        </w:rPr>
        <w:t>” means the order issued by FERC, following the remand by the U.S. Court of Appeals for the D.C. Circuit of the prior FERC Authorization, in Docket Nos. CP16-454 on April 21, 2023.</w:t>
      </w:r>
    </w:p>
    <w:p>
      <w:pPr>
        <w:spacing w:after="0" w:line="149"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Completion</w:t>
      </w:r>
      <w:r>
        <w:rPr>
          <w:rFonts w:ascii="Times New Roman" w:cs="Times New Roman" w:eastAsia="Times New Roman" w:hAnsi="Times New Roman"/>
          <w:sz w:val="22"/>
          <w:szCs w:val="22"/>
          <w:color w:val="auto"/>
        </w:rPr>
        <w:t>” means, as the context may require, a “Final Completion” as defined in the T1/T2 EPC Contract, a “Final Completion” as defined in the T3 EPC Contract, or both.</w:t>
      </w:r>
    </w:p>
    <w:p>
      <w:pPr>
        <w:spacing w:after="0" w:line="16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Financing Documents</w:t>
      </w:r>
      <w:r>
        <w:rPr>
          <w:rFonts w:ascii="Times New Roman" w:cs="Times New Roman" w:eastAsia="Times New Roman" w:hAnsi="Times New Roman"/>
          <w:sz w:val="22"/>
          <w:szCs w:val="22"/>
          <w:color w:val="auto"/>
        </w:rPr>
        <w:t>” means (a) each of the documents set forth in the definition of “P1 Financing Documents” in the Common Terms Agreement and (b) the Bank Financing Documents.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means any Senior Lender that is not a U.S. Person.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Shortfall Debt</w:t>
      </w:r>
      <w:r>
        <w:rPr>
          <w:rFonts w:ascii="Times New Roman" w:cs="Times New Roman" w:eastAsia="Times New Roman" w:hAnsi="Times New Roman"/>
          <w:sz w:val="22"/>
          <w:szCs w:val="22"/>
          <w:color w:val="auto"/>
        </w:rPr>
        <w:t>” means Supplemental Debt that satisfies:</w:t>
      </w:r>
    </w:p>
    <w:p>
      <w:pPr>
        <w:spacing w:after="0" w:line="220" w:lineRule="exact"/>
        <w:rPr>
          <w:sz w:val="20"/>
          <w:szCs w:val="20"/>
          <w:color w:val="auto"/>
        </w:rPr>
      </w:pPr>
    </w:p>
    <w:p>
      <w:pPr>
        <w:ind w:left="1280" w:hanging="634"/>
        <w:spacing w:after="0"/>
        <w:tabs>
          <w:tab w:leader="none" w:pos="128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set forth in Section 2.6 (</w:t>
      </w:r>
      <w:r>
        <w:rPr>
          <w:rFonts w:ascii="Times New Roman" w:cs="Times New Roman" w:eastAsia="Times New Roman" w:hAnsi="Times New Roman"/>
          <w:sz w:val="22"/>
          <w:szCs w:val="22"/>
          <w:i w:val="1"/>
          <w:iCs w:val="1"/>
          <w:color w:val="auto"/>
        </w:rPr>
        <w:t>Supplemental Debt</w:t>
      </w:r>
      <w:r>
        <w:rPr>
          <w:rFonts w:ascii="Times New Roman" w:cs="Times New Roman" w:eastAsia="Times New Roman" w:hAnsi="Times New Roman"/>
          <w:sz w:val="22"/>
          <w:szCs w:val="22"/>
          <w:color w:val="auto"/>
        </w:rPr>
        <w:t>) of the Common Terms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279" w:lineRule="exact"/>
        <w:rPr>
          <w:sz w:val="20"/>
          <w:szCs w:val="20"/>
          <w:color w:val="auto"/>
        </w:rPr>
      </w:pPr>
    </w:p>
    <w:p>
      <w:pPr>
        <w:ind w:left="1280" w:hanging="634"/>
        <w:spacing w:after="0"/>
        <w:tabs>
          <w:tab w:leader="none" w:pos="12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set forth in </w:t>
      </w:r>
      <w:r>
        <w:rPr>
          <w:rFonts w:ascii="Times New Roman" w:cs="Times New Roman" w:eastAsia="Times New Roman" w:hAnsi="Times New Roman"/>
          <w:sz w:val="22"/>
          <w:szCs w:val="22"/>
          <w:u w:val="single" w:color="auto"/>
          <w:color w:val="auto"/>
        </w:rPr>
        <w:t>Section 7.3(d)</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conditions:</w:t>
      </w:r>
    </w:p>
    <w:p>
      <w:pPr>
        <w:spacing w:after="0" w:line="219" w:lineRule="exact"/>
        <w:rPr>
          <w:rFonts w:ascii="Times New Roman" w:cs="Times New Roman" w:eastAsia="Times New Roman" w:hAnsi="Times New Roman"/>
          <w:sz w:val="22"/>
          <w:szCs w:val="22"/>
          <w:color w:val="auto"/>
        </w:rPr>
      </w:pPr>
    </w:p>
    <w:p>
      <w:pPr>
        <w:jc w:val="both"/>
        <w:ind w:left="1920" w:hanging="636"/>
        <w:spacing w:after="0" w:line="258" w:lineRule="auto"/>
        <w:tabs>
          <w:tab w:leader="none" w:pos="1918" w:val="left"/>
        </w:tabs>
        <w:numPr>
          <w:ilvl w:val="1"/>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principal amount of such Funding Shortfall Debt does not exceed: (A) (1) if incurred prior to the Project Completion Date or the completion date of the Permitted Capital Improvement (as applicable), an amount equal to 75% of the aggregate amount of P1 Project Costs, or the costs of such Permitted Capital Improvement (as applicable) and (2) if incurred on or after the Project Completion Date or the completion date of the applicable Capital Improvement (as applicable), (x) in the case of Funding Shortfall Debt incurred to finance P1 Project Costs, an amount that, together with all funded or unfunded commitments under the CD Construction/Term Loans, the TCF Senior Loans, the Senior Loans, any Supplemental Debt incurred to fund such P1 Project Costs, any Replacement Debt incurred to replace such funded or unfunded commitments, and any other Funding Shortfall Debt to finance P1 Project Costs, does not exceed 75% of aggregate P1 Project Costs as at the Project Completion Date or (y) in the case of Funding Shortfall Debt incurred to finance Permitted Capital Improvements, an amount that, together with all Senior Secured Debt incurred to finance such Permitted Capital Improvement, does not exceed 75% of aggregate costs in respect of such Permitted Capital Improvement as at the completion of such Permitted Capital Improvement, </w:t>
      </w:r>
      <w:r>
        <w:rPr>
          <w:rFonts w:ascii="Times New Roman" w:cs="Times New Roman" w:eastAsia="Times New Roman" w:hAnsi="Times New Roman"/>
          <w:sz w:val="21"/>
          <w:szCs w:val="21"/>
          <w:i w:val="1"/>
          <w:iCs w:val="1"/>
          <w:color w:val="auto"/>
        </w:rPr>
        <w:t>plus</w:t>
      </w:r>
    </w:p>
    <w:p>
      <w:pPr>
        <w:spacing w:after="0" w:line="12" w:lineRule="exact"/>
        <w:rPr>
          <w:rFonts w:ascii="Times New Roman" w:cs="Times New Roman" w:eastAsia="Times New Roman" w:hAnsi="Times New Roman"/>
          <w:sz w:val="21"/>
          <w:szCs w:val="21"/>
          <w:color w:val="auto"/>
        </w:rPr>
      </w:pPr>
    </w:p>
    <w:p>
      <w:pPr>
        <w:jc w:val="both"/>
        <w:ind w:left="1920" w:firstLine="2"/>
        <w:spacing w:after="0" w:line="249" w:lineRule="auto"/>
        <w:tabs>
          <w:tab w:leader="none" w:pos="2295"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premiums, fees, costs, expenses, and reserves (including any incremental increase in the DSRA Reserve Amounts resulting from the incurrence of such Funding Shortfall Debt) associated with arranging, issuing and incurring such Funding Shortfall Debt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105% of the P1 IR Hedge Termination Amounts reasonably projected as of such date of incurrence to be due and payable by the Borrower with respect to any portion of one or more Senior Secured IR Hedge Agreement to be terminated in connection with any such incurrence;</w:t>
      </w:r>
    </w:p>
    <w:p>
      <w:pPr>
        <w:spacing w:after="0" w:line="154" w:lineRule="exact"/>
        <w:rPr>
          <w:rFonts w:ascii="Times New Roman" w:cs="Times New Roman" w:eastAsia="Times New Roman" w:hAnsi="Times New Roman"/>
          <w:sz w:val="22"/>
          <w:szCs w:val="22"/>
          <w:color w:val="auto"/>
        </w:rPr>
      </w:pPr>
    </w:p>
    <w:p>
      <w:pPr>
        <w:ind w:left="1920" w:hanging="636"/>
        <w:spacing w:after="0" w:line="284" w:lineRule="auto"/>
        <w:tabs>
          <w:tab w:leader="none" w:pos="1910"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Funding Shortfall Debt is incurred prior to the second anniversary of the Project Completion Date or the completion date of such Permitted Capital Improvement (as applicable); and</w:t>
      </w:r>
    </w:p>
    <w:p>
      <w:pPr>
        <w:spacing w:after="0" w:line="116" w:lineRule="exact"/>
        <w:rPr>
          <w:rFonts w:ascii="Times New Roman" w:cs="Times New Roman" w:eastAsia="Times New Roman" w:hAnsi="Times New Roman"/>
          <w:sz w:val="22"/>
          <w:szCs w:val="22"/>
          <w:color w:val="auto"/>
        </w:rPr>
      </w:pPr>
    </w:p>
    <w:p>
      <w:pPr>
        <w:jc w:val="both"/>
        <w:ind w:left="1920" w:hanging="636"/>
        <w:spacing w:after="0" w:line="263" w:lineRule="auto"/>
        <w:tabs>
          <w:tab w:leader="none" w:pos="1916"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the incurrence of any Funding Shortfall Debt, the Borrower shall use a portion of the proceeds of such Funding Shortfall Debt to fund any reserves (including any incremental increase in the DSRA Reserve Amounts) resulting from the incurrence of such Funding Shortfall Debt.</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275"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Historical DSCR</w:t>
      </w:r>
      <w:r>
        <w:rPr>
          <w:rFonts w:ascii="Times New Roman" w:cs="Times New Roman" w:eastAsia="Times New Roman" w:hAnsi="Times New Roman"/>
          <w:sz w:val="22"/>
          <w:szCs w:val="22"/>
          <w:color w:val="auto"/>
        </w:rPr>
        <w:t xml:space="preserve">” has the meaning set forth in the Common Terms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all purposes under this Agreement, “Historical DSCR” shall be deemed to exclude subclause (b)(vii) of the definition thereof in the Common Terms Agreement.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HMT</w:t>
      </w:r>
      <w:r>
        <w:rPr>
          <w:rFonts w:ascii="Times New Roman" w:cs="Times New Roman" w:eastAsia="Times New Roman" w:hAnsi="Times New Roman"/>
          <w:sz w:val="22"/>
          <w:szCs w:val="22"/>
          <w:color w:val="auto"/>
        </w:rPr>
        <w:t>” means His Majesty’s Treasury, the economic and finance ministry of the United Kingdom.</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incur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xml:space="preserve">” means (a) Taxes imposed on or with respect to any payment made on account of any obligation of the Borrower under any Financing Document, other than Excluded Taxes,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Other Taxes.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Offtakers</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China Gas Hongda Energy Trading Co., Ltd.;</w:t>
      </w:r>
    </w:p>
    <w:p>
      <w:pPr>
        <w:spacing w:after="0" w:line="233"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Engie S.A.;</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ENN LNG (Singapore) Pte. Ltd.;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ExxonMobil Asia Pacific Pte. Ltd.;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Galp Trading S.A.;</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Guangdong Energy Group Natural Gas Co., Ltd.;</w:t>
      </w:r>
    </w:p>
    <w:p>
      <w:pPr>
        <w:spacing w:after="0" w:line="233"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Guangdong Energy Group Co., Ltd.;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Itochu Corporation;</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Shell NA LNG LLC; and</w:t>
      </w:r>
    </w:p>
    <w:p>
      <w:pPr>
        <w:spacing w:after="0" w:line="219"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TotalEnergies Gas &amp; Power North America, Inc.</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Rate</w:t>
      </w:r>
      <w:r>
        <w:rPr>
          <w:rFonts w:ascii="Times New Roman" w:cs="Times New Roman" w:eastAsia="Times New Roman" w:hAnsi="Times New Roman"/>
          <w:sz w:val="22"/>
          <w:szCs w:val="22"/>
          <w:color w:val="auto"/>
        </w:rPr>
        <w:t>” means 6.72%.</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Grade</w:t>
      </w:r>
      <w:r>
        <w:rPr>
          <w:rFonts w:ascii="Times New Roman" w:cs="Times New Roman" w:eastAsia="Times New Roman" w:hAnsi="Times New Roman"/>
          <w:sz w:val="22"/>
          <w:szCs w:val="22"/>
          <w:color w:val="auto"/>
        </w:rPr>
        <w:t>” means that such person is rated by at least one Recognized Credit Rating Agency and at least one such rating is equal to or better than “Baa3” by Moody’s, “BBB-” by S&amp;P, “BBB-” by Fitch, or a comparable credit rating that is a Recognized Credit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type w:val="continuous"/>
        </w:sectPr>
      </w:pPr>
    </w:p>
    <w:bookmarkStart w:id="311" w:name="page312"/>
    <w:bookmarkEnd w:id="311"/>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Kroll</w:t>
      </w:r>
      <w:r>
        <w:rPr>
          <w:rFonts w:ascii="Times New Roman" w:cs="Times New Roman" w:eastAsia="Times New Roman" w:hAnsi="Times New Roman"/>
          <w:sz w:val="22"/>
          <w:szCs w:val="22"/>
          <w:color w:val="auto"/>
        </w:rPr>
        <w:t>” means Kroll Bond Rating Agency, Inc., or if applicable, its successor.</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KYC Requirements</w:t>
      </w:r>
      <w:r>
        <w:rPr>
          <w:rFonts w:ascii="Times New Roman" w:cs="Times New Roman" w:eastAsia="Times New Roman" w:hAnsi="Times New Roman"/>
          <w:sz w:val="22"/>
          <w:szCs w:val="22"/>
          <w:color w:val="auto"/>
        </w:rPr>
        <w:t>” means the consistently applied “know your customer” requirements of the Senior Lenders under applicable “know your customer” and Anti-Terrorism and Money Laundering Laws, including the Patriot Act.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Assignment Agreement</w:t>
      </w:r>
      <w:r>
        <w:rPr>
          <w:rFonts w:ascii="Times New Roman" w:cs="Times New Roman" w:eastAsia="Times New Roman" w:hAnsi="Times New Roman"/>
          <w:sz w:val="22"/>
          <w:szCs w:val="22"/>
          <w:color w:val="auto"/>
        </w:rPr>
        <w:t xml:space="preserve">” means a Lender Assignment Agreement,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Liquefaction Owner</w:t>
      </w:r>
      <w:r>
        <w:rPr>
          <w:rFonts w:ascii="Times New Roman" w:cs="Times New Roman" w:eastAsia="Times New Roman" w:hAnsi="Times New Roman"/>
          <w:sz w:val="22"/>
          <w:szCs w:val="22"/>
          <w:color w:val="auto"/>
        </w:rPr>
        <w:t>” means (a) the Borrower and (b) any other Person that (i) is permitted under the CFAA to construct and own the assets comprising a Train Facility, (ii) has entered into a construction advisor services agreement in respect of a Subsequent Train Facility, and (iii) has acceded to the RG Facility Agreements in accordance therewith.</w:t>
      </w:r>
    </w:p>
    <w:p>
      <w:pPr>
        <w:spacing w:after="0" w:line="166"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LNG Sales Mandatory Prepayment</w:t>
      </w:r>
      <w:r>
        <w:rPr>
          <w:rFonts w:ascii="Times New Roman" w:cs="Times New Roman" w:eastAsia="Times New Roman" w:hAnsi="Times New Roman"/>
          <w:sz w:val="22"/>
          <w:szCs w:val="22"/>
          <w:color w:val="auto"/>
        </w:rPr>
        <w:t>” means any prepayment of Senior Secured Debt in connection with an LNG Sales Mandatory Prepayment Event.</w:t>
      </w:r>
    </w:p>
    <w:p>
      <w:pPr>
        <w:spacing w:after="0" w:line="163" w:lineRule="exact"/>
        <w:rPr>
          <w:sz w:val="20"/>
          <w:szCs w:val="20"/>
          <w:color w:val="auto"/>
        </w:rPr>
      </w:pPr>
    </w:p>
    <w:p>
      <w:pPr>
        <w:jc w:val="both"/>
        <w:ind w:left="640"/>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LNG Sales Mandatory Prepayment Event</w:t>
      </w:r>
      <w:r>
        <w:rPr>
          <w:rFonts w:ascii="Times New Roman" w:cs="Times New Roman" w:eastAsia="Times New Roman" w:hAnsi="Times New Roman"/>
          <w:sz w:val="21"/>
          <w:szCs w:val="21"/>
          <w:color w:val="auto"/>
        </w:rPr>
        <w:t xml:space="preserve">” means any event triggering a mandatory prepayment or any requirement to make an offer to prepay (including any such requirement pursuant to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of Senior Secured Debt in connection with the termination of an Offtake Agreement or any Impairment of any related </w:t>
      </w:r>
      <w:r>
        <w:rPr>
          <w:rFonts w:ascii="Times New Roman" w:cs="Times New Roman" w:eastAsia="Times New Roman" w:hAnsi="Times New Roman"/>
          <w:sz w:val="21"/>
          <w:szCs w:val="21"/>
          <w:color w:val="auto"/>
          <w:strike w:val="1"/>
        </w:rPr>
        <w:t>Governmental</w:t>
      </w:r>
      <w:r>
        <w:rPr>
          <w:rFonts w:ascii="Times New Roman" w:cs="Times New Roman" w:eastAsia="Times New Roman" w:hAnsi="Times New Roman"/>
          <w:sz w:val="21"/>
          <w:szCs w:val="21"/>
          <w:u w:val="single" w:color="auto"/>
          <w:color w:val="auto"/>
        </w:rPr>
        <w:t>Government</w:t>
      </w:r>
      <w:r>
        <w:rPr>
          <w:rFonts w:ascii="Times New Roman" w:cs="Times New Roman" w:eastAsia="Times New Roman" w:hAnsi="Times New Roman"/>
          <w:sz w:val="21"/>
          <w:szCs w:val="21"/>
          <w:color w:val="auto"/>
        </w:rPr>
        <w:t xml:space="preserve"> Approval.</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Parties</w:t>
      </w:r>
      <w:r>
        <w:rPr>
          <w:rFonts w:ascii="Times New Roman" w:cs="Times New Roman" w:eastAsia="Times New Roman" w:hAnsi="Times New Roman"/>
          <w:sz w:val="22"/>
          <w:szCs w:val="22"/>
          <w:color w:val="auto"/>
        </w:rPr>
        <w:t>” means the Borrower and the Pledgor.</w:t>
      </w:r>
    </w:p>
    <w:p>
      <w:pPr>
        <w:spacing w:after="0" w:line="22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 Capital Improvements</w:t>
      </w:r>
      <w:r>
        <w:rPr>
          <w:rFonts w:ascii="Times New Roman" w:cs="Times New Roman" w:eastAsia="Times New Roman" w:hAnsi="Times New Roman"/>
          <w:sz w:val="22"/>
          <w:szCs w:val="22"/>
          <w:color w:val="auto"/>
        </w:rPr>
        <w:t>” means Capital Improvements for which the Borrower’s allocated share of costs pursuant to the CFAA is reasonably expected to be equal to or greater than $200,000,000.</w:t>
      </w:r>
    </w:p>
    <w:p>
      <w:pPr>
        <w:spacing w:after="0" w:line="13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Majority Senior Lenders</w:t>
      </w:r>
      <w:r>
        <w:rPr>
          <w:rFonts w:ascii="Times New Roman" w:cs="Times New Roman" w:eastAsia="Times New Roman" w:hAnsi="Times New Roman"/>
          <w:sz w:val="22"/>
          <w:szCs w:val="22"/>
          <w:color w:val="auto"/>
        </w:rPr>
        <w:t xml:space="preserve">” means at any time, the Senior Lenders holding in excess of 50.00% of the sum of (a) the aggregate undisbursed Senior Loan Commitments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then aggregate outstanding principal amount of the Senior Loans (excluding in each such case any Senior Lender that is a Loan Party, an Equity Owner, or an Affiliate or Controlled Subsidiary thereof or an Affiliated Lender, and each Senior Loan Commitment and any outstanding principal amount of any Senior Loan of any such Senior Lender).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Amount</w:t>
      </w:r>
      <w:r>
        <w:rPr>
          <w:rFonts w:ascii="Times New Roman" w:cs="Times New Roman" w:eastAsia="Times New Roman" w:hAnsi="Times New Roman"/>
          <w:sz w:val="22"/>
          <w:szCs w:val="22"/>
          <w:color w:val="auto"/>
        </w:rPr>
        <w:t>” means the greater of:</w:t>
      </w:r>
    </w:p>
    <w:p>
      <w:pPr>
        <w:spacing w:after="0" w:line="224" w:lineRule="exact"/>
        <w:rPr>
          <w:sz w:val="20"/>
          <w:szCs w:val="20"/>
          <w:color w:val="auto"/>
        </w:rPr>
      </w:pPr>
    </w:p>
    <w:p>
      <w:pPr>
        <w:jc w:val="both"/>
        <w:ind w:left="1280" w:hanging="634"/>
        <w:spacing w:after="0" w:line="257" w:lineRule="auto"/>
        <w:tabs>
          <w:tab w:leader="none" w:pos="1272"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sum of the present values of the remaining scheduled payments of principal and interest on the Senior Loan to be prepaid, discounted to the prepayment date (assuming the Senior Loans matured on the Par Call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2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 xml:space="preserve">Rate, plus fifty basis points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 interest accrued to, but excluding, the prepayment date; and</w:t>
      </w:r>
    </w:p>
    <w:p>
      <w:pPr>
        <w:spacing w:after="0" w:line="224" w:lineRule="exact"/>
        <w:rPr>
          <w:sz w:val="20"/>
          <w:szCs w:val="20"/>
          <w:color w:val="auto"/>
        </w:rPr>
      </w:pPr>
    </w:p>
    <w:p>
      <w:pPr>
        <w:ind w:left="1280" w:hanging="634"/>
        <w:spacing w:after="0"/>
        <w:tabs>
          <w:tab w:leader="none" w:pos="128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Senior Loan to be prepaid.</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Prepayment Confirmation Deadline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3.8(f)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Prepayment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3.8(e)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Prepayment Event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3.8(d)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Mandatory Prepayment Portion</w:t>
      </w:r>
      <w:r>
        <w:rPr>
          <w:rFonts w:ascii="Times New Roman" w:cs="Times New Roman" w:eastAsia="Times New Roman" w:hAnsi="Times New Roman"/>
          <w:sz w:val="21"/>
          <w:szCs w:val="21"/>
          <w:color w:val="auto"/>
        </w:rPr>
        <w:t>” has the meaning assigned to such term in the Collateral and Intercreditor Agreement.</w:t>
      </w:r>
    </w:p>
    <w:p>
      <w:pPr>
        <w:spacing w:after="0" w:line="231"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Project Party</w:t>
      </w:r>
      <w:r>
        <w:rPr>
          <w:rFonts w:ascii="Times New Roman" w:cs="Times New Roman" w:eastAsia="Times New Roman" w:hAnsi="Times New Roman"/>
          <w:sz w:val="22"/>
          <w:szCs w:val="22"/>
          <w:color w:val="auto"/>
        </w:rPr>
        <w:t>” means any party to a Material Project Document (other than the Borrower) and each guarantor or provider of security or credit support in respect thereof.</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Financing Facility</w:t>
      </w:r>
      <w:r>
        <w:rPr>
          <w:rFonts w:ascii="Times New Roman" w:cs="Times New Roman" w:eastAsia="Times New Roman" w:hAnsi="Times New Roman"/>
          <w:sz w:val="22"/>
          <w:szCs w:val="22"/>
          <w:color w:val="auto"/>
        </w:rPr>
        <w:t>” means any financing facility entered into at any time by a Person that is a parent of the Pledgor in connection with the Project.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Modification</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MTPA</w:t>
      </w:r>
      <w:r>
        <w:rPr>
          <w:rFonts w:ascii="Times New Roman" w:cs="Times New Roman" w:eastAsia="Times New Roman" w:hAnsi="Times New Roman"/>
          <w:sz w:val="22"/>
          <w:szCs w:val="22"/>
          <w:color w:val="auto"/>
        </w:rPr>
        <w:t>” means million metric tonnes per annum.</w:t>
      </w:r>
    </w:p>
    <w:p>
      <w:pPr>
        <w:spacing w:after="0" w:line="220"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multiemployer plan defined as such in Section 3(37) of ERISA to which contributions have been made by the Borrower or any ERISA Affiliate in the past five years and which is covered by Title IV 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ERISA.</w:t>
      </w:r>
    </w:p>
    <w:p>
      <w:pPr>
        <w:spacing w:after="0" w:line="203"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Necessary Senior Secured Debt Instrument</w:t>
      </w:r>
      <w:r>
        <w:rPr>
          <w:rFonts w:ascii="Times New Roman" w:cs="Times New Roman" w:eastAsia="Times New Roman" w:hAnsi="Times New Roman"/>
          <w:sz w:val="22"/>
          <w:szCs w:val="22"/>
          <w:color w:val="auto"/>
        </w:rPr>
        <w:t>” means any Senior Secured Debt Instrument providing for Indebtedness without which the Borrower could not reasonably expect to have sufficient funds (on the basis of all available funds, including Senior Secured Debt Commitments, cash on deposit in the P1 Construction Account or the Distribution Account, or other committed equity, and projected Contracted Revenues under the Designated Offtake Agreements) to achieve the Project Completion Date by the Date Certain.</w:t>
      </w:r>
    </w:p>
    <w:p>
      <w:pPr>
        <w:spacing w:after="0" w:line="17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Non-Debt Fund Affiliate</w:t>
      </w:r>
      <w:r>
        <w:rPr>
          <w:rFonts w:ascii="Times New Roman" w:cs="Times New Roman" w:eastAsia="Times New Roman" w:hAnsi="Times New Roman"/>
          <w:sz w:val="22"/>
          <w:szCs w:val="22"/>
          <w:color w:val="auto"/>
        </w:rPr>
        <w:t>” means any Affiliate of an Equity Owner other than (a) the Pledgor, the Borrower, or any RG Facility Entity, (b) any Debt Fund Affiliates, and (c) any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75"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Notional Amortization Period</w:t>
      </w:r>
      <w:r>
        <w:rPr>
          <w:rFonts w:ascii="Times New Roman" w:cs="Times New Roman" w:eastAsia="Times New Roman" w:hAnsi="Times New Roman"/>
          <w:sz w:val="22"/>
          <w:szCs w:val="22"/>
          <w:color w:val="auto"/>
        </w:rPr>
        <w:t>” means, beginning on the Project Completion Date, the notional twenty-year amortization period of the Senior Loans set forth in the Base Case Forecast.</w:t>
      </w:r>
    </w:p>
    <w:p>
      <w:pPr>
        <w:spacing w:after="0" w:line="149"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xml:space="preserve">” means, collectively, (a) all Indebtedness, Senior Loans, advances, debts, liabilities (including any indemnification or other obligations that survive the termination of the Financing Documents (excluding any Senior Secured Debt Instrument other than this Agreement)), and all other obligations, howsoever arising (including Guarantee obligations), in each case, owed by the Borrower to the Credit Agreement Senior Secured Parties (or any of them) of every kind and description (whether or not evidenced by any note or instrument and whether or not for the payment of money), direct or indirect, absolute or contingent, due or to become due, now existing or hereafter arising, pursuant to the terms of the Financing Documents (excluding any Senior Secured Debt Instrument other than this Agreement), (b) any and all sums reasonably advanced by any Credit Agreement Senior Secured Party in order to preserve the Collateral or preserve the security interest of the Credit Agreement Senior Secured Parties in the Collateral, and (c) in the event of any proceeding for the collection or enforcement of the obligations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after an Event of Default shall have occurred and be continuing and the Senior Loans have been accelerated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the expenses of retaking, holding, preparing for sale or lease, selling or otherwise disposing of or realizing on the Collateral, or of any exercise by the Senior Lenders of their rights under the Senior Security Documents, together with any necessary attorneys’ fees and court costs.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 Laws</w:t>
      </w:r>
      <w:r>
        <w:rPr>
          <w:rFonts w:ascii="Times New Roman" w:cs="Times New Roman" w:eastAsia="Times New Roman" w:hAnsi="Times New Roman"/>
          <w:sz w:val="22"/>
          <w:szCs w:val="22"/>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 SDN List</w:t>
      </w:r>
      <w:r>
        <w:rPr>
          <w:rFonts w:ascii="Times New Roman" w:cs="Times New Roman" w:eastAsia="Times New Roman" w:hAnsi="Times New Roman"/>
          <w:sz w:val="22"/>
          <w:szCs w:val="22"/>
          <w:color w:val="auto"/>
        </w:rPr>
        <w:t>” means the list of “Specially Designated Nationals and Blocked Persons” maintained by OFAC.</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means a certificate signed by one Authorized Officer of the Borrower, which officer must be the principal executive officer, the principal financial officer, the treasurer</w:t>
      </w:r>
      <w:r>
        <w:rPr>
          <w:rFonts w:ascii="Times New Roman" w:cs="Times New Roman" w:eastAsia="Times New Roman" w:hAnsi="Times New Roman"/>
          <w:sz w:val="22"/>
          <w:szCs w:val="22"/>
          <w:color w:val="auto"/>
          <w:strike w:val="1"/>
        </w:rPr>
        <w:t>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the principal accounting officer </w:t>
      </w:r>
      <w:r>
        <w:rPr>
          <w:rFonts w:ascii="Times New Roman" w:cs="Times New Roman" w:eastAsia="Times New Roman" w:hAnsi="Times New Roman"/>
          <w:sz w:val="22"/>
          <w:szCs w:val="22"/>
          <w:u w:val="single" w:color="auto"/>
          <w:color w:val="auto"/>
        </w:rPr>
        <w:t>or the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counsel and secretary</w:t>
      </w:r>
      <w:r>
        <w:rPr>
          <w:rFonts w:ascii="Times New Roman" w:cs="Times New Roman" w:eastAsia="Times New Roman" w:hAnsi="Times New Roman"/>
          <w:sz w:val="22"/>
          <w:szCs w:val="22"/>
          <w:color w:val="auto"/>
        </w:rPr>
        <w:t xml:space="preserve"> and, if applicable, includes:</w:t>
      </w:r>
    </w:p>
    <w:p>
      <w:pPr>
        <w:spacing w:after="0" w:line="184" w:lineRule="exact"/>
        <w:rPr>
          <w:sz w:val="20"/>
          <w:szCs w:val="20"/>
          <w:color w:val="auto"/>
        </w:rPr>
      </w:pPr>
    </w:p>
    <w:p>
      <w:pPr>
        <w:ind w:left="1280" w:hanging="634"/>
        <w:spacing w:after="0"/>
        <w:tabs>
          <w:tab w:leader="none" w:pos="128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79" w:lineRule="exact"/>
        <w:rPr>
          <w:sz w:val="20"/>
          <w:szCs w:val="20"/>
          <w:color w:val="auto"/>
        </w:rPr>
      </w:pPr>
    </w:p>
    <w:p>
      <w:pPr>
        <w:ind w:left="1280" w:hanging="634"/>
        <w:spacing w:after="0" w:line="271" w:lineRule="auto"/>
        <w:tabs>
          <w:tab w:leader="none" w:pos="127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7" w:lineRule="exact"/>
        <w:rPr>
          <w:rFonts w:ascii="Times New Roman" w:cs="Times New Roman" w:eastAsia="Times New Roman" w:hAnsi="Times New Roman"/>
          <w:sz w:val="22"/>
          <w:szCs w:val="22"/>
          <w:color w:val="auto"/>
        </w:rPr>
      </w:pPr>
    </w:p>
    <w:p>
      <w:pPr>
        <w:jc w:val="both"/>
        <w:ind w:left="1280" w:hanging="634"/>
        <w:spacing w:after="0" w:line="263" w:lineRule="auto"/>
        <w:tabs>
          <w:tab w:leader="none" w:pos="127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67" w:lineRule="exact"/>
        <w:rPr>
          <w:rFonts w:ascii="Times New Roman" w:cs="Times New Roman" w:eastAsia="Times New Roman" w:hAnsi="Times New Roman"/>
          <w:sz w:val="22"/>
          <w:szCs w:val="22"/>
          <w:color w:val="auto"/>
        </w:rPr>
      </w:pPr>
    </w:p>
    <w:p>
      <w:pPr>
        <w:ind w:left="1280" w:hanging="634"/>
        <w:spacing w:after="0" w:line="271" w:lineRule="auto"/>
        <w:tabs>
          <w:tab w:leader="none" w:pos="127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in the opinion of such Person, such condition or covenant has been complied with.</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Offtaker</w:t>
      </w:r>
      <w:r>
        <w:rPr>
          <w:rFonts w:ascii="Times New Roman" w:cs="Times New Roman" w:eastAsia="Times New Roman" w:hAnsi="Times New Roman"/>
          <w:sz w:val="22"/>
          <w:szCs w:val="22"/>
          <w:color w:val="auto"/>
        </w:rPr>
        <w:t>” means each counterparty to an Offtake Agreement (but excluding the Borrower).</w:t>
      </w:r>
    </w:p>
    <w:p>
      <w:pPr>
        <w:spacing w:after="0" w:line="2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means an opinion or opinions from legal counsel who is reasonably acceptable to the Administrative Agent. The counsel may be an employee of, or counsel to, the Borrower or to the Lenders, as applicable.</w:t>
      </w:r>
    </w:p>
    <w:p>
      <w:pPr>
        <w:spacing w:after="0" w:line="163"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the Administrative Agent, any Senior Lender or any other recipient of any payment made pursuant to any obligation of the Borrower under any Financing Document, Taxes imposed as a result of a former or present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Financing Document, or sold or assigned an interest in any Senior Loan or Financing Document).</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mean any and all present or future stamp or documentary taxes, court, intangible, recording, filing, or similar Taxes arising from any payment made under any Financing Document or from the execution, delivery or enforcement of, or otherwise with respect to, any Financing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CASA Advisor</w:t>
      </w:r>
      <w:r>
        <w:rPr>
          <w:rFonts w:ascii="Times New Roman" w:cs="Times New Roman" w:eastAsia="Times New Roman" w:hAnsi="Times New Roman"/>
          <w:sz w:val="22"/>
          <w:szCs w:val="22"/>
          <w:color w:val="auto"/>
        </w:rPr>
        <w:t>” has the meaning assigned to such term in the P1 CASA.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Collateral Agent</w:t>
      </w:r>
      <w:r>
        <w:rPr>
          <w:rFonts w:ascii="Times New Roman" w:cs="Times New Roman" w:eastAsia="Times New Roman" w:hAnsi="Times New Roman"/>
          <w:sz w:val="22"/>
          <w:szCs w:val="22"/>
          <w:color w:val="auto"/>
        </w:rPr>
        <w:t>” has the meaning assigned to such term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Common Facilities</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Construction Account</w:t>
      </w:r>
      <w:r>
        <w:rPr>
          <w:rFonts w:ascii="Times New Roman" w:cs="Times New Roman" w:eastAsia="Times New Roman" w:hAnsi="Times New Roman"/>
          <w:sz w:val="22"/>
          <w:szCs w:val="22"/>
          <w:color w:val="auto"/>
        </w:rPr>
        <w:t>” has the meaning assigned to such term in the P1 Accounts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Deed of Trust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Distribution Collateral</w:t>
      </w:r>
      <w:r>
        <w:rPr>
          <w:rFonts w:ascii="Times New Roman" w:cs="Times New Roman" w:eastAsia="Times New Roman" w:hAnsi="Times New Roman"/>
          <w:sz w:val="22"/>
          <w:szCs w:val="22"/>
          <w:color w:val="auto"/>
        </w:rPr>
        <w:t xml:space="preserve">” means a Distribution LC or a Distribution Guaranty, as the context may require, for the benefit of the P1 Collateral Agent on behalf of the Senior Lenders, the CD Senior Lenders and the TCF Senior Lenders in satisfaction of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Pledge Agreement</w:t>
      </w:r>
      <w:r>
        <w:rPr>
          <w:rFonts w:ascii="Times New Roman" w:cs="Times New Roman" w:eastAsia="Times New Roman" w:hAnsi="Times New Roman"/>
          <w:sz w:val="22"/>
          <w:szCs w:val="22"/>
          <w:color w:val="auto"/>
        </w:rPr>
        <w:t>” means the “Pledge Agreement” as defined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Pre-Completion Revenue Account</w:t>
      </w:r>
      <w:r>
        <w:rPr>
          <w:rFonts w:ascii="Times New Roman" w:cs="Times New Roman" w:eastAsia="Times New Roman" w:hAnsi="Times New Roman"/>
          <w:sz w:val="22"/>
          <w:szCs w:val="22"/>
          <w:color w:val="auto"/>
        </w:rPr>
        <w:t>” has the meaning assigned to such term in the P1 Accounts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Project Costs</w:t>
      </w:r>
      <w:r>
        <w:rPr>
          <w:rFonts w:ascii="Times New Roman" w:cs="Times New Roman" w:eastAsia="Times New Roman" w:hAnsi="Times New Roman"/>
          <w:sz w:val="22"/>
          <w:szCs w:val="22"/>
          <w:color w:val="auto"/>
        </w:rPr>
        <w:t>” has the meaning assigned to such term in the P1 Accounts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P1 Security Agreement</w:t>
      </w:r>
      <w:r>
        <w:rPr>
          <w:rFonts w:ascii="Times New Roman" w:cs="Times New Roman" w:eastAsia="Times New Roman" w:hAnsi="Times New Roman"/>
          <w:sz w:val="22"/>
          <w:szCs w:val="22"/>
          <w:color w:val="auto"/>
        </w:rPr>
        <w:t>” means the “Security Agreement” as defined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 Call Date</w:t>
      </w:r>
      <w:r>
        <w:rPr>
          <w:rFonts w:ascii="Times New Roman" w:cs="Times New Roman" w:eastAsia="Times New Roman" w:hAnsi="Times New Roman"/>
          <w:sz w:val="22"/>
          <w:szCs w:val="22"/>
          <w:color w:val="auto"/>
        </w:rPr>
        <w:t>” means April 7, 2033.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12.4(d)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has the meaning assigned to such term in the Preamble.</w:t>
      </w:r>
    </w:p>
    <w:p>
      <w:pPr>
        <w:spacing w:after="0" w:line="22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means United States Public Law 107-56, Uniting and Strengthening America by Providing Appropriate Tools Required to Intercept and Obstruct Terrorism (USA PATRIOT ACT) of 2001, and the rules and regulations promulgated thereunder from time to time in effect.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PBGC</w:t>
      </w:r>
      <w:r>
        <w:rPr>
          <w:rFonts w:ascii="Times New Roman" w:cs="Times New Roman" w:eastAsia="Times New Roman" w:hAnsi="Times New Roman"/>
          <w:sz w:val="22"/>
          <w:szCs w:val="22"/>
          <w:color w:val="auto"/>
        </w:rPr>
        <w:t>” means the Pension Benefit Guaranty Corporation established pursuant to Subtitle A of Title IV of ERISA (or any successor).</w:t>
      </w:r>
    </w:p>
    <w:p>
      <w:pPr>
        <w:spacing w:after="0" w:line="149"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Liquidated Damages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16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any “employee benefit plan” as defined in Section 3(3) of ERISA, including any “employee welfare benefit plan” (as defined in Section 3(1) of ERISA) and/or any “employee pension benefit plan” (as defined in Section 3(2) of ERISA), that is or was maintained or contributed to by the Borrower or any ERISA Affiliate.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12.11(h)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275"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Energy Company</w:t>
      </w:r>
      <w:r>
        <w:rPr>
          <w:rFonts w:ascii="Times New Roman" w:cs="Times New Roman" w:eastAsia="Times New Roman" w:hAnsi="Times New Roman"/>
          <w:sz w:val="22"/>
          <w:szCs w:val="22"/>
          <w:color w:val="auto"/>
        </w:rPr>
        <w:t>” means, to the extent satisfying the KYC Requirements, a Person: (a) (i) that is, owns, or is Controlled by, or whose ultimate parent company is, (A) an international reputable oil and gas or LNG company (integrated or non-integrated) substantially involved in the exploration, development, production or marketing of hydrocarbons, (B) a power company or utility that has not less than 5000 megawatts of power generation assets under ownership, management and operation of which at least 2500 megawatts are attributable to gas-fired power generation assets, or (C) a utility or trading company, a substantial portion of whose business involves the ownership, transportation, liquefaction, regasification or purchase, sale or trading of gas or LNG, (ii) with a tangible net worth of no less than $5,000,000,000, and (iii) that is not, or whose ultimate parent company is not, an Affiliate of any Government Authority or (b) that is, or is an Affiliate of the Sponsor or any Approved Owner.</w:t>
      </w:r>
    </w:p>
    <w:p>
      <w:pPr>
        <w:spacing w:after="0" w:line="18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Investment Entities</w:t>
      </w:r>
      <w:r>
        <w:rPr>
          <w:rFonts w:ascii="Times New Roman" w:cs="Times New Roman" w:eastAsia="Times New Roman" w:hAnsi="Times New Roman"/>
          <w:sz w:val="22"/>
          <w:szCs w:val="22"/>
          <w:color w:val="auto"/>
        </w:rPr>
        <w:t>” means, to the extent satisfying the KYC Requirements, any Person that is managed or advised by a Qualified Investment House or its Related Entities; where “advised” means being in receipt of implementing advice in relation to the management of investments of a person which (other than in relation to actually making decisions to implement such advice) is substantially the same as the services which would be provided by a fund manager of the relevant Person.</w:t>
      </w:r>
    </w:p>
    <w:p>
      <w:pPr>
        <w:spacing w:after="0" w:line="173"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Investment House</w:t>
      </w:r>
      <w:r>
        <w:rPr>
          <w:rFonts w:ascii="Times New Roman" w:cs="Times New Roman" w:eastAsia="Times New Roman" w:hAnsi="Times New Roman"/>
          <w:sz w:val="22"/>
          <w:szCs w:val="22"/>
          <w:color w:val="auto"/>
        </w:rPr>
        <w:t>” means (a) Global Infrastructure Management, LLC or (b) any other investment manager who (i) has aggregate assets under management and committed capital in excess of $10,000,000,000 and (ii) has satisfied the KYC Requirements.</w:t>
      </w:r>
    </w:p>
    <w:p>
      <w:pPr>
        <w:spacing w:after="0" w:line="161"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Manager</w:t>
      </w:r>
      <w:r>
        <w:rPr>
          <w:rFonts w:ascii="Times New Roman" w:cs="Times New Roman" w:eastAsia="Times New Roman" w:hAnsi="Times New Roman"/>
          <w:sz w:val="22"/>
          <w:szCs w:val="22"/>
          <w:color w:val="auto"/>
        </w:rPr>
        <w:t>” means an entity that (a) manages (by contract, as the manager of a limited liability company, or the general partner of a limited partnership) or advises infrastructure funds, private equity funds, pension funds, government sponsored funds or other similar funds (including publicly traded entities commonly referred to as “</w:t>
      </w:r>
      <w:r>
        <w:rPr>
          <w:rFonts w:ascii="Times New Roman" w:cs="Times New Roman" w:eastAsia="Times New Roman" w:hAnsi="Times New Roman"/>
          <w:sz w:val="22"/>
          <w:szCs w:val="22"/>
          <w:b w:val="1"/>
          <w:bCs w:val="1"/>
          <w:color w:val="auto"/>
        </w:rPr>
        <w:t>master limited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partnerships</w:t>
      </w:r>
      <w:r>
        <w:rPr>
          <w:rFonts w:ascii="Times New Roman" w:cs="Times New Roman" w:eastAsia="Times New Roman" w:hAnsi="Times New Roman"/>
          <w:sz w:val="22"/>
          <w:szCs w:val="22"/>
          <w:color w:val="auto"/>
        </w:rPr>
        <w:t>”), which collectively hold assets that in the aggregate are valued in excess of $5,000,000,000, (b)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expertise, experience, and technical resources to successfully manage the relevant managed entity’s ownership interest in the Project, and (c) satisfies the KYC Requirements. For purposes of this definition of “</w:t>
      </w:r>
      <w:r>
        <w:rPr>
          <w:rFonts w:ascii="Times New Roman" w:cs="Times New Roman" w:eastAsia="Times New Roman" w:hAnsi="Times New Roman"/>
          <w:sz w:val="22"/>
          <w:szCs w:val="22"/>
          <w:b w:val="1"/>
          <w:bCs w:val="1"/>
          <w:color w:val="auto"/>
        </w:rPr>
        <w:t>Qualified Manager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advised</w:t>
      </w:r>
      <w:r>
        <w:rPr>
          <w:rFonts w:ascii="Times New Roman" w:cs="Times New Roman" w:eastAsia="Times New Roman" w:hAnsi="Times New Roman"/>
          <w:sz w:val="22"/>
          <w:szCs w:val="22"/>
          <w:color w:val="auto"/>
        </w:rPr>
        <w:t>” means being in receipt of and implementing advice in relation to the management of investments of that person which (other than in relation to actually making decisions to implement such advice) is substantially the same as the services which would be provided by a fund manager of the relevant person.</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Mezzanine Entity</w:t>
      </w:r>
      <w:r>
        <w:rPr>
          <w:rFonts w:ascii="Times New Roman" w:cs="Times New Roman" w:eastAsia="Times New Roman" w:hAnsi="Times New Roman"/>
          <w:sz w:val="22"/>
          <w:szCs w:val="22"/>
          <w:color w:val="auto"/>
        </w:rPr>
        <w:t>” means, in connection with a foreclosure under any Mezzanine Financing Facility, a</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Person that:</w:t>
      </w:r>
    </w:p>
    <w:p>
      <w:pPr>
        <w:spacing w:after="0" w:line="196" w:lineRule="exact"/>
        <w:rPr>
          <w:sz w:val="20"/>
          <w:szCs w:val="20"/>
          <w:color w:val="auto"/>
        </w:rPr>
      </w:pPr>
    </w:p>
    <w:p>
      <w:pPr>
        <w:jc w:val="both"/>
        <w:ind w:left="1280" w:hanging="634"/>
        <w:spacing w:after="0" w:line="257" w:lineRule="auto"/>
        <w:tabs>
          <w:tab w:leader="none" w:pos="1272"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and,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279"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21"/>
          <w:szCs w:val="21"/>
          <w:color w:val="auto"/>
        </w:rPr>
        <w:t xml:space="preserve">long as the SSD Discharge Date with respect to the Senior Secured Debt under the CD Senior Notes Indenture has not occurred, a CD Indenture Rating Reaffirmation shall have occurred), (ii) either (A)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(B) Qualified Manager of any entity referred to in subpart (A) of this subpart (ii) and, in each of cases (A) and (B) acquires the relevant Equity Interests for its own account or for further disposition thereof, or (iii) a Person who receives the relevant Equity Interests through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foreclosure over the security interests granted in respect of such Mezzanine Financing Facility and such Person is (A) otherwise an Approved Owner, Qualified Investment Entity, Qualified Offtaker Investor, or Qualified Energy Company or</w:t>
      </w:r>
    </w:p>
    <w:p>
      <w:pPr>
        <w:spacing w:after="0" w:line="9" w:lineRule="exact"/>
        <w:rPr>
          <w:sz w:val="20"/>
          <w:szCs w:val="20"/>
          <w:color w:val="auto"/>
        </w:rPr>
      </w:pPr>
    </w:p>
    <w:p>
      <w:pPr>
        <w:jc w:val="both"/>
        <w:ind w:left="1280" w:firstLine="4"/>
        <w:spacing w:after="0" w:line="248" w:lineRule="auto"/>
        <w:tabs>
          <w:tab w:leader="none" w:pos="1632"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has caused </w:t>
      </w:r>
      <w:r>
        <w:rPr>
          <w:rFonts w:ascii="Times New Roman" w:cs="Times New Roman" w:eastAsia="Times New Roman" w:hAnsi="Times New Roman"/>
          <w:sz w:val="22"/>
          <w:szCs w:val="22"/>
          <w:color w:val="auto"/>
          <w:strike w:val="1"/>
        </w:rPr>
        <w:t>Kroll</w:t>
      </w:r>
      <w:r>
        <w:rPr>
          <w:rFonts w:ascii="Times New Roman" w:cs="Times New Roman" w:eastAsia="Times New Roman" w:hAnsi="Times New Roman"/>
          <w:sz w:val="22"/>
          <w:szCs w:val="22"/>
          <w:u w:val="single" w:color="auto"/>
          <w:color w:val="auto"/>
        </w:rPr>
        <w:t>any Specified Rating Agency</w:t>
      </w:r>
      <w:r>
        <w:rPr>
          <w:rFonts w:ascii="Times New Roman" w:cs="Times New Roman" w:eastAsia="Times New Roman" w:hAnsi="Times New Roman"/>
          <w:sz w:val="22"/>
          <w:szCs w:val="22"/>
          <w:color w:val="auto"/>
        </w:rPr>
        <w:t xml:space="preserve"> to provide a Rating Reaffirmation of the Senior Loans that gives effect to the acquisition, holding or control of such Equity Interests by such Person and (2) so long as the SSD Discharge Date with respect to the Senior Secured Debt under the CD Senior Notes Indenture has not occurred, a CD Indenture Rating Reaffirmation shall have occurred; and</w:t>
      </w:r>
    </w:p>
    <w:p>
      <w:pPr>
        <w:spacing w:after="0" w:line="183" w:lineRule="exact"/>
        <w:rPr>
          <w:rFonts w:ascii="Times New Roman" w:cs="Times New Roman" w:eastAsia="Times New Roman" w:hAnsi="Times New Roman"/>
          <w:sz w:val="22"/>
          <w:szCs w:val="22"/>
          <w:color w:val="auto"/>
        </w:rPr>
      </w:pPr>
    </w:p>
    <w:p>
      <w:pPr>
        <w:ind w:left="1280" w:hanging="634"/>
        <w:spacing w:after="0" w:line="284" w:lineRule="auto"/>
        <w:tabs>
          <w:tab w:leader="none" w:pos="127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is not 50% or more owned or otherwise Controlled by, and does not own or Control, a Restricted Person and satisfies the KYC Requirements.</w:t>
      </w:r>
    </w:p>
    <w:p>
      <w:pPr>
        <w:spacing w:after="0" w:line="140"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Offtake Agreement</w:t>
      </w:r>
      <w:r>
        <w:rPr>
          <w:rFonts w:ascii="Times New Roman" w:cs="Times New Roman" w:eastAsia="Times New Roman" w:hAnsi="Times New Roman"/>
          <w:sz w:val="21"/>
          <w:szCs w:val="21"/>
          <w:color w:val="auto"/>
        </w:rPr>
        <w:t>” means the Initial Offtake Agreements and any other Offtake Agreement that meets each of the following conditions: (a) such Offtake Agreement is entered into for a Qualified Term with a Qualified Offtaker;</w:t>
      </w:r>
    </w:p>
    <w:p>
      <w:pPr>
        <w:spacing w:after="0" w:line="2" w:lineRule="exact"/>
        <w:rPr>
          <w:sz w:val="20"/>
          <w:szCs w:val="20"/>
          <w:color w:val="auto"/>
        </w:rPr>
      </w:pPr>
    </w:p>
    <w:p>
      <w:pPr>
        <w:jc w:val="both"/>
        <w:ind w:left="640" w:firstLine="6"/>
        <w:spacing w:after="0" w:line="245" w:lineRule="auto"/>
        <w:tabs>
          <w:tab w:leader="none" w:pos="984"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Offtake Agreement provides for the delivery of LNG on an FOB or Delivered basis; (c) the Borrower has delivered to the Administrative Agent notice of the proposed terms of such Offtake Agreement and such terms (other than as specified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are consistent, in all material respects with (or not materially less favorable in the aggregate to the interests of the Borrower than) those set forth in any of Qualified Offtake Agreements then in effect; and (d) the execution of such Qualified Offtake Agreement and performance by the Borrower of its obligations under such Qualified Offtake Agreement shall not result in a breach of any Qualified Offtake Agreement then in effect, or any Required Export Authorization then in-effect and any additional Required Export Authorizations that are necessary in connection with the execution of such Offtake Agreement.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Offtaker</w:t>
      </w:r>
      <w:r>
        <w:rPr>
          <w:rFonts w:ascii="Times New Roman" w:cs="Times New Roman" w:eastAsia="Times New Roman" w:hAnsi="Times New Roman"/>
          <w:sz w:val="22"/>
          <w:szCs w:val="22"/>
          <w:color w:val="auto"/>
        </w:rPr>
        <w:t>” means, to the extent satisfying the Senior Lenders’ KYC Requirements:</w:t>
      </w:r>
    </w:p>
    <w:p>
      <w:pPr>
        <w:spacing w:after="0" w:line="224" w:lineRule="exact"/>
        <w:rPr>
          <w:sz w:val="20"/>
          <w:szCs w:val="20"/>
          <w:color w:val="auto"/>
        </w:rPr>
      </w:pPr>
    </w:p>
    <w:p>
      <w:pPr>
        <w:jc w:val="both"/>
        <w:ind w:left="1280" w:right="20" w:hanging="634"/>
        <w:spacing w:after="0" w:line="257" w:lineRule="auto"/>
        <w:tabs>
          <w:tab w:leader="none" w:pos="1275"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Initial Offtaker so long as, either (A) such Initial Offtaker is not required to provide credit support on the Closing Date in respect of its obligations under the Initial Offtake Agreement to which is a party or (B) such Initial Offtaker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279" w:lineRule="exact"/>
        <w:rPr>
          <w:sz w:val="20"/>
          <w:szCs w:val="20"/>
          <w:color w:val="auto"/>
        </w:rPr>
      </w:pPr>
    </w:p>
    <w:p>
      <w:pPr>
        <w:jc w:val="both"/>
        <w:ind w:left="1280"/>
        <w:spacing w:after="0" w:line="252" w:lineRule="auto"/>
        <w:rPr>
          <w:sz w:val="20"/>
          <w:szCs w:val="20"/>
          <w:color w:val="auto"/>
        </w:rPr>
      </w:pPr>
      <w:r>
        <w:rPr>
          <w:rFonts w:ascii="Times New Roman" w:cs="Times New Roman" w:eastAsia="Times New Roman" w:hAnsi="Times New Roman"/>
          <w:sz w:val="22"/>
          <w:szCs w:val="22"/>
          <w:color w:val="auto"/>
        </w:rPr>
        <w:t>entered into the applicable Designated Offtake Agreement after the Closing Date that provides for credit support requirements that are either substantially similar to those included in the applicable Initial Offtake Agreement or more favorable to the Borrower and (ii) any entity that, as of the Closing Date, provides a guaranty in respect of an Initial Offtaker’s obligations under the Initial Offtake Agreement to which it is a party;</w:t>
      </w:r>
    </w:p>
    <w:p>
      <w:pPr>
        <w:spacing w:after="0" w:line="193" w:lineRule="exact"/>
        <w:rPr>
          <w:sz w:val="20"/>
          <w:szCs w:val="20"/>
          <w:color w:val="auto"/>
        </w:rPr>
      </w:pPr>
    </w:p>
    <w:p>
      <w:pPr>
        <w:jc w:val="both"/>
        <w:ind w:left="1280" w:hanging="634"/>
        <w:spacing w:after="0" w:line="252" w:lineRule="auto"/>
        <w:tabs>
          <w:tab w:leader="none" w:pos="1278"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Offtaker under any Offtake Agreement which, as of the date it enters into the applicable Designated Offtake Agreement (or, if later, the date on which the applicable Offtake Agreement is designated as a Designated Offtake Agreement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as applicable), is, or whose obligations under such Designated Offtake Agreement are guaranteed by an entity that is, Investment Grade;</w:t>
      </w:r>
    </w:p>
    <w:p>
      <w:pPr>
        <w:spacing w:after="0" w:line="179" w:lineRule="exact"/>
        <w:rPr>
          <w:rFonts w:ascii="Times New Roman" w:cs="Times New Roman" w:eastAsia="Times New Roman" w:hAnsi="Times New Roman"/>
          <w:sz w:val="22"/>
          <w:szCs w:val="22"/>
          <w:color w:val="auto"/>
        </w:rPr>
      </w:pPr>
    </w:p>
    <w:p>
      <w:pPr>
        <w:jc w:val="both"/>
        <w:ind w:left="1280" w:hanging="634"/>
        <w:spacing w:after="0" w:line="256" w:lineRule="auto"/>
        <w:tabs>
          <w:tab w:leader="none" w:pos="127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Offtaker under any Offtake Agreement that has provided one or more (x) guarantees from a guarantor that is Investment Grade and/or (y) letters of credit issued by a Qualifying LC Issuer, that are each issued for the benefit of the Borrower in respect of its obligations under its applicable Offtake Agreement, in the case of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in an amount (in the aggregate) equal to the greater of:</w:t>
      </w:r>
    </w:p>
    <w:p>
      <w:pPr>
        <w:spacing w:after="0" w:line="176" w:lineRule="exact"/>
        <w:rPr>
          <w:rFonts w:ascii="Times New Roman" w:cs="Times New Roman" w:eastAsia="Times New Roman" w:hAnsi="Times New Roman"/>
          <w:sz w:val="22"/>
          <w:szCs w:val="22"/>
          <w:color w:val="auto"/>
        </w:rPr>
      </w:pPr>
    </w:p>
    <w:p>
      <w:pPr>
        <w:ind w:left="1920" w:hanging="636"/>
        <w:spacing w:after="0" w:line="271" w:lineRule="auto"/>
        <w:tabs>
          <w:tab w:leader="none" w:pos="191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present value of the Contracted Revenues from the applicable Designated Offtake Agreement during the remaining Qualified Term of such Designated Offtake Agreement; and</w:t>
      </w:r>
    </w:p>
    <w:p>
      <w:pPr>
        <w:spacing w:after="0" w:line="144" w:lineRule="exact"/>
        <w:rPr>
          <w:rFonts w:ascii="Times New Roman" w:cs="Times New Roman" w:eastAsia="Times New Roman" w:hAnsi="Times New Roman"/>
          <w:sz w:val="22"/>
          <w:szCs w:val="22"/>
          <w:color w:val="auto"/>
        </w:rPr>
      </w:pPr>
    </w:p>
    <w:p>
      <w:pPr>
        <w:jc w:val="both"/>
        <w:ind w:left="1920" w:hanging="636"/>
        <w:spacing w:after="0" w:line="257" w:lineRule="auto"/>
        <w:tabs>
          <w:tab w:leader="none" w:pos="191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present value of the Contracted Revenues from the applicable Designated Offtake Agreement during the lesser of (A) the succeeding seven years under such Designated Offtake Agreement and (B) the remaining term of such Designated Offtake Agreement;</w:t>
      </w:r>
    </w:p>
    <w:p>
      <w:pPr>
        <w:spacing w:after="0" w:line="159" w:lineRule="exact"/>
        <w:rPr>
          <w:rFonts w:ascii="Times New Roman" w:cs="Times New Roman" w:eastAsia="Times New Roman" w:hAnsi="Times New Roman"/>
          <w:sz w:val="22"/>
          <w:szCs w:val="22"/>
          <w:color w:val="auto"/>
        </w:rPr>
      </w:pPr>
    </w:p>
    <w:p>
      <w:pPr>
        <w:ind w:left="1280" w:hanging="634"/>
        <w:spacing w:after="0" w:line="271" w:lineRule="auto"/>
        <w:tabs>
          <w:tab w:leader="none" w:pos="127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Vitol Inc., Glencore Ltd., Trafigura Pte Ltd, Gunvor Singapore Pte Ltd, NFE North Trading, LLC, Mercuria Energy Group Ltd, Petrobras Global Trading B.V., Axpo Singapore Pte Ltd., and Litasco SA; and</w:t>
      </w:r>
    </w:p>
    <w:p>
      <w:pPr>
        <w:spacing w:after="0" w:line="171" w:lineRule="exact"/>
        <w:rPr>
          <w:rFonts w:ascii="Times New Roman" w:cs="Times New Roman" w:eastAsia="Times New Roman" w:hAnsi="Times New Roman"/>
          <w:sz w:val="22"/>
          <w:szCs w:val="22"/>
          <w:color w:val="auto"/>
        </w:rPr>
      </w:pPr>
    </w:p>
    <w:p>
      <w:pPr>
        <w:jc w:val="both"/>
        <w:ind w:left="1280" w:hanging="634"/>
        <w:spacing w:after="0" w:line="252" w:lineRule="auto"/>
        <w:tabs>
          <w:tab w:leader="none" w:pos="127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the Borrower has other Designated Offtake Agreements for at least 12.25 MTPA of ACQ with an Offtaker that satisfies the criteria set forth in any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any Offtaker that has, or whose obligations under the applicable Designated Offtake Agreement are guaranteed by an entity that has, a tangible net worth of at least $3,000,000,000 per 1.0 MTPA of ACQ.</w:t>
      </w:r>
    </w:p>
    <w:p>
      <w:pPr>
        <w:spacing w:after="0" w:line="17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Offtaker Investors</w:t>
      </w:r>
      <w:r>
        <w:rPr>
          <w:rFonts w:ascii="Times New Roman" w:cs="Times New Roman" w:eastAsia="Times New Roman" w:hAnsi="Times New Roman"/>
          <w:sz w:val="22"/>
          <w:szCs w:val="22"/>
          <w:color w:val="auto"/>
        </w:rPr>
        <w:t xml:space="preserve">” means (a) any Initial Offtaker that is not required to provide credit support on the Closing Date in respect of its obligations under the Initial Offtake Agreement to which is a party, (b) any entity that, as of the Closing Date, provides a guaranty in respect of an Initial Offtaker’s obligations under the Initial Offtake Agreement to which such Initial Offtaker is a party, (c) any entity that provides a guaranty as contemplated by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27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 xml:space="preserve">Offtaker”, (d) any entity referred to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of the definition of “Qualified Offtaker”, and (e) to the extent satisfying the Senior Lenders’ KYC Requirements, any entity that Controls any of the foregoing.</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Public Company</w:t>
      </w:r>
      <w:r>
        <w:rPr>
          <w:rFonts w:ascii="Times New Roman" w:cs="Times New Roman" w:eastAsia="Times New Roman" w:hAnsi="Times New Roman"/>
          <w:sz w:val="22"/>
          <w:szCs w:val="22"/>
          <w:color w:val="auto"/>
        </w:rPr>
        <w:t>” means any publicly listed indirect parent of the Borrower following a Qualified Public Offering, so long as following such Qualified Public Offering, no person (other than such entity, the Sponsor, the Approved Owners, Qualified Investment Entities, Qualified Offtaker Investors, Qualified Energy Companies, such publicly listed parent company following such Qualified Public Offering or any underwriter or placement agent participating in such Qualified Public Offering) or persons constituting a “group” (within the meaning of Section 13(d) of the Securities Exchange Act of 1934 or any successor provision) (excluding employee benefit plans of the Borrower or any of its Affiliates and any person or entity acting in its capacity as trustee, agent or other fiduciary or administrator of any such plan) becomes the Beneficial Owner, directly or indirectly, of more than 50% of the economic interests in the Borrower and, directly or indirectly, Controls the Borrower.</w:t>
      </w:r>
    </w:p>
    <w:p>
      <w:pPr>
        <w:spacing w:after="0" w:line="18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Public Offering</w:t>
      </w:r>
      <w:r>
        <w:rPr>
          <w:rFonts w:ascii="Times New Roman" w:cs="Times New Roman" w:eastAsia="Times New Roman" w:hAnsi="Times New Roman"/>
          <w:sz w:val="22"/>
          <w:szCs w:val="22"/>
          <w:color w:val="auto"/>
        </w:rPr>
        <w:t>” means any public offering of the Sponsor or its Affiliates with any indirect ownership interest in the Borrower or any direct or indirect shareholder of the Borrower.</w:t>
      </w:r>
    </w:p>
    <w:p>
      <w:pPr>
        <w:spacing w:after="0" w:line="149"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Term</w:t>
      </w:r>
      <w:r>
        <w:rPr>
          <w:rFonts w:ascii="Times New Roman" w:cs="Times New Roman" w:eastAsia="Times New Roman" w:hAnsi="Times New Roman"/>
          <w:sz w:val="21"/>
          <w:szCs w:val="21"/>
          <w:color w:val="auto"/>
        </w:rPr>
        <w:t>” means (a) with respect to any Designated Offtake Agreement other than a replacement Designated Offtake Agreement, the term of such Offtake Agreement used in the Base Case Forecast when determining the applicable quantum of Senior Secured Debt that could be incurred based on the revenues projected to be generated under such Offtake Agreement and (b) with respect to one or more Offtake Agreements entered into to replace any terminated Designated Offtake Agreement, (i) a term at least as long, taken as a whole, as the remaining term of the terminated Designated Offtake Agreement that such Offtake Agreement(s) are replacing or (ii) the term for such replacement Offtake Agreement(s) used in the Base Case Forecast to calculate the quantum of Senior Secured Debt required to be prepaid as a result of the terminated Designated Offtake Agreement and entry into such replacement Offtake Agreement(s).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LC Issuer</w:t>
      </w:r>
      <w:r>
        <w:rPr>
          <w:rFonts w:ascii="Times New Roman" w:cs="Times New Roman" w:eastAsia="Times New Roman" w:hAnsi="Times New Roman"/>
          <w:sz w:val="22"/>
          <w:szCs w:val="22"/>
          <w:color w:val="auto"/>
        </w:rPr>
        <w:t>” has the meaning assigned to such term in the P1 Accounts Agreement.</w:t>
      </w:r>
    </w:p>
    <w:p>
      <w:pPr>
        <w:spacing w:after="0" w:line="220" w:lineRule="exact"/>
        <w:rPr>
          <w:sz w:val="20"/>
          <w:szCs w:val="20"/>
          <w:color w:val="auto"/>
        </w:rPr>
      </w:pPr>
    </w:p>
    <w:p>
      <w:pPr>
        <w:jc w:val="both"/>
        <w:ind w:left="640"/>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Rating Reaffirmation</w:t>
      </w:r>
      <w:r>
        <w:rPr>
          <w:rFonts w:ascii="Times New Roman" w:cs="Times New Roman" w:eastAsia="Times New Roman" w:hAnsi="Times New Roman"/>
          <w:sz w:val="21"/>
          <w:szCs w:val="21"/>
          <w:color w:val="auto"/>
        </w:rPr>
        <w:t xml:space="preserve">” means, with respect to any matter under this Agreement requiring a Rating Reaffirmation, that </w:t>
      </w:r>
      <w:r>
        <w:rPr>
          <w:rFonts w:ascii="Times New Roman" w:cs="Times New Roman" w:eastAsia="Times New Roman" w:hAnsi="Times New Roman"/>
          <w:sz w:val="21"/>
          <w:szCs w:val="21"/>
          <w:color w:val="auto"/>
          <w:strike w:val="1"/>
        </w:rPr>
        <w:t>Kroll</w:t>
      </w:r>
      <w:r>
        <w:rPr>
          <w:rFonts w:ascii="Times New Roman" w:cs="Times New Roman" w:eastAsia="Times New Roman" w:hAnsi="Times New Roman"/>
          <w:sz w:val="21"/>
          <w:szCs w:val="21"/>
          <w:u w:val="single" w:color="auto"/>
          <w:color w:val="auto"/>
        </w:rPr>
        <w:t>any Specified Rating Agency</w:t>
      </w:r>
      <w:r>
        <w:rPr>
          <w:rFonts w:ascii="Times New Roman" w:cs="Times New Roman" w:eastAsia="Times New Roman" w:hAnsi="Times New Roman"/>
          <w:sz w:val="21"/>
          <w:szCs w:val="21"/>
          <w:color w:val="auto"/>
        </w:rPr>
        <w:t xml:space="preserve"> has considered the matter and confirmed that, if implemented (or if such matter is an Event of Default, if such event continued), they would reaffirm the then current rating or provide a more favorable rating.</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RCI EPC CAPEX</w:t>
      </w:r>
      <w:r>
        <w:rPr>
          <w:rFonts w:ascii="Times New Roman" w:cs="Times New Roman" w:eastAsia="Times New Roman" w:hAnsi="Times New Roman"/>
          <w:sz w:val="22"/>
          <w:szCs w:val="22"/>
          <w:color w:val="auto"/>
        </w:rPr>
        <w:t>” has the meaning assigned to such term in the Definitions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RCI Owners’ Costs</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means (a) the Administrative Agent, or (b) any Senior Lender,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Regulation U</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Regulation X</w:t>
      </w:r>
      <w:r>
        <w:rPr>
          <w:rFonts w:ascii="Times New Roman" w:cs="Times New Roman" w:eastAsia="Times New Roman" w:hAnsi="Times New Roman"/>
          <w:sz w:val="22"/>
          <w:szCs w:val="22"/>
          <w:color w:val="auto"/>
        </w:rPr>
        <w:t>” means, respectively, Regulation T, Regulation U, and Regulation X of the Board of Governors of the Federal Reserve System.</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Reinstatement Debt</w:t>
      </w:r>
      <w:r>
        <w:rPr>
          <w:rFonts w:ascii="Times New Roman" w:cs="Times New Roman" w:eastAsia="Times New Roman" w:hAnsi="Times New Roman"/>
          <w:sz w:val="21"/>
          <w:szCs w:val="21"/>
          <w:color w:val="auto"/>
        </w:rPr>
        <w:t>” means Relevering Debt that satisfies (a) the conditions set forth in Section 2.5 (</w:t>
      </w:r>
      <w:r>
        <w:rPr>
          <w:rFonts w:ascii="Times New Roman" w:cs="Times New Roman" w:eastAsia="Times New Roman" w:hAnsi="Times New Roman"/>
          <w:sz w:val="21"/>
          <w:szCs w:val="21"/>
          <w:i w:val="1"/>
          <w:iCs w:val="1"/>
          <w:color w:val="auto"/>
        </w:rPr>
        <w:t>Relevering Debt</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of the Common Terms Agreement and (b) the following conditions:</w:t>
      </w:r>
    </w:p>
    <w:p>
      <w:pPr>
        <w:spacing w:after="0" w:line="196" w:lineRule="exact"/>
        <w:rPr>
          <w:sz w:val="20"/>
          <w:szCs w:val="20"/>
          <w:color w:val="auto"/>
        </w:rPr>
      </w:pPr>
    </w:p>
    <w:p>
      <w:pPr>
        <w:ind w:left="1920" w:hanging="636"/>
        <w:spacing w:after="0"/>
        <w:tabs>
          <w:tab w:leader="none" w:pos="192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LNG Sales Mandatory Prepayment Event has occurred;</w:t>
      </w:r>
    </w:p>
    <w:p>
      <w:pPr>
        <w:spacing w:after="0" w:line="206" w:lineRule="exact"/>
        <w:rPr>
          <w:rFonts w:ascii="Times New Roman" w:cs="Times New Roman" w:eastAsia="Times New Roman" w:hAnsi="Times New Roman"/>
          <w:sz w:val="22"/>
          <w:szCs w:val="22"/>
          <w:color w:val="auto"/>
        </w:rPr>
      </w:pPr>
    </w:p>
    <w:p>
      <w:pPr>
        <w:ind w:left="1920" w:hanging="636"/>
        <w:spacing w:after="0" w:line="271" w:lineRule="auto"/>
        <w:tabs>
          <w:tab w:leader="none" w:pos="191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LNG Sales Mandatory Prepayment Event shall have been cured pursuant to each applicable Senior Secured Debt Instrument;</w:t>
      </w:r>
    </w:p>
    <w:p>
      <w:pPr>
        <w:spacing w:after="0" w:line="144" w:lineRule="exact"/>
        <w:rPr>
          <w:rFonts w:ascii="Times New Roman" w:cs="Times New Roman" w:eastAsia="Times New Roman" w:hAnsi="Times New Roman"/>
          <w:sz w:val="22"/>
          <w:szCs w:val="22"/>
          <w:color w:val="auto"/>
        </w:rPr>
      </w:pPr>
    </w:p>
    <w:p>
      <w:pPr>
        <w:jc w:val="both"/>
        <w:ind w:left="1920" w:hanging="636"/>
        <w:spacing w:after="0" w:line="257" w:lineRule="auto"/>
        <w:tabs>
          <w:tab w:leader="none" w:pos="1916"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Reinstatement Debt is incurred no later than two years after all applicable LNG Sales Mandatory Prepayments in respect of such LNG Sales Mandatory Prepayment Event have been made pursuant to the applicable Senior Secured Debt Instruments;</w:t>
      </w:r>
    </w:p>
    <w:p>
      <w:pPr>
        <w:spacing w:after="0" w:line="159" w:lineRule="exact"/>
        <w:rPr>
          <w:rFonts w:ascii="Times New Roman" w:cs="Times New Roman" w:eastAsia="Times New Roman" w:hAnsi="Times New Roman"/>
          <w:sz w:val="22"/>
          <w:szCs w:val="22"/>
          <w:color w:val="auto"/>
        </w:rPr>
      </w:pPr>
    </w:p>
    <w:p>
      <w:pPr>
        <w:jc w:val="both"/>
        <w:ind w:left="1920" w:hanging="636"/>
        <w:spacing w:after="0" w:line="250" w:lineRule="auto"/>
        <w:tabs>
          <w:tab w:leader="none" w:pos="1918"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amount of such Reinstatement Debt does not exceed: (A) the amount of such LNG Sales Mandatory Prepayment,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all premiums, fees, costs, expenses and reserves (including any incremental increase in the DSRA Reserve Amounts resulting from the incurrence of such Reinstatement Debt) associated with arranging, issuing and incurring such Reinstatement Debt,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105% of the P1 IR Hedge Termination Amounts reasonably projected as of such date of incurrence to be due and payable by the Borrower with respect to any Senior Secured IR Hedge Agreement to be terminated in connection with any such incurrence;</w:t>
      </w:r>
    </w:p>
    <w:p>
      <w:pPr>
        <w:spacing w:after="0" w:line="166" w:lineRule="exact"/>
        <w:rPr>
          <w:rFonts w:ascii="Times New Roman" w:cs="Times New Roman" w:eastAsia="Times New Roman" w:hAnsi="Times New Roman"/>
          <w:sz w:val="22"/>
          <w:szCs w:val="22"/>
          <w:color w:val="auto"/>
        </w:rPr>
      </w:pPr>
    </w:p>
    <w:p>
      <w:pPr>
        <w:jc w:val="both"/>
        <w:ind w:left="1920" w:hanging="636"/>
        <w:spacing w:after="0" w:line="249" w:lineRule="auto"/>
        <w:tabs>
          <w:tab w:leader="none" w:pos="1912"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demonstrated by delivery of an updated Base Case Forecast that all Senior Secured Debt (after taking into account the incurrence of such Reinstatement Debt) outstanding at such time is capable of amortization such that the Credit Agreement Projected DSCR commencing on the Initial Principal Payment Date and for each rolling four Fiscal Quarter period (as of the end of each Fiscal Quarter) through the Notional Amortization Period shall not be less than 1.40:1.00;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the Debt Service used to calculate the Credit Agreement Projected DSCR shall assume, if such Reinstatement Debt is incurred prior to the Project Completion Date, that all Senior Secured Debt Commitments will be fully drawn;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6644005</wp:posOffset>
            </wp:positionH>
            <wp:positionV relativeFrom="paragraph">
              <wp:posOffset>-526415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79" w:lineRule="exact"/>
        <w:rPr>
          <w:sz w:val="20"/>
          <w:szCs w:val="20"/>
          <w:color w:val="auto"/>
        </w:rPr>
      </w:pPr>
    </w:p>
    <w:p>
      <w:pPr>
        <w:jc w:val="both"/>
        <w:ind w:left="1920" w:hanging="636"/>
        <w:spacing w:after="0" w:line="266" w:lineRule="auto"/>
        <w:tabs>
          <w:tab w:leader="none" w:pos="1918"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incurrence of any Reinstatement Debt, the Borrower shall apply the proceeds of such Reinstatement Debt in the following order: (A)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 all premiums, fees, costs, expenses and reserves</w:t>
      </w:r>
    </w:p>
    <w:p>
      <w:pPr>
        <w:spacing w:after="0" w:line="2" w:lineRule="exact"/>
        <w:rPr>
          <w:sz w:val="20"/>
          <w:szCs w:val="20"/>
          <w:color w:val="auto"/>
        </w:rPr>
      </w:pPr>
    </w:p>
    <w:p>
      <w:pPr>
        <w:jc w:val="both"/>
        <w:ind w:left="1920"/>
        <w:spacing w:after="0" w:line="244" w:lineRule="auto"/>
        <w:rPr>
          <w:sz w:val="20"/>
          <w:szCs w:val="20"/>
          <w:color w:val="auto"/>
        </w:rPr>
      </w:pPr>
      <w:r>
        <w:rPr>
          <w:rFonts w:ascii="Times New Roman" w:cs="Times New Roman" w:eastAsia="Times New Roman" w:hAnsi="Times New Roman"/>
          <w:sz w:val="22"/>
          <w:szCs w:val="22"/>
          <w:color w:val="auto"/>
        </w:rPr>
        <w:t>(including any incremental increase in the DSRA Reserve Amount resulting from the incurrence of such Reinstatement Debt) associated with arranging, issuing, and incurring such Reinstatement Debt;</w:t>
      </w:r>
    </w:p>
    <w:p>
      <w:pPr>
        <w:spacing w:after="0" w:line="1" w:lineRule="exact"/>
        <w:rPr>
          <w:sz w:val="20"/>
          <w:szCs w:val="20"/>
          <w:color w:val="auto"/>
        </w:rPr>
      </w:pPr>
    </w:p>
    <w:p>
      <w:pPr>
        <w:jc w:val="both"/>
        <w:ind w:left="1920" w:firstLine="2"/>
        <w:spacing w:after="0" w:line="248" w:lineRule="auto"/>
        <w:tabs>
          <w:tab w:leader="none" w:pos="230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fund any reserves (including any incremental increase in the DSRA Reserve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resulting from the incurrence of such Reinstatement Debt; (C)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(1) pay any P1 IR Hedge Termination Amount that is or will be due and payable with respect to any Senior Secured IR Hedge Agreement to be terminated in connection with any such incurrence or (2) reserve an amount equal to 105% of the P1 IR Hedge Termination Amounts reasonably projected as of such date of incurrence to be due and payable by the Borrower with respect to any Senior Secured IR Hedge Agreement to be terminated in connection with any such incurrence; and (D)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make Distributions to the Pledgor.</w:t>
      </w:r>
    </w:p>
    <w:p>
      <w:pPr>
        <w:spacing w:after="0" w:line="15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Entity</w:t>
      </w:r>
      <w:r>
        <w:rPr>
          <w:rFonts w:ascii="Times New Roman" w:cs="Times New Roman" w:eastAsia="Times New Roman" w:hAnsi="Times New Roman"/>
          <w:sz w:val="22"/>
          <w:szCs w:val="22"/>
          <w:color w:val="auto"/>
        </w:rPr>
        <w:t>” means, with respect to any Person, any other person directly or indirectly Controlling, Controlled by or under direct or indirect common Control with such Person.</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Export Authorizations</w:t>
      </w:r>
      <w:r>
        <w:rPr>
          <w:rFonts w:ascii="Times New Roman" w:cs="Times New Roman" w:eastAsia="Times New Roman" w:hAnsi="Times New Roman"/>
          <w:sz w:val="22"/>
          <w:szCs w:val="22"/>
          <w:color w:val="auto"/>
        </w:rPr>
        <w:t>” means, with respect to each Designated Offtake Agreement at any time, the DOE Export Authorization and any other export authorization that the Borrower designates as a “Required Export Authorization” in connection with the entry into, or designation of, a Designated Offtake Agreement, in each case, to the extent that, at such time, the volumes permitted to be exported under the DOE Export Authorization or such export authorization, as the case may be, are required in order to enable the sale of such Designated Offtake Agreement’s share of the then-applicable Base Committed Quantity of LNG in accordance with the terms of such Designated Offtake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Required Rating</w:t>
      </w:r>
      <w:r>
        <w:rPr>
          <w:rFonts w:ascii="Times New Roman" w:cs="Times New Roman" w:eastAsia="Times New Roman" w:hAnsi="Times New Roman"/>
          <w:sz w:val="22"/>
          <w:szCs w:val="22"/>
          <w:u w:val="single" w:color="auto"/>
          <w:color w:val="auto"/>
        </w:rPr>
        <w:t>” means BBB by Kroll or an equivalent rating by another Specified Rating Agency.</w:t>
      </w:r>
    </w:p>
    <w:p>
      <w:pPr>
        <w:spacing w:after="0" w:line="233"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Restoration Plan</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Restoration Work</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12.28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275"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Person</w:t>
      </w:r>
      <w:r>
        <w:rPr>
          <w:rFonts w:ascii="Times New Roman" w:cs="Times New Roman" w:eastAsia="Times New Roman" w:hAnsi="Times New Roman"/>
          <w:sz w:val="22"/>
          <w:szCs w:val="22"/>
          <w:color w:val="auto"/>
        </w:rPr>
        <w:t xml:space="preserve">” means a Person that is: (a) the target of Sanctions Regulations; (b) a Canada Blocked Person; (c) a Person listed on, or acting on behalf of a Person listed on, any Sanctions List; (d) a Person located, organized, or ordinarily resident in a country, territory, or region that is, or whose government is, the target of country-wide or territory-wide comprehensive Sanctions Regulations (as of the date of this Agreement, Cuba, Iran, North Korea, Syria, the Crimea region of Ukraine, the so-called Donetsk People’s Republic, and the so-called Luhansk People’s Republic) but excluding, for the elimination of doubt, the United States; or (e) a Person owned 50% or more by or otherwise controlled by a Person or Persons, country, territory or region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40" w:right="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means, at any time, a country or territory that is itself the target of comprehensive Sanctions Regulations (as of the date of this Agreement, Cuba, Iran, Syria, North Korea, Crimea, the so-called Donetsk People’s Republic, and the so-called Luhansk People’s Republic).</w:t>
      </w:r>
    </w:p>
    <w:p>
      <w:pPr>
        <w:spacing w:after="0" w:line="18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 Authorities</w:t>
      </w:r>
      <w:r>
        <w:rPr>
          <w:rFonts w:ascii="Times New Roman" w:cs="Times New Roman" w:eastAsia="Times New Roman" w:hAnsi="Times New Roman"/>
          <w:sz w:val="22"/>
          <w:szCs w:val="22"/>
          <w:color w:val="auto"/>
        </w:rPr>
        <w:t>” means (a) the United States, (b) the United Nations (acting through the United Nations Security Council as a whole and not each individual member or member state), (c) the European Union (as a whole and not each member state), (d) the United Kingdom, (e) Canada, or (f) the respective governmental institutions and agencies of any of the foregoing, including OFAC, the United States Department of State, and HMT.</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 List</w:t>
      </w:r>
      <w:r>
        <w:rPr>
          <w:rFonts w:ascii="Times New Roman" w:cs="Times New Roman" w:eastAsia="Times New Roman" w:hAnsi="Times New Roman"/>
          <w:sz w:val="22"/>
          <w:szCs w:val="22"/>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68"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 Regulations</w:t>
      </w:r>
      <w:r>
        <w:rPr>
          <w:rFonts w:ascii="Times New Roman" w:cs="Times New Roman" w:eastAsia="Times New Roman" w:hAnsi="Times New Roman"/>
          <w:sz w:val="22"/>
          <w:szCs w:val="22"/>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61"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 treasurer or comptroller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w:t>
      </w:r>
    </w:p>
    <w:p>
      <w:pPr>
        <w:spacing w:after="0" w:line="149"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Lenders</w:t>
      </w:r>
      <w:r>
        <w:rPr>
          <w:rFonts w:ascii="Times New Roman" w:cs="Times New Roman" w:eastAsia="Times New Roman" w:hAnsi="Times New Roman"/>
          <w:sz w:val="22"/>
          <w:szCs w:val="22"/>
          <w:color w:val="auto"/>
        </w:rPr>
        <w:t xml:space="preserve">” means those Senior Lenders identified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and each other Person that acquires the rights and obligations of any such Senior Lender pursuant to </w:t>
      </w:r>
      <w:r>
        <w:rPr>
          <w:rFonts w:ascii="Times New Roman" w:cs="Times New Roman" w:eastAsia="Times New Roman" w:hAnsi="Times New Roman"/>
          <w:sz w:val="22"/>
          <w:szCs w:val="22"/>
          <w:u w:val="single" w:color="auto"/>
          <w:color w:val="auto"/>
        </w:rPr>
        <w:t>Section 12.4(b)</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w:t>
      </w:r>
      <w:r>
        <w:rPr>
          <w:rFonts w:ascii="Times New Roman" w:cs="Times New Roman" w:eastAsia="Times New Roman" w:hAnsi="Times New Roman"/>
          <w:sz w:val="22"/>
          <w:szCs w:val="22"/>
          <w:color w:val="auto"/>
        </w:rPr>
        <w:t xml:space="preserve">” means each loan made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275"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 Borrowing</w:t>
      </w:r>
      <w:r>
        <w:rPr>
          <w:rFonts w:ascii="Times New Roman" w:cs="Times New Roman" w:eastAsia="Times New Roman" w:hAnsi="Times New Roman"/>
          <w:sz w:val="22"/>
          <w:szCs w:val="22"/>
          <w:color w:val="auto"/>
        </w:rPr>
        <w:t xml:space="preserve">” means the disbursement of Senior Loans by the Senior Lenders (or the Administrative Agent on their behalf) on the Senior Loan Borrowing Date to the Borrower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 Borrowing Date</w:t>
      </w:r>
      <w:r>
        <w:rPr>
          <w:rFonts w:ascii="Times New Roman" w:cs="Times New Roman" w:eastAsia="Times New Roman" w:hAnsi="Times New Roman"/>
          <w:sz w:val="22"/>
          <w:szCs w:val="22"/>
          <w:color w:val="auto"/>
        </w:rPr>
        <w:t>” means September 15, 2023 or such other date as may be agreed to by the Senior Lenders.</w:t>
      </w:r>
    </w:p>
    <w:p>
      <w:pPr>
        <w:spacing w:after="0" w:line="163"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Loan Commitment</w:t>
      </w:r>
      <w:r>
        <w:rPr>
          <w:rFonts w:ascii="Times New Roman" w:cs="Times New Roman" w:eastAsia="Times New Roman" w:hAnsi="Times New Roman"/>
          <w:sz w:val="21"/>
          <w:szCs w:val="21"/>
          <w:color w:val="auto"/>
        </w:rPr>
        <w:t xml:space="preserve">” means, with respect to each Senior Lender, the commitment of such Senior Lender to make Senior Loans, as set forth opposite the name of such Senior Lender in the column entitled “Senior Loan Commitment” in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or if such Senior Lender has entered into one or more Lender Assignment Agreements, set forth opposite the name of such Senior Lender in the Register maintained by the Administrative Agent pursuant to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 xml:space="preserve"> as such Senior Lender’s Senior Loan Commitment, as the same may be reduced in accordance with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 Commitment Percentage</w:t>
      </w:r>
      <w:r>
        <w:rPr>
          <w:rFonts w:ascii="Times New Roman" w:cs="Times New Roman" w:eastAsia="Times New Roman" w:hAnsi="Times New Roman"/>
          <w:sz w:val="22"/>
          <w:szCs w:val="22"/>
          <w:color w:val="auto"/>
        </w:rPr>
        <w:t>” means, as to any Senior Lender at any time, the percentage that such Senior Lender’s Senior Loan Commitment then constitutes of the Aggregate Senior Loan Commitment.</w:t>
      </w:r>
    </w:p>
    <w:p>
      <w:pPr>
        <w:spacing w:after="0" w:line="13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 Debt Service Reserve Amount</w:t>
      </w:r>
      <w:r>
        <w:rPr>
          <w:rFonts w:ascii="Times New Roman" w:cs="Times New Roman" w:eastAsia="Times New Roman" w:hAnsi="Times New Roman"/>
          <w:sz w:val="22"/>
          <w:szCs w:val="22"/>
          <w:color w:val="auto"/>
        </w:rPr>
        <w:t xml:space="preserve"> ” means as of any date of determination, an amount reasonably projected by the Borrower to be the amount necessary to pay the forecasted Debt Service in respect of the Senior Loans from such date through (and including) the next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calculation of the amount specified in clause (c) of the definition of Debt Service, any final balloon payment or bullet maturity of Senior Secured Debt shall not be taken into account and instead only the equivalent of the principal payment on the immediately preceding Interest Payment Date prior to such balloon payment or bullet maturity shall be taken into account.</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 Notes</w:t>
      </w:r>
      <w:r>
        <w:rPr>
          <w:rFonts w:ascii="Times New Roman" w:cs="Times New Roman" w:eastAsia="Times New Roman" w:hAnsi="Times New Roman"/>
          <w:sz w:val="22"/>
          <w:szCs w:val="22"/>
          <w:color w:val="auto"/>
        </w:rPr>
        <w:t xml:space="preserve">” means the promissory notes of the Borrower,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evidencing Senior Loans, in each case duly executed and delivered by an Authorized Officer of the Borrower in favor of each Senior Lender, including any promissory notes issued by the Borrower in connection with assignments of any Senior Loan of the Senior Lenders, as they may be amended, restated, supplemented or otherwise modified from time to time.</w:t>
      </w:r>
    </w:p>
    <w:p>
      <w:pPr>
        <w:spacing w:after="0" w:line="168"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Loans DSRA</w:t>
      </w:r>
      <w:r>
        <w:rPr>
          <w:rFonts w:ascii="Times New Roman" w:cs="Times New Roman" w:eastAsia="Times New Roman" w:hAnsi="Times New Roman"/>
          <w:sz w:val="22"/>
          <w:szCs w:val="22"/>
          <w:color w:val="auto"/>
        </w:rPr>
        <w:t>” means the account established pursuant to Section 2.3(b) of the P1 Accounts Agreement with respect to the Borrower’s debt service reserve requirement hereunder.</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Bank Debt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Bank Debt Holder Representative</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275"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Credit Document</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149"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Creditor Representative</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16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Hedge Agreements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149"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Secured IR Hedge Agreements</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5.27(b)</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strike w:val="1"/>
        </w:rPr>
        <w:t>“Specified Rating Reaffirmation” means, with respect to any matter under this Agreement requiring a Specific Rating Reaffirmation, that any one of Moody’s, S&amp;P, Fitch, Kroll, or DBRS has considered the matter and confirmed that, if implemented (or if such matter is an Event of Default, if such event continued), they would assign or reaffirm a rating that is equivalent to the then current rating of the Senior Loans by Kroll or provide a more favorable rating.</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SSD Discharge Date</w:t>
      </w:r>
      <w:r>
        <w:rPr>
          <w:rFonts w:ascii="Times New Roman" w:cs="Times New Roman" w:eastAsia="Times New Roman" w:hAnsi="Times New Roman"/>
          <w:sz w:val="22"/>
          <w:szCs w:val="22"/>
          <w:color w:val="auto"/>
        </w:rPr>
        <w:t>” has the meaning assigned to such term in Collateral and Intercreditor Agreement.</w:t>
      </w:r>
    </w:p>
    <w:p>
      <w:pPr>
        <w:spacing w:after="0" w:line="22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Specified Rating Agency</w:t>
      </w:r>
      <w:r>
        <w:rPr>
          <w:rFonts w:ascii="Times New Roman" w:cs="Times New Roman" w:eastAsia="Times New Roman" w:hAnsi="Times New Roman"/>
          <w:sz w:val="22"/>
          <w:szCs w:val="22"/>
          <w:u w:val="single" w:color="auto"/>
          <w:color w:val="auto"/>
        </w:rPr>
        <w:t>” means Kroll, Moody’s, S&amp;P, Fitch, DBRS or such other nationally recognized rating agency as approved by the Majority Senior Lenders.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STF Development Plan</w:t>
      </w:r>
      <w:r>
        <w:rPr>
          <w:rFonts w:ascii="Times New Roman" w:cs="Times New Roman" w:eastAsia="Times New Roman" w:hAnsi="Times New Roman"/>
          <w:sz w:val="22"/>
          <w:szCs w:val="22"/>
          <w:color w:val="auto"/>
        </w:rPr>
        <w:t>” has the meaning assigned to such term in Definitions Agreement.</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Structuring Fee Letter</w:t>
      </w:r>
      <w:r>
        <w:rPr>
          <w:rFonts w:ascii="Times New Roman" w:cs="Times New Roman" w:eastAsia="Times New Roman" w:hAnsi="Times New Roman"/>
          <w:sz w:val="22"/>
          <w:szCs w:val="22"/>
          <w:color w:val="auto"/>
        </w:rPr>
        <w:t>” means the Structuring Fee Letter dated as of the date hereof, between the Borrower and the Senior Lenders.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Subsequent Train Facility</w:t>
      </w:r>
      <w:r>
        <w:rPr>
          <w:rFonts w:ascii="Times New Roman" w:cs="Times New Roman" w:eastAsia="Times New Roman" w:hAnsi="Times New Roman"/>
          <w:sz w:val="22"/>
          <w:szCs w:val="22"/>
          <w:color w:val="auto"/>
        </w:rPr>
        <w:t>” has the meaning assigned to such term in the Definitions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Train 1</w:t>
      </w:r>
      <w:r>
        <w:rPr>
          <w:rFonts w:ascii="Times New Roman" w:cs="Times New Roman" w:eastAsia="Times New Roman" w:hAnsi="Times New Roman"/>
          <w:sz w:val="22"/>
          <w:szCs w:val="22"/>
          <w:color w:val="auto"/>
        </w:rPr>
        <w:t>” has the meaning assigned to such term in the T1/T2 EPC Contract.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Train 2</w:t>
      </w:r>
      <w:r>
        <w:rPr>
          <w:rFonts w:ascii="Times New Roman" w:cs="Times New Roman" w:eastAsia="Times New Roman" w:hAnsi="Times New Roman"/>
          <w:sz w:val="22"/>
          <w:szCs w:val="22"/>
          <w:color w:val="auto"/>
        </w:rPr>
        <w:t>” has the meaning assigned to such term in the T1/T2 EPC Contract.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Train 3</w:t>
      </w:r>
      <w:r>
        <w:rPr>
          <w:rFonts w:ascii="Times New Roman" w:cs="Times New Roman" w:eastAsia="Times New Roman" w:hAnsi="Times New Roman"/>
          <w:sz w:val="22"/>
          <w:szCs w:val="22"/>
          <w:color w:val="auto"/>
        </w:rPr>
        <w:t>” has the meaning assigned to such term in the T3 EPC Contract.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Train Facility</w:t>
      </w:r>
      <w:r>
        <w:rPr>
          <w:rFonts w:ascii="Times New Roman" w:cs="Times New Roman" w:eastAsia="Times New Roman" w:hAnsi="Times New Roman"/>
          <w:sz w:val="22"/>
          <w:szCs w:val="22"/>
          <w:color w:val="auto"/>
        </w:rPr>
        <w:t>” has the meaning assigned to such term in the Definitions Agreement.</w:t>
      </w:r>
    </w:p>
    <w:p>
      <w:pPr>
        <w:spacing w:after="0" w:line="220"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prepayment date, the yield determined by the Borrower in accordance with the following two paragraphs.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2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Treasury Rate shall be determined by the Borrower after 4:15 p.m., New York City time (or after such time as yields on U.S. government securities are posted daily by the Board of Governors of the Federal Reserve System), on the third Business Day preceding the prepayment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2"/>
          <w:szCs w:val="22"/>
          <w:b w:val="1"/>
          <w:bCs w:val="1"/>
          <w:color w:val="auto"/>
        </w:rPr>
        <w:t>H.15</w:t>
      </w:r>
      <w:r>
        <w:rPr>
          <w:rFonts w:ascii="Times New Roman" w:cs="Times New Roman" w:eastAsia="Times New Roman" w:hAnsi="Times New Roman"/>
          <w:sz w:val="22"/>
          <w:szCs w:val="22"/>
          <w:color w:val="auto"/>
        </w:rPr>
        <w:t>”) under the caption “U.S. government securities–Treasury constant maturities–Nominal” (or any successor caption or heading) (“</w:t>
      </w:r>
      <w:r>
        <w:rPr>
          <w:rFonts w:ascii="Times New Roman" w:cs="Times New Roman" w:eastAsia="Times New Roman" w:hAnsi="Times New Roman"/>
          <w:sz w:val="22"/>
          <w:szCs w:val="22"/>
          <w:b w:val="1"/>
          <w:bCs w:val="1"/>
          <w:color w:val="auto"/>
        </w:rPr>
        <w:t>H.15 TCM</w:t>
      </w:r>
      <w:r>
        <w:rPr>
          <w:rFonts w:ascii="Times New Roman" w:cs="Times New Roman" w:eastAsia="Times New Roman" w:hAnsi="Times New Roman"/>
          <w:sz w:val="22"/>
          <w:szCs w:val="22"/>
          <w:color w:val="auto"/>
        </w:rPr>
        <w:t>”). In determining the Treasury Rate, the Borrower shall select, as applicable: (a) the yield for the Treasury constant maturity on H.15 exactly equal to the period from the prepayment date to the Par Call Date (the “</w:t>
      </w:r>
      <w:r>
        <w:rPr>
          <w:rFonts w:ascii="Times New Roman" w:cs="Times New Roman" w:eastAsia="Times New Roman" w:hAnsi="Times New Roman"/>
          <w:sz w:val="22"/>
          <w:szCs w:val="22"/>
          <w:b w:val="1"/>
          <w:bCs w:val="1"/>
          <w:color w:val="auto"/>
        </w:rPr>
        <w:t>Remaining Life</w:t>
      </w:r>
      <w:r>
        <w:rPr>
          <w:rFonts w:ascii="Times New Roman" w:cs="Times New Roman" w:eastAsia="Times New Roman" w:hAnsi="Times New Roman"/>
          <w:sz w:val="22"/>
          <w:szCs w:val="22"/>
          <w:color w:val="auto"/>
        </w:rPr>
        <w:t>”);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prepayment date.</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If on the third Business Day preceding the prepayment date H.15 TCM is no longer published, the Borrower shall calculate the Treasury Rate based on the rate per annum equal to the semi-annual equivalent yield to maturity at 11:00 a.m., New York City time, on the second Business Day preceding such prepayment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Borrower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Borrower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means a “United States person” as defined in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Plan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4.2(g)(ii)(B)(3)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9"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Unmatured Credit Agreement LNG Sales Mandatory Prepayment Event</w:t>
      </w:r>
      <w:r>
        <w:rPr>
          <w:rFonts w:ascii="Times New Roman" w:cs="Times New Roman" w:eastAsia="Times New Roman" w:hAnsi="Times New Roman"/>
          <w:sz w:val="22"/>
          <w:szCs w:val="22"/>
          <w:color w:val="auto"/>
        </w:rPr>
        <w:t>” means an event that, with the lapse of a cure period, would become a Credit Agreement LNG Sales Mandatory Prepayment Event.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Voluntary Equity Contributions</w:t>
      </w:r>
      <w:r>
        <w:rPr>
          <w:rFonts w:ascii="Times New Roman" w:cs="Times New Roman" w:eastAsia="Times New Roman" w:hAnsi="Times New Roman"/>
          <w:sz w:val="22"/>
          <w:szCs w:val="22"/>
          <w:color w:val="auto"/>
        </w:rPr>
        <w:t>” has the meaning assigned to such term in the P1 Equity Contribution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has the meaning assigned to such term in the Collateral and Intercreditor Agreement.</w:t>
      </w:r>
    </w:p>
    <w:p>
      <w:pPr>
        <w:spacing w:after="0" w:line="220" w:lineRule="exact"/>
        <w:rPr>
          <w:sz w:val="20"/>
          <w:szCs w:val="20"/>
          <w:color w:val="auto"/>
        </w:rPr>
      </w:pPr>
    </w:p>
    <w:p>
      <w:pPr>
        <w:jc w:val="both"/>
        <w:ind w:left="6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Withholding Agent</w:t>
      </w:r>
      <w:r>
        <w:rPr>
          <w:rFonts w:ascii="Times New Roman" w:cs="Times New Roman" w:eastAsia="Times New Roman" w:hAnsi="Times New Roman"/>
          <w:sz w:val="22"/>
          <w:szCs w:val="22"/>
          <w:color w:val="auto"/>
        </w:rPr>
        <w:t>” means the Borrower, the Administrative Agent and the P1 Collateral Agent.</w:t>
      </w:r>
    </w:p>
    <w:p>
      <w:pPr>
        <w:spacing w:after="0" w:line="220"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|US-DOCS\143711048.26||</w:t>
      </w:r>
    </w:p>
    <w:p>
      <w:pPr>
        <w:sectPr>
          <w:pgSz w:w="11900" w:h="16838" w:orient="portrait"/>
          <w:cols w:equalWidth="0" w:num="1">
            <w:col w:w="11240"/>
          </w:cols>
          <w:pgMar w:left="320" w:top="1440"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40" w:right="300"/>
        <w:spacing w:after="0" w:line="253"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EC00112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SC0077</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8, 2024</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TITLE: STUDY – E-1751 A/B – UNEXPECTED FUEL GAS CONTAMINATION MITIGATION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jc w:val="both"/>
        <w:ind w:left="140" w:right="360"/>
        <w:spacing w:after="0" w:line="258" w:lineRule="auto"/>
        <w:rPr>
          <w:sz w:val="20"/>
          <w:szCs w:val="20"/>
          <w:color w:val="auto"/>
        </w:rPr>
      </w:pPr>
      <w:r>
        <w:rPr>
          <w:rFonts w:ascii="Times New Roman" w:cs="Times New Roman" w:eastAsia="Times New Roman" w:hAnsi="Times New Roman"/>
          <w:sz w:val="18"/>
          <w:szCs w:val="18"/>
          <w:color w:val="auto"/>
        </w:rPr>
        <w:t>Gulf Coast LNG facilities are intermittently experiencing contaminants including high levels of heavy hydrocarbons. In the event RGLNG feed gas contains heavy hydrocarbons, fines or other contaminants to an extent greater than that defined by Attachment A, Schedule A-2 (Basis of Design) there is a risk of freezing in the Heavies Removal Unit (Unit 17), most likely in E-1751 A/B. With the current process configuration (1 x 100% Printed Circuit Heat Exchanger) if freezing and plugged flow does occur it will impact plant performance and remedial action will likely require an unplanned plant shutdown.</w:t>
      </w:r>
    </w:p>
    <w:p>
      <w:pPr>
        <w:spacing w:after="0" w:line="75" w:lineRule="exact"/>
        <w:rPr>
          <w:sz w:val="20"/>
          <w:szCs w:val="20"/>
          <w:color w:val="auto"/>
        </w:rPr>
      </w:pPr>
    </w:p>
    <w:p>
      <w:pPr>
        <w:jc w:val="both"/>
        <w:ind w:left="140" w:right="360"/>
        <w:spacing w:after="0" w:line="266" w:lineRule="auto"/>
        <w:rPr>
          <w:sz w:val="20"/>
          <w:szCs w:val="20"/>
          <w:color w:val="auto"/>
        </w:rPr>
      </w:pPr>
      <w:r>
        <w:rPr>
          <w:rFonts w:ascii="Times New Roman" w:cs="Times New Roman" w:eastAsia="Times New Roman" w:hAnsi="Times New Roman"/>
          <w:sz w:val="18"/>
          <w:szCs w:val="18"/>
          <w:color w:val="auto"/>
        </w:rPr>
        <w:t>Contractor is to perform an engineering study to investigate design mitigation measures for unexpected contaminants in the RGLNG feed gas over its operating life. The study will be performed in accordance with the requirements of the attached “E-1751 A/B Unexpected Contamination - Mitigation Study Scope of Work” (RG-NTD-000-PE-SOW- 00004) which is redlined as agreed upon between Owner and Contractor.</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12" w:lineRule="exact"/>
        <w:rPr>
          <w:sz w:val="20"/>
          <w:szCs w:val="20"/>
          <w:color w:val="auto"/>
        </w:rPr>
      </w:pPr>
    </w:p>
    <w:p>
      <w:pPr>
        <w:ind w:left="500" w:right="680" w:hanging="326"/>
        <w:spacing w:after="0" w:line="286" w:lineRule="auto"/>
        <w:tabs>
          <w:tab w:leader="none" w:pos="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2 to this Change Order.</w:t>
      </w:r>
    </w:p>
    <w:p>
      <w:pPr>
        <w:spacing w:after="0" w:line="46" w:lineRule="exact"/>
        <w:rPr>
          <w:rFonts w:ascii="Times New Roman" w:cs="Times New Roman" w:eastAsia="Times New Roman" w:hAnsi="Times New Roman"/>
          <w:sz w:val="18"/>
          <w:szCs w:val="18"/>
          <w:color w:val="auto"/>
        </w:rPr>
      </w:pPr>
    </w:p>
    <w:p>
      <w:pPr>
        <w:ind w:left="500" w:right="940" w:hanging="326"/>
        <w:spacing w:after="0" w:line="286" w:lineRule="auto"/>
        <w:tabs>
          <w:tab w:leader="none" w:pos="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3 to this Change Order.</w:t>
      </w:r>
    </w:p>
    <w:p>
      <w:pPr>
        <w:spacing w:after="0" w:line="46" w:lineRule="exact"/>
        <w:rPr>
          <w:rFonts w:ascii="Times New Roman" w:cs="Times New Roman" w:eastAsia="Times New Roman" w:hAnsi="Times New Roman"/>
          <w:sz w:val="18"/>
          <w:szCs w:val="18"/>
          <w:color w:val="auto"/>
        </w:rPr>
      </w:pPr>
    </w:p>
    <w:p>
      <w:pPr>
        <w:ind w:left="500" w:hanging="326"/>
        <w:spacing w:after="0"/>
        <w:tabs>
          <w:tab w:leader="none" w:pos="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shall be updated per the Schedule C-3 as provided in Attachment 4 to this Change Order.</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17" w:lineRule="exact"/>
        <w:rPr>
          <w:sz w:val="20"/>
          <w:szCs w:val="20"/>
          <w:color w:val="auto"/>
        </w:rPr>
      </w:pPr>
    </w:p>
    <w:p>
      <w:pPr>
        <w:ind w:left="780" w:right="640" w:hanging="323"/>
        <w:spacing w:after="0" w:line="261" w:lineRule="auto"/>
        <w:tabs>
          <w:tab w:leader="none" w:pos="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E-1751 A/B Unexpected Contamination - Mitigation Study Scope of Work (RG-NTD-000- PE-SOW-00004, Rev. 00) as redlined</w:t>
      </w:r>
    </w:p>
    <w:p>
      <w:pPr>
        <w:ind w:left="780" w:hanging="323"/>
        <w:spacing w:after="0"/>
        <w:tabs>
          <w:tab w:leader="none" w:pos="7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Appendix 1 (Contract Price Breakdown), as updated by this Change Order</w:t>
      </w:r>
    </w:p>
    <w:p>
      <w:pPr>
        <w:spacing w:after="0" w:line="9" w:lineRule="exact"/>
        <w:rPr>
          <w:rFonts w:ascii="Times New Roman" w:cs="Times New Roman" w:eastAsia="Times New Roman" w:hAnsi="Times New Roman"/>
          <w:sz w:val="18"/>
          <w:szCs w:val="18"/>
          <w:color w:val="auto"/>
        </w:rPr>
      </w:pPr>
    </w:p>
    <w:p>
      <w:pPr>
        <w:ind w:left="780" w:hanging="323"/>
        <w:spacing w:after="0"/>
        <w:tabs>
          <w:tab w:leader="none" w:pos="7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Schedule C-2 (Payment Milestones), as updated by this Change Order</w:t>
      </w:r>
    </w:p>
    <w:p>
      <w:pPr>
        <w:spacing w:after="0" w:line="9" w:lineRule="exact"/>
        <w:rPr>
          <w:rFonts w:ascii="Times New Roman" w:cs="Times New Roman" w:eastAsia="Times New Roman" w:hAnsi="Times New Roman"/>
          <w:sz w:val="18"/>
          <w:szCs w:val="18"/>
          <w:color w:val="auto"/>
        </w:rPr>
      </w:pPr>
    </w:p>
    <w:p>
      <w:pPr>
        <w:ind w:left="780" w:hanging="323"/>
        <w:spacing w:after="0"/>
        <w:tabs>
          <w:tab w:leader="none" w:pos="7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Schedule C-3 (Maximum Cumulative Payment Schedule), as updated by this Change Order</w:t>
      </w:r>
    </w:p>
    <w:p>
      <w:pPr>
        <w:sectPr>
          <w:pgSz w:w="11900" w:h="16838" w:orient="portrait"/>
          <w:cols w:equalWidth="0" w:num="1">
            <w:col w:w="11240"/>
          </w:cols>
          <w:pgMar w:left="320" w:top="347" w:right="3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38"/>
        </w:trPr>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83"/>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$ 523,650,854</w:t>
            </w:r>
          </w:p>
        </w:tc>
      </w:tr>
      <w:tr>
        <w:trPr>
          <w:trHeight w:val="196"/>
        </w:trPr>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9"/>
          </w:tcPr>
          <w:p>
            <w:pPr>
              <w:ind w:left="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$9,181,930,854</w:t>
            </w: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8"/>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3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234"/>
        </w:trPr>
        <w:tc>
          <w:tcPr>
            <w:tcW w:w="32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6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r>
      <w:tr>
        <w:trPr>
          <w:trHeight w:val="212"/>
        </w:trPr>
        <w:tc>
          <w:tcPr>
            <w:tcW w:w="32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r>
      <w:tr>
        <w:trPr>
          <w:trHeight w:val="194"/>
        </w:trPr>
        <w:tc>
          <w:tcPr>
            <w:tcW w:w="320" w:type="dxa"/>
            <w:vAlign w:val="bottom"/>
          </w:tcPr>
          <w:p>
            <w:pPr>
              <w:spacing w:after="0"/>
              <w:rPr>
                <w:sz w:val="16"/>
                <w:szCs w:val="16"/>
                <w:color w:val="auto"/>
              </w:rPr>
            </w:pPr>
          </w:p>
        </w:tc>
        <w:tc>
          <w:tcPr>
            <w:tcW w:w="5220" w:type="dxa"/>
            <w:vAlign w:val="bottom"/>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  342,300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1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$ 9,182,273,154</w:t>
            </w:r>
          </w:p>
        </w:tc>
      </w:tr>
      <w:tr>
        <w:trPr>
          <w:trHeight w:val="20"/>
        </w:trPr>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817880</wp:posOffset>
            </wp:positionV>
            <wp:extent cx="65919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Key Dates that are modified by this Change Order using the format set forth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3.</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w:t>
      </w:r>
    </w:p>
    <w:p>
      <w:pPr>
        <w:spacing w:after="0" w:line="1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Performance Guarantees: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Basis of Design: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hanging="7"/>
        <w:spacing w:after="0" w:line="286"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b w:val="1"/>
          <w:bCs w:val="1"/>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b w:val="1"/>
          <w:bCs w:val="1"/>
          <w:u w:val="single" w:color="auto"/>
          <w:color w:val="auto"/>
        </w:rPr>
        <w:t>AT</w:t>
      </w:r>
      <w:r>
        <w:rPr>
          <w:rFonts w:ascii="Times New Roman" w:cs="Times New Roman" w:eastAsia="Times New Roman" w:hAnsi="Times New Roman"/>
          <w:sz w:val="18"/>
          <w:szCs w:val="18"/>
          <w:color w:val="auto"/>
        </w:rPr>
        <w:t xml:space="preserve"> Owner</w:t>
      </w:r>
    </w:p>
    <w:p>
      <w:pPr>
        <w:spacing w:after="0" w:line="46" w:lineRule="exact"/>
        <w:rPr>
          <w:rFonts w:ascii="Times New Roman" w:cs="Times New Roman" w:eastAsia="Times New Roman" w:hAnsi="Times New Roman"/>
          <w:sz w:val="18"/>
          <w:szCs w:val="18"/>
          <w:color w:val="auto"/>
        </w:rPr>
      </w:pPr>
    </w:p>
    <w:p>
      <w:pPr>
        <w:jc w:val="both"/>
        <w:ind w:left="140" w:firstLine="3"/>
        <w:spacing w:after="0" w:line="268"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1240"/>
          </w:cols>
          <w:pgMar w:left="320" w:top="1359" w:right="339" w:bottom="1440" w:gutter="0" w:footer="0" w:header="0"/>
        </w:sectPr>
      </w:pPr>
    </w:p>
    <w:bookmarkStart w:id="329" w:name="page330"/>
    <w:bookmarkEnd w:id="329"/>
    <w:p>
      <w:pPr>
        <w:spacing w:after="0" w:line="24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original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20"/>
          </w:cols>
          <w:pgMar w:left="340" w:top="1440" w:right="339" w:bottom="1440" w:gutter="0" w:footer="0" w:header="0"/>
        </w:sect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97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22885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00" w:space="720"/>
            <w:col w:w="5500"/>
          </w:cols>
          <w:pgMar w:left="340" w:top="1440" w:right="339" w:bottom="1440" w:gutter="0" w:footer="0" w:header="0"/>
          <w:type w:val="continuous"/>
        </w:sectPr>
      </w:pPr>
    </w:p>
    <w:bookmarkStart w:id="330" w:name="page331"/>
    <w:bookmarkEnd w:id="330"/>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0880"/>
          </w:cols>
          <w:pgMar w:left="320" w:top="1188" w:right="699" w:bottom="1440" w:gutter="0" w:footer="0" w:header="0"/>
        </w:sectPr>
      </w:pPr>
    </w:p>
    <w:p>
      <w:pPr>
        <w:spacing w:after="0" w:line="275"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SC0079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2024</w:t>
      </w:r>
    </w:p>
    <w:p>
      <w:pPr>
        <w:spacing w:after="0" w:line="542" w:lineRule="exact"/>
        <w:rPr>
          <w:sz w:val="20"/>
          <w:szCs w:val="20"/>
          <w:color w:val="auto"/>
        </w:rPr>
      </w:pPr>
    </w:p>
    <w:p>
      <w:pPr>
        <w:sectPr>
          <w:pgSz w:w="11900" w:h="16838" w:orient="portrait"/>
          <w:cols w:equalWidth="0" w:num="2">
            <w:col w:w="5100" w:space="420"/>
            <w:col w:w="5360"/>
          </w:cols>
          <w:pgMar w:left="320" w:top="1188" w:right="6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TITLE: GT MODIFICATIONS - ENCLOSURE ROOF, EXHAUST LINER, AND SUPPORTS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25400</wp:posOffset>
            </wp:positionV>
            <wp:extent cx="67036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92" w:lineRule="exact"/>
        <w:rPr>
          <w:sz w:val="20"/>
          <w:szCs w:val="20"/>
          <w:color w:val="auto"/>
        </w:rPr>
      </w:pPr>
    </w:p>
    <w:p>
      <w:pPr>
        <w:ind w:left="140" w:right="15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To reduce turnaround times for certain required maintenance activities associated with the gas turbine drivers, modifications to the gas turbine enclosure, exhaust plenum internal liner, and turbine supports can be made to facilitate removal and replacement of the Baker Hughes provided gas turbine as a single unit. The modifications by Baker Hughes (Subcontractor) are described in Attachment 1 (Scope of Modifications to the Baker Hughes Provided Equipment) to this Change Order.</w:t>
      </w:r>
    </w:p>
    <w:p>
      <w:pPr>
        <w:spacing w:after="0" w:line="7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This Change Order does not include any follow-up work to evaluate feasibility nor implement changes to other scope including bridge crane, compressor shelter structure analysis or design (including modifications to the compressor shelter roof), nor any mechanical handling study or RAM study to perform the removal of turbine assembly. This Change Order does not address whether the balance of the design under Contractor’s scope will support the removal of the Baker Hughes gas turbine as a single unit and whether such will be practicable. Any other scope changes required to facilitate removal and replacement of the Baker Hughes gas turbine as a single unit may be captured in a future Change Order.</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ind w:left="460" w:right="2640" w:hanging="326"/>
        <w:spacing w:after="0" w:line="378" w:lineRule="auto"/>
        <w:tabs>
          <w:tab w:leader="none" w:pos="44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Attachment A, Schedule A-2 (Basis of Design), Section 8.5 (Liquefaction and Refrigeration (Unit 14)); </w:t>
      </w:r>
      <w:r>
        <w:rPr>
          <w:rFonts w:ascii="Times New Roman" w:cs="Times New Roman" w:eastAsia="Times New Roman" w:hAnsi="Times New Roman"/>
          <w:sz w:val="18"/>
          <w:szCs w:val="18"/>
          <w:color w:val="auto"/>
        </w:rPr>
        <w:t>paragraph 2 shall be revised as indicated [***]</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6" w:lineRule="exact"/>
        <w:rPr>
          <w:sz w:val="20"/>
          <w:szCs w:val="20"/>
          <w:color w:val="auto"/>
        </w:rPr>
      </w:pPr>
    </w:p>
    <w:p>
      <w:pPr>
        <w:ind w:left="780" w:hanging="322"/>
        <w:spacing w:after="0"/>
        <w:tabs>
          <w:tab w:leader="none" w:pos="7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Scope of Modifications to the Baker Hughes Provided Equipment.</w:t>
      </w:r>
    </w:p>
    <w:p>
      <w:pPr>
        <w:sectPr>
          <w:pgSz w:w="11900" w:h="16838" w:orient="portrait"/>
          <w:cols w:equalWidth="0" w:num="1">
            <w:col w:w="10880"/>
          </w:cols>
          <w:pgMar w:left="320" w:top="1188" w:right="699" w:bottom="1440" w:gutter="0" w:footer="0" w:header="0"/>
          <w:type w:val="continuous"/>
        </w:sectPr>
      </w:pPr>
    </w:p>
    <w:bookmarkStart w:id="331" w:name="page332"/>
    <w:bookmarkEnd w:id="331"/>
    <w:tbl>
      <w:tblPr>
        <w:tblLayout w:type="fixed"/>
        <w:tblInd w:w="0" w:type="dxa"/>
        <w:tblCellMar>
          <w:top w:w="0" w:type="dxa"/>
          <w:left w:w="0" w:type="dxa"/>
          <w:bottom w:w="0" w:type="dxa"/>
          <w:right w:w="0" w:type="dxa"/>
        </w:tblCellMar>
      </w:tblPr>
      <w:tr>
        <w:trPr>
          <w:trHeight w:val="207"/>
        </w:trPr>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12"/>
          </w:tcPr>
          <w:p>
            <w:pPr>
              <w:ind w:left="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600" w:type="dxa"/>
            <w:vAlign w:val="bottom"/>
            <w:gridSpan w:val="5"/>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$ 523,993,154</w:t>
            </w:r>
          </w:p>
        </w:tc>
        <w:tc>
          <w:tcPr>
            <w:tcW w:w="0" w:type="dxa"/>
            <w:vAlign w:val="bottom"/>
          </w:tcPr>
          <w:p>
            <w:pPr>
              <w:spacing w:after="0" w:line="20" w:lineRule="exact"/>
              <w:rPr>
                <w:sz w:val="1"/>
                <w:szCs w:val="1"/>
                <w:color w:val="auto"/>
              </w:rPr>
            </w:pPr>
          </w:p>
        </w:tc>
      </w:tr>
      <w:tr>
        <w:trPr>
          <w:trHeight w:val="183"/>
        </w:trPr>
        <w:tc>
          <w:tcPr>
            <w:tcW w:w="320" w:type="dxa"/>
            <w:vAlign w:val="bottom"/>
            <w:vMerge w:val="continue"/>
          </w:tcPr>
          <w:p>
            <w:pPr>
              <w:spacing w:after="0"/>
              <w:rPr>
                <w:sz w:val="15"/>
                <w:szCs w:val="15"/>
                <w:color w:val="auto"/>
              </w:rPr>
            </w:pPr>
          </w:p>
        </w:tc>
        <w:tc>
          <w:tcPr>
            <w:tcW w:w="2600" w:type="dxa"/>
            <w:vAlign w:val="bottom"/>
            <w:gridSpan w:val="5"/>
            <w:vMerge w:val="continue"/>
          </w:tcPr>
          <w:p>
            <w:pPr>
              <w:spacing w:after="0"/>
              <w:rPr>
                <w:sz w:val="15"/>
                <w:szCs w:val="15"/>
                <w:color w:val="auto"/>
              </w:rPr>
            </w:pPr>
          </w:p>
        </w:tc>
        <w:tc>
          <w:tcPr>
            <w:tcW w:w="2620" w:type="dxa"/>
            <w:vAlign w:val="bottom"/>
            <w:gridSpan w:val="7"/>
          </w:tcPr>
          <w:p>
            <w:pPr>
              <w:ind w:left="140"/>
              <w:spacing w:after="0" w:line="182" w:lineRule="exact"/>
              <w:rPr>
                <w:sz w:val="20"/>
                <w:szCs w:val="20"/>
                <w:color w:val="auto"/>
              </w:rPr>
            </w:pPr>
            <w:r>
              <w:rPr>
                <w:rFonts w:ascii="Times New Roman" w:cs="Times New Roman" w:eastAsia="Times New Roman" w:hAnsi="Times New Roman"/>
                <w:sz w:val="18"/>
                <w:szCs w:val="18"/>
                <w:color w:val="auto"/>
              </w:rPr>
              <w:t>Change Orders (See Appendix 1)</w:t>
            </w: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1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$ 9,182,273,154</w:t>
            </w: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gridSpan w:val="4"/>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w w:val="80"/>
              </w:rPr>
              <w:t>Order</w:t>
            </w:r>
          </w:p>
        </w:tc>
        <w:tc>
          <w:tcPr>
            <w:tcW w:w="0" w:type="dxa"/>
            <w:vAlign w:val="bottom"/>
          </w:tcPr>
          <w:p>
            <w:pPr>
              <w:spacing w:after="0" w:line="20" w:lineRule="exact"/>
              <w:rPr>
                <w:sz w:val="1"/>
                <w:szCs w:val="1"/>
                <w:color w:val="auto"/>
              </w:rPr>
            </w:pPr>
          </w:p>
        </w:tc>
      </w:tr>
      <w:tr>
        <w:trPr>
          <w:trHeight w:val="191"/>
        </w:trPr>
        <w:tc>
          <w:tcPr>
            <w:tcW w:w="320" w:type="dxa"/>
            <w:vAlign w:val="bottom"/>
            <w:vMerge w:val="continue"/>
          </w:tcPr>
          <w:p>
            <w:pPr>
              <w:spacing w:after="0"/>
              <w:rPr>
                <w:sz w:val="16"/>
                <w:szCs w:val="16"/>
                <w:color w:val="auto"/>
              </w:rPr>
            </w:pPr>
          </w:p>
        </w:tc>
        <w:tc>
          <w:tcPr>
            <w:tcW w:w="5020" w:type="dxa"/>
            <w:vAlign w:val="bottom"/>
            <w:gridSpan w:val="11"/>
          </w:tcPr>
          <w:p>
            <w:pPr>
              <w:ind w:left="40"/>
              <w:spacing w:after="0" w:line="191"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w:t>
            </w:r>
          </w:p>
        </w:tc>
        <w:tc>
          <w:tcPr>
            <w:tcW w:w="13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15"/>
          </w:tcPr>
          <w:p>
            <w:pPr>
              <w:ind w:left="4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15"/>
          </w:tcPr>
          <w:p>
            <w:pPr>
              <w:ind w:left="40"/>
              <w:spacing w:after="0" w:line="191"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100" w:type="dxa"/>
            <w:vAlign w:val="bottom"/>
            <w:gridSpan w:val="6"/>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15"/>
          </w:tcPr>
          <w:p>
            <w:pPr>
              <w:ind w:left="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$ 9,182,273,154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234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Key Dates that are modified by this Change Order using the format set forth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 Payment Schedule: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Yes, refer to Schedule A-2, section 8.5 as redlined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firstLine="6"/>
        <w:spacing w:after="0" w:line="286" w:lineRule="auto"/>
        <w:tabs>
          <w:tab w:leader="none" w:pos="6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b w:val="1"/>
          <w:bCs w:val="1"/>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b w:val="1"/>
          <w:bCs w:val="1"/>
          <w:u w:val="single" w:color="auto"/>
          <w:color w:val="auto"/>
        </w:rPr>
        <w:t>AT</w:t>
      </w:r>
      <w:r>
        <w:rPr>
          <w:rFonts w:ascii="Times New Roman" w:cs="Times New Roman" w:eastAsia="Times New Roman" w:hAnsi="Times New Roman"/>
          <w:sz w:val="18"/>
          <w:szCs w:val="18"/>
          <w:color w:val="auto"/>
        </w:rPr>
        <w:t xml:space="preserve"> Owner</w:t>
      </w:r>
    </w:p>
    <w:p>
      <w:pPr>
        <w:spacing w:after="0" w:line="397" w:lineRule="exact"/>
        <w:rPr>
          <w:rFonts w:ascii="Times New Roman" w:cs="Times New Roman" w:eastAsia="Times New Roman" w:hAnsi="Times New Roman"/>
          <w:sz w:val="18"/>
          <w:szCs w:val="18"/>
          <w:color w:val="auto"/>
        </w:rPr>
      </w:pPr>
    </w:p>
    <w:p>
      <w:pPr>
        <w:jc w:val="both"/>
        <w:ind w:firstLine="16"/>
        <w:spacing w:after="0" w:line="268" w:lineRule="auto"/>
        <w:tabs>
          <w:tab w:leader="none" w:pos="63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1240"/>
          </w:cols>
          <w:pgMar w:left="320" w:top="1345" w:right="339" w:bottom="1440" w:gutter="0" w:footer="0" w:header="0"/>
        </w:sectPr>
      </w:pPr>
    </w:p>
    <w:bookmarkStart w:id="332" w:name="page333"/>
    <w:bookmarkEnd w:id="332"/>
    <w:p>
      <w:pPr>
        <w:spacing w:after="0" w:line="32"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0860"/>
          </w:cols>
          <w:pgMar w:left="340" w:top="1440" w:right="6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97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2288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00" w:space="720"/>
            <w:col w:w="5140"/>
          </w:cols>
          <w:pgMar w:left="340" w:top="1440" w:right="699" w:bottom="1440" w:gutter="0" w:footer="0" w:header="0"/>
          <w:type w:val="continuous"/>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EC00106</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SC0070</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02, 2024</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TITLE: CAPITAL SPARE PARTS TRUE-UP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25400</wp:posOffset>
            </wp:positionV>
            <wp:extent cx="6266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16" w:lineRule="exact"/>
        <w:rPr>
          <w:sz w:val="20"/>
          <w:szCs w:val="20"/>
          <w:color w:val="auto"/>
        </w:rPr>
      </w:pPr>
    </w:p>
    <w:p>
      <w:pPr>
        <w:jc w:val="both"/>
        <w:ind w:left="140" w:right="3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Attachment W (Spare Parts List), when purchase orders are placed by Contractor, the estimated values in Schedule W-1 (Capital Spare Parts List (Priced)) will be replaced by the awarded values. To be consistent with the original calculation of the estimated values, Owner and Contractor have agreed to define awarded value as the sum of the spare part value as awarded to the supplier, a [***]% adder to each spare part, and a [***]% transportation and logistics fee to each spare part.</w:t>
      </w:r>
    </w:p>
    <w:p>
      <w:pPr>
        <w:spacing w:after="0" w:line="207" w:lineRule="exact"/>
        <w:rPr>
          <w:sz w:val="20"/>
          <w:szCs w:val="20"/>
          <w:color w:val="auto"/>
        </w:rPr>
      </w:pPr>
    </w:p>
    <w:p>
      <w:pPr>
        <w:jc w:val="both"/>
        <w:ind w:left="140" w:right="340"/>
        <w:spacing w:after="0" w:line="282" w:lineRule="auto"/>
        <w:rPr>
          <w:sz w:val="20"/>
          <w:szCs w:val="20"/>
          <w:color w:val="auto"/>
        </w:rPr>
      </w:pPr>
      <w:r>
        <w:rPr>
          <w:rFonts w:ascii="Times New Roman" w:cs="Times New Roman" w:eastAsia="Times New Roman" w:hAnsi="Times New Roman"/>
          <w:sz w:val="18"/>
          <w:szCs w:val="18"/>
          <w:color w:val="auto"/>
        </w:rPr>
        <w:t>Contractor has placed the Capital Spare Parts purchase orders for the Equipment listed in Table 1 (Capital Spare Parts Pricing Differential) below and respectively Schedule W-1 shall be updated as provided in Attachment 1 to this Change Order.</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Table 1 – Capital Spare Parts Pricing Differential</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sz w:val="20"/>
          <w:szCs w:val="20"/>
          <w:color w:val="auto"/>
        </w:rPr>
      </w:pPr>
    </w:p>
    <w:p>
      <w:pPr>
        <w:ind w:left="780" w:right="480" w:hanging="322"/>
        <w:spacing w:after="0" w:line="286" w:lineRule="auto"/>
        <w:tabs>
          <w:tab w:leader="none" w:pos="7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W, Schedule W-1 (Capital Spares List (Priced))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W-1 as provided in Attachment 1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w:t>
      </w:r>
    </w:p>
    <w:p>
      <w:pPr>
        <w:spacing w:after="0" w:line="46" w:lineRule="exact"/>
        <w:rPr>
          <w:rFonts w:ascii="Times New Roman" w:cs="Times New Roman" w:eastAsia="Times New Roman" w:hAnsi="Times New Roman"/>
          <w:sz w:val="18"/>
          <w:szCs w:val="18"/>
          <w:color w:val="auto"/>
        </w:rPr>
      </w:pPr>
    </w:p>
    <w:p>
      <w:pPr>
        <w:ind w:left="780" w:right="380" w:hanging="322"/>
        <w:spacing w:after="0" w:line="286" w:lineRule="auto"/>
        <w:tabs>
          <w:tab w:leader="none" w:pos="7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2 to this Change Order.</w:t>
      </w:r>
    </w:p>
    <w:p>
      <w:pPr>
        <w:spacing w:after="0" w:line="46" w:lineRule="exact"/>
        <w:rPr>
          <w:rFonts w:ascii="Times New Roman" w:cs="Times New Roman" w:eastAsia="Times New Roman" w:hAnsi="Times New Roman"/>
          <w:sz w:val="18"/>
          <w:szCs w:val="18"/>
          <w:color w:val="auto"/>
        </w:rPr>
      </w:pPr>
    </w:p>
    <w:p>
      <w:pPr>
        <w:ind w:left="780" w:right="360" w:hanging="322"/>
        <w:spacing w:after="0" w:line="286" w:lineRule="auto"/>
        <w:tabs>
          <w:tab w:leader="none" w:pos="7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C-2 Payment Milestones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3 to this Change Order.</w:t>
      </w:r>
    </w:p>
    <w:p>
      <w:pPr>
        <w:spacing w:after="0" w:line="46" w:lineRule="exact"/>
        <w:rPr>
          <w:rFonts w:ascii="Times New Roman" w:cs="Times New Roman" w:eastAsia="Times New Roman" w:hAnsi="Times New Roman"/>
          <w:sz w:val="18"/>
          <w:szCs w:val="18"/>
          <w:color w:val="auto"/>
        </w:rPr>
      </w:pPr>
    </w:p>
    <w:p>
      <w:pPr>
        <w:ind w:left="780" w:right="20" w:hanging="322"/>
        <w:spacing w:after="0" w:line="286" w:lineRule="auto"/>
        <w:tabs>
          <w:tab w:leader="none" w:pos="7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C-3 as provided in Attachment 4 to this Change Order.</w:t>
      </w:r>
    </w:p>
    <w:p>
      <w:pPr>
        <w:spacing w:after="0" w:line="46"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LL, Section 5 (Spare 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deleted in its entirety and replaced with the following:</w:t>
      </w:r>
    </w:p>
    <w:p>
      <w:pPr>
        <w:spacing w:after="0" w:line="121"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Upon issue by Contractor of each relevant purchase order for the Spare Parts listed in Schedule LL-1 – Category C below, Contractor shall provide Owner with evidence of the actual price for each such Spare Part.</w:t>
      </w:r>
    </w:p>
    <w:p>
      <w:pPr>
        <w:sectPr>
          <w:pgSz w:w="11900" w:h="16838" w:orient="portrait"/>
          <w:cols w:equalWidth="0" w:num="1">
            <w:col w:w="11220"/>
          </w:cols>
          <w:pgMar w:left="320" w:top="1094" w:right="3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 w:lineRule="exact"/>
        <w:rPr>
          <w:sz w:val="20"/>
          <w:szCs w:val="20"/>
          <w:color w:val="auto"/>
        </w:rPr>
      </w:pPr>
    </w:p>
    <w:p>
      <w:pPr>
        <w:ind w:left="780" w:hanging="322"/>
        <w:spacing w:after="0"/>
        <w:tabs>
          <w:tab w:leader="none" w:pos="7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Attachment W, Schedule W-1 (Capital Spares List (Priced)), as updated by this Change Order</w:t>
      </w:r>
    </w:p>
    <w:p>
      <w:pPr>
        <w:spacing w:after="0" w:line="7" w:lineRule="exact"/>
        <w:rPr>
          <w:rFonts w:ascii="Times New Roman" w:cs="Times New Roman" w:eastAsia="Times New Roman" w:hAnsi="Times New Roman"/>
          <w:sz w:val="18"/>
          <w:szCs w:val="18"/>
          <w:color w:val="auto"/>
        </w:rPr>
      </w:pPr>
    </w:p>
    <w:p>
      <w:pPr>
        <w:ind w:left="780" w:hanging="322"/>
        <w:spacing w:after="0"/>
        <w:tabs>
          <w:tab w:leader="none" w:pos="7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Appendix 1 (Contract Price Breakdown), as updated by this Change Order</w:t>
      </w:r>
    </w:p>
    <w:p>
      <w:pPr>
        <w:spacing w:after="0" w:line="22" w:lineRule="exact"/>
        <w:rPr>
          <w:rFonts w:ascii="Times New Roman" w:cs="Times New Roman" w:eastAsia="Times New Roman" w:hAnsi="Times New Roman"/>
          <w:sz w:val="18"/>
          <w:szCs w:val="18"/>
          <w:color w:val="auto"/>
        </w:rPr>
      </w:pPr>
    </w:p>
    <w:p>
      <w:pPr>
        <w:ind w:left="780" w:hanging="323"/>
        <w:spacing w:after="0"/>
        <w:tabs>
          <w:tab w:leader="none" w:pos="7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Schedule C-2 (Payment Milestones), as updated by this Change Order</w:t>
      </w:r>
    </w:p>
    <w:p>
      <w:pPr>
        <w:spacing w:after="0" w:line="9" w:lineRule="exact"/>
        <w:rPr>
          <w:rFonts w:ascii="Times New Roman" w:cs="Times New Roman" w:eastAsia="Times New Roman" w:hAnsi="Times New Roman"/>
          <w:sz w:val="18"/>
          <w:szCs w:val="18"/>
          <w:color w:val="auto"/>
        </w:rPr>
      </w:pPr>
    </w:p>
    <w:p>
      <w:pPr>
        <w:ind w:left="780" w:hanging="323"/>
        <w:spacing w:after="0"/>
        <w:tabs>
          <w:tab w:leader="none" w:pos="7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Schedule C-3 (Maximum Cumulative Payment Schedule), as updated by this Change Order</w:t>
      </w:r>
    </w:p>
    <w:p>
      <w:pPr>
        <w:spacing w:after="0" w:line="9" w:lineRule="exact"/>
        <w:rPr>
          <w:rFonts w:ascii="Times New Roman" w:cs="Times New Roman" w:eastAsia="Times New Roman" w:hAnsi="Times New Roman"/>
          <w:sz w:val="18"/>
          <w:szCs w:val="18"/>
          <w:color w:val="auto"/>
        </w:rPr>
      </w:pPr>
    </w:p>
    <w:p>
      <w:pPr>
        <w:ind w:left="780" w:hanging="322"/>
        <w:spacing w:after="0"/>
        <w:tabs>
          <w:tab w:leader="none" w:pos="7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5 – Confirmation Letters of the Awarded Capital Spare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57150</wp:posOffset>
            </wp:positionV>
            <wp:extent cx="69862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4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4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00" w:type="dxa"/>
            <w:vAlign w:val="bottom"/>
            <w:gridSpan w:val="9"/>
          </w:tcPr>
          <w:p>
            <w:pPr>
              <w:ind w:left="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300" w:type="dxa"/>
            <w:vAlign w:val="bottom"/>
            <w:gridSpan w:val="9"/>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$ 523,993,154</w:t>
            </w:r>
          </w:p>
        </w:tc>
      </w:tr>
      <w:tr>
        <w:trPr>
          <w:trHeight w:val="183"/>
        </w:trPr>
        <w:tc>
          <w:tcPr>
            <w:tcW w:w="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300" w:type="dxa"/>
            <w:vAlign w:val="bottom"/>
            <w:gridSpan w:val="9"/>
          </w:tcPr>
          <w:p>
            <w:pPr>
              <w:ind w:left="4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$9,182,273,154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4)</w:t>
            </w:r>
          </w:p>
        </w:tc>
        <w:tc>
          <w:tcPr>
            <w:tcW w:w="5300" w:type="dxa"/>
            <w:vAlign w:val="bottom"/>
            <w:gridSpan w:val="9"/>
          </w:tcPr>
          <w:p>
            <w:pPr>
              <w:ind w:left="4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3"/>
        </w:trPr>
        <w:tc>
          <w:tcPr>
            <w:tcW w:w="1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5)</w:t>
            </w:r>
          </w:p>
        </w:tc>
        <w:tc>
          <w:tcPr>
            <w:tcW w:w="6360" w:type="dxa"/>
            <w:vAlign w:val="bottom"/>
            <w:gridSpan w:val="12"/>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r>
      <w:tr>
        <w:trPr>
          <w:trHeight w:val="194"/>
        </w:trPr>
        <w:tc>
          <w:tcPr>
            <w:tcW w:w="180" w:type="dxa"/>
            <w:vAlign w:val="bottom"/>
          </w:tcPr>
          <w:p>
            <w:pPr>
              <w:spacing w:after="0"/>
              <w:rPr>
                <w:sz w:val="16"/>
                <w:szCs w:val="16"/>
                <w:color w:val="auto"/>
              </w:rPr>
            </w:pPr>
          </w:p>
        </w:tc>
        <w:tc>
          <w:tcPr>
            <w:tcW w:w="5300" w:type="dxa"/>
            <w:vAlign w:val="bottom"/>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  10,389,919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360" w:type="dxa"/>
            <w:vAlign w:val="bottom"/>
            <w:gridSpan w:val="1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$ 9,192,663,073</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140" w:right="436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ind w:left="14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2" w:lineRule="exact"/>
        <w:rPr>
          <w:sz w:val="20"/>
          <w:szCs w:val="20"/>
          <w:color w:val="auto"/>
        </w:rPr>
      </w:pPr>
    </w:p>
    <w:p>
      <w:pPr>
        <w:ind w:left="14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 Milestones) is updated as provided in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Attachment 3. </w:t>
      </w:r>
      <w:r>
        <w:rPr>
          <w:rFonts w:ascii="Times New Roman" w:cs="Times New Roman" w:eastAsia="Times New Roman" w:hAnsi="Times New Roman"/>
          <w:sz w:val="18"/>
          <w:szCs w:val="18"/>
          <w:b w:val="1"/>
          <w:bCs w:val="1"/>
          <w:color w:val="auto"/>
        </w:rPr>
        <w:t>Impact on Maximum Cumulative Payment Schedule:</w:t>
      </w:r>
    </w:p>
    <w:p>
      <w:pPr>
        <w:spacing w:after="0" w:line="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Schedule C-3 (Maximum Cumulative Payment Schedule) is updated as provided in Attachment 4. Impact on Minimum Acceptance Criteria: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pacing w:after="0" w:line="121" w:lineRule="exact"/>
        <w:rPr>
          <w:sz w:val="20"/>
          <w:szCs w:val="20"/>
          <w:color w:val="auto"/>
        </w:rPr>
      </w:pPr>
    </w:p>
    <w:p>
      <w:pPr>
        <w:ind w:left="140" w:right="40"/>
        <w:spacing w:after="0" w:line="282" w:lineRule="auto"/>
        <w:rPr>
          <w:sz w:val="20"/>
          <w:szCs w:val="20"/>
          <w:color w:val="auto"/>
        </w:rPr>
      </w:pPr>
      <w:r>
        <w:rPr>
          <w:rFonts w:ascii="Times New Roman" w:cs="Times New Roman" w:eastAsia="Times New Roman" w:hAnsi="Times New Roman"/>
          <w:sz w:val="18"/>
          <w:szCs w:val="18"/>
          <w:color w:val="auto"/>
        </w:rPr>
        <w:t>Impact on the Total Reimbursement Amount: The Total Reimbursement Amount is changed from 71,861,912 to 71,997,795, an incremental increase of $135,883.</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right="200" w:hanging="9"/>
        <w:spacing w:after="0" w:line="286" w:lineRule="auto"/>
        <w:tabs>
          <w:tab w:leader="none" w:pos="65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b w:val="1"/>
          <w:bCs w:val="1"/>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b w:val="1"/>
          <w:bCs w:val="1"/>
          <w:u w:val="single" w:color="auto"/>
          <w:color w:val="auto"/>
        </w:rPr>
        <w:t>AT</w:t>
      </w:r>
      <w:r>
        <w:rPr>
          <w:rFonts w:ascii="Times New Roman" w:cs="Times New Roman" w:eastAsia="Times New Roman" w:hAnsi="Times New Roman"/>
          <w:sz w:val="18"/>
          <w:szCs w:val="18"/>
          <w:color w:val="auto"/>
        </w:rPr>
        <w:t xml:space="preserve"> Owner</w:t>
      </w:r>
    </w:p>
    <w:p>
      <w:pPr>
        <w:spacing w:after="0" w:line="181" w:lineRule="exact"/>
        <w:rPr>
          <w:rFonts w:ascii="Times New Roman" w:cs="Times New Roman" w:eastAsia="Times New Roman" w:hAnsi="Times New Roman"/>
          <w:sz w:val="18"/>
          <w:szCs w:val="18"/>
          <w:color w:val="auto"/>
        </w:rPr>
      </w:pPr>
    </w:p>
    <w:p>
      <w:pPr>
        <w:jc w:val="both"/>
        <w:ind w:left="140" w:right="200" w:firstLine="1"/>
        <w:spacing w:after="0" w:line="268" w:lineRule="auto"/>
        <w:tabs>
          <w:tab w:leader="none" w:pos="703" w:val="left"/>
        </w:tabs>
        <w:numPr>
          <w:ilvl w:val="0"/>
          <w:numId w:val="35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1080"/>
          </w:cols>
          <w:pgMar w:left="320" w:top="1026" w:right="499" w:bottom="1440" w:gutter="0" w:footer="0" w:header="0"/>
        </w:sectPr>
      </w:pPr>
    </w:p>
    <w:bookmarkStart w:id="335" w:name="page336"/>
    <w:bookmarkEnd w:id="335"/>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0860"/>
          </w:cols>
          <w:pgMar w:left="340" w:top="1093" w:right="6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974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2288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00" w:space="720"/>
            <w:col w:w="5140"/>
          </w:cols>
          <w:pgMar w:left="340" w:top="1093" w:right="699" w:bottom="1440" w:gutter="0" w:footer="0" w:header="0"/>
          <w:type w:val="continuous"/>
        </w:sectPr>
      </w:pPr>
    </w:p>
    <w:bookmarkStart w:id="336" w:name="page337"/>
    <w:bookmarkEnd w:id="336"/>
    <w:p>
      <w:pPr>
        <w:spacing w:after="0" w:line="196" w:lineRule="auto"/>
        <w:framePr w:w="2560" w:h="160" w:wrap="auto" w:vAnchor="page" w:hAnchor="page" w:x="820" w:y="3476"/>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00" w:h="160" w:wrap="auto" w:vAnchor="page" w:hAnchor="page" w:x="820" w:y="405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96" w:lineRule="auto"/>
        <w:framePr w:w="4920" w:h="160" w:wrap="auto" w:vAnchor="page" w:hAnchor="page" w:x="820" w:y="228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218" w:lineRule="auto"/>
        <w:framePr w:w="4520" w:h="376" w:wrap="auto" w:vAnchor="page" w:hAnchor="page" w:x="820" w:y="266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27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Owner EC Number: EC00150</w:t>
      </w:r>
    </w:p>
    <w:p>
      <w:pPr>
        <w:spacing w:after="0" w:line="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Contractor Change Number SC0083</w:t>
      </w:r>
    </w:p>
    <w:p>
      <w:pPr>
        <w:spacing w:after="0" w:line="149"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520"/>
        <w:spacing w:after="0"/>
        <w:rPr>
          <w:sz w:val="20"/>
          <w:szCs w:val="20"/>
          <w:color w:val="auto"/>
        </w:rPr>
      </w:pPr>
      <w:r>
        <w:rPr>
          <w:rFonts w:ascii="Times New Roman" w:cs="Times New Roman" w:eastAsia="Times New Roman" w:hAnsi="Times New Roman"/>
          <w:sz w:val="18"/>
          <w:szCs w:val="18"/>
          <w:color w:val="auto"/>
        </w:rPr>
        <w:t>May 10,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TITLE: ATTACHMENT KK - CURRENT INDEX VALUE UPDATES FOR Q1-2024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23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06" w:lineRule="exact"/>
        <w:rPr>
          <w:rFonts w:ascii="Times New Roman" w:cs="Times New Roman" w:eastAsia="Times New Roman" w:hAnsi="Times New Roman"/>
          <w:sz w:val="18"/>
          <w:szCs w:val="18"/>
          <w:color w:val="auto"/>
        </w:rPr>
      </w:pPr>
    </w:p>
    <w:p>
      <w:pPr>
        <w:ind w:right="2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BACKGROUND</w:t>
      </w: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Q1-2024 are:</w:t>
      </w:r>
    </w:p>
    <w:p>
      <w:pPr>
        <w:spacing w:after="0" w:line="72"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STEEL BAR (REBAR)</w:t>
      </w:r>
    </w:p>
    <w:p>
      <w:pPr>
        <w:spacing w:after="0" w:line="27"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9"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9"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FABRICATED STRUCTURAL STEEL</w:t>
      </w:r>
    </w:p>
    <w:p>
      <w:pPr>
        <w:spacing w:after="0" w:line="9"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spacing w:after="0" w:line="9"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AND CABLE (COPPER)</w:t>
      </w:r>
    </w:p>
    <w:p>
      <w:pPr>
        <w:spacing w:after="0" w:line="9"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33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117" w:lineRule="exact"/>
        <w:rPr>
          <w:rFonts w:ascii="Times New Roman" w:cs="Times New Roman" w:eastAsia="Times New Roman" w:hAnsi="Times New Roman"/>
          <w:sz w:val="18"/>
          <w:szCs w:val="18"/>
          <w:color w:val="auto"/>
        </w:rPr>
      </w:pPr>
    </w:p>
    <w:p>
      <w:pPr>
        <w:ind w:left="500" w:right="20" w:hanging="326"/>
        <w:spacing w:after="0" w:line="286" w:lineRule="auto"/>
        <w:tabs>
          <w:tab w:leader="none" w:pos="5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Amended Appendix 1 (Commodity Price Rise and Fall Calculation) as provided in Attachment 1 to this Change Order.</w:t>
      </w:r>
    </w:p>
    <w:p>
      <w:pPr>
        <w:spacing w:after="0" w:line="46" w:lineRule="exact"/>
        <w:rPr>
          <w:rFonts w:ascii="Times New Roman" w:cs="Times New Roman" w:eastAsia="Times New Roman" w:hAnsi="Times New Roman"/>
          <w:sz w:val="18"/>
          <w:szCs w:val="18"/>
          <w:color w:val="auto"/>
        </w:rPr>
      </w:pPr>
    </w:p>
    <w:p>
      <w:pPr>
        <w:ind w:left="500" w:hanging="326"/>
        <w:spacing w:after="0" w:line="286" w:lineRule="auto"/>
        <w:tabs>
          <w:tab w:leader="none" w:pos="5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2 to this Change Order.</w:t>
      </w:r>
    </w:p>
    <w:p>
      <w:pPr>
        <w:spacing w:after="0" w:line="46" w:lineRule="exact"/>
        <w:rPr>
          <w:rFonts w:ascii="Times New Roman" w:cs="Times New Roman" w:eastAsia="Times New Roman" w:hAnsi="Times New Roman"/>
          <w:sz w:val="18"/>
          <w:szCs w:val="18"/>
          <w:color w:val="auto"/>
        </w:rPr>
      </w:pPr>
    </w:p>
    <w:p>
      <w:pPr>
        <w:ind w:left="500" w:hanging="326"/>
        <w:spacing w:after="0" w:line="286" w:lineRule="auto"/>
        <w:tabs>
          <w:tab w:leader="none" w:pos="5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3 to this Change Order.</w:t>
      </w:r>
    </w:p>
    <w:p>
      <w:pPr>
        <w:spacing w:after="0" w:line="46" w:lineRule="exact"/>
        <w:rPr>
          <w:rFonts w:ascii="Times New Roman" w:cs="Times New Roman" w:eastAsia="Times New Roman" w:hAnsi="Times New Roman"/>
          <w:sz w:val="18"/>
          <w:szCs w:val="18"/>
          <w:color w:val="auto"/>
        </w:rPr>
      </w:pPr>
    </w:p>
    <w:p>
      <w:pPr>
        <w:ind w:left="500" w:right="2780" w:hanging="326"/>
        <w:spacing w:after="0" w:line="375" w:lineRule="auto"/>
        <w:tabs>
          <w:tab w:leader="none" w:pos="5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4 to this Change Order.</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21" w:lineRule="exact"/>
        <w:rPr>
          <w:rFonts w:ascii="Times New Roman" w:cs="Times New Roman" w:eastAsia="Times New Roman" w:hAnsi="Times New Roman"/>
          <w:sz w:val="18"/>
          <w:szCs w:val="18"/>
          <w:color w:val="auto"/>
        </w:rPr>
      </w:pPr>
    </w:p>
    <w:p>
      <w:pPr>
        <w:ind w:left="420" w:right="300" w:hanging="412"/>
        <w:spacing w:after="0" w:line="254" w:lineRule="auto"/>
        <w:tabs>
          <w:tab w:leader="none" w:pos="41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ind w:left="400" w:hanging="392"/>
        <w:spacing w:after="0" w:line="203" w:lineRule="auto"/>
        <w:tabs>
          <w:tab w:leader="none" w:pos="4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Appendix 1 (Contract Price Breakdown), as updated by this Change Order</w:t>
      </w:r>
    </w:p>
    <w:p>
      <w:pPr>
        <w:ind w:left="400" w:hanging="392"/>
        <w:spacing w:after="0" w:line="203" w:lineRule="auto"/>
        <w:tabs>
          <w:tab w:leader="none" w:pos="4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C-2 (Payment Milestones), as updated by this Change Order</w:t>
      </w:r>
    </w:p>
    <w:p>
      <w:pPr>
        <w:ind w:left="420" w:right="220" w:hanging="412"/>
        <w:spacing w:after="0" w:line="211" w:lineRule="auto"/>
        <w:tabs>
          <w:tab w:leader="none" w:pos="41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Attachment C, First Amended Schedule C-3 (Maximum Cumulative Payment Schedule), as updated by this Change Order.</w:t>
      </w:r>
    </w:p>
    <w:p>
      <w:pPr>
        <w:ind w:left="400" w:hanging="392"/>
        <w:spacing w:after="0"/>
        <w:tabs>
          <w:tab w:leader="none" w:pos="4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5 - Contract Price Adjustment Calculation</w:t>
      </w:r>
    </w:p>
    <w:p>
      <w:pPr>
        <w:sectPr>
          <w:pgSz w:w="11900" w:h="16838" w:orient="portrait"/>
          <w:cols w:equalWidth="0" w:num="1">
            <w:col w:w="11240"/>
          </w:cols>
          <w:pgMar w:left="320" w:top="1418" w:right="339" w:bottom="1440" w:gutter="0" w:footer="0" w:header="0"/>
        </w:sectPr>
      </w:pPr>
    </w:p>
    <w:bookmarkStart w:id="337" w:name="page338"/>
    <w:bookmarkEnd w:id="33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0719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20"/>
        </w:trPr>
        <w:tc>
          <w:tcPr>
            <w:tcW w:w="6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618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w w:val="94"/>
              </w:rPr>
              <w:t>Net change by previously authorized Change Orders (See Appendix 1) .............................</w:t>
            </w:r>
          </w:p>
        </w:tc>
        <w:tc>
          <w:tcPr>
            <w:tcW w:w="15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$ 534,383,073</w:t>
            </w:r>
          </w:p>
        </w:tc>
      </w:tr>
      <w:tr>
        <w:trPr>
          <w:trHeight w:val="183"/>
        </w:trPr>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6180" w:type="dxa"/>
            <w:vAlign w:val="bottom"/>
            <w:gridSpan w:val="7"/>
          </w:tcPr>
          <w:p>
            <w:pPr>
              <w:ind w:left="80"/>
              <w:spacing w:after="0" w:line="182" w:lineRule="exact"/>
              <w:rPr>
                <w:sz w:val="20"/>
                <w:szCs w:val="20"/>
                <w:color w:val="auto"/>
              </w:rPr>
            </w:pPr>
            <w:r>
              <w:rPr>
                <w:rFonts w:ascii="Times New Roman" w:cs="Times New Roman" w:eastAsia="Times New Roman" w:hAnsi="Times New Roman"/>
                <w:sz w:val="18"/>
                <w:szCs w:val="18"/>
                <w:color w:val="auto"/>
              </w:rPr>
              <w:t xml:space="preserve">The Contract Price prior to this Change Order was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9,192,663,073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540" w:type="dxa"/>
            <w:vAlign w:val="bottom"/>
          </w:tcPr>
          <w:p>
            <w:pPr>
              <w:spacing w:after="0"/>
              <w:rPr>
                <w:sz w:val="17"/>
                <w:szCs w:val="17"/>
                <w:color w:val="auto"/>
              </w:rPr>
            </w:pPr>
          </w:p>
        </w:tc>
        <w:tc>
          <w:tcPr>
            <w:tcW w:w="6180" w:type="dxa"/>
            <w:vAlign w:val="bottom"/>
            <w:gridSpan w:val="7"/>
          </w:tcPr>
          <w:p>
            <w:pPr>
              <w:ind w:left="100"/>
              <w:spacing w:after="0" w:line="199" w:lineRule="exact"/>
              <w:rPr>
                <w:sz w:val="20"/>
                <w:szCs w:val="20"/>
                <w:color w:val="auto"/>
              </w:rPr>
            </w:pPr>
            <w:r>
              <w:rPr>
                <w:rFonts w:ascii="Times New Roman" w:cs="Times New Roman" w:eastAsia="Times New Roman" w:hAnsi="Times New Roman"/>
                <w:sz w:val="18"/>
                <w:szCs w:val="18"/>
                <w:color w:val="auto"/>
                <w:w w:val="94"/>
              </w:rPr>
              <w:t>in the amount of ...................................................................................................................</w:t>
            </w:r>
          </w:p>
        </w:tc>
        <w:tc>
          <w:tcPr>
            <w:tcW w:w="1440" w:type="dxa"/>
            <w:vAlign w:val="bottom"/>
            <w:gridSpan w:val="3"/>
          </w:tcPr>
          <w:p>
            <w:pPr>
              <w:jc w:val="right"/>
              <w:ind w:right="68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r>
      <w:tr>
        <w:trPr>
          <w:trHeight w:val="2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540" w:type="dxa"/>
            <w:vAlign w:val="bottom"/>
          </w:tcPr>
          <w:p>
            <w:pPr>
              <w:spacing w:after="0"/>
              <w:rPr>
                <w:sz w:val="18"/>
                <w:szCs w:val="18"/>
                <w:color w:val="auto"/>
              </w:rPr>
            </w:pPr>
          </w:p>
        </w:tc>
        <w:tc>
          <w:tcPr>
            <w:tcW w:w="61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4"/>
              </w:rPr>
              <w:t>in the amount of ...................................................................................................................</w:t>
            </w:r>
          </w:p>
        </w:tc>
        <w:tc>
          <w:tcPr>
            <w:tcW w:w="14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7"/>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540" w:type="dxa"/>
            <w:vAlign w:val="bottom"/>
          </w:tcPr>
          <w:p>
            <w:pPr>
              <w:spacing w:after="0"/>
              <w:rPr>
                <w:sz w:val="16"/>
                <w:szCs w:val="16"/>
                <w:color w:val="auto"/>
              </w:rPr>
            </w:pPr>
          </w:p>
        </w:tc>
        <w:tc>
          <w:tcPr>
            <w:tcW w:w="6180" w:type="dxa"/>
            <w:vAlign w:val="bottom"/>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w w:val="94"/>
              </w:rPr>
              <w:t>by this Change Order in the amount of ................................................................................</w:t>
            </w:r>
          </w:p>
        </w:tc>
        <w:tc>
          <w:tcPr>
            <w:tcW w:w="150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  (2,789,662)</w:t>
            </w:r>
          </w:p>
        </w:tc>
      </w:tr>
      <w:tr>
        <w:trPr>
          <w:trHeight w:val="183"/>
        </w:trPr>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gridSpan w:val="7"/>
          </w:tcPr>
          <w:p>
            <w:pPr>
              <w:ind w:left="80"/>
              <w:spacing w:after="0" w:line="182" w:lineRule="exact"/>
              <w:rPr>
                <w:sz w:val="20"/>
                <w:szCs w:val="20"/>
                <w:color w:val="auto"/>
              </w:rPr>
            </w:pPr>
            <w:r>
              <w:rPr>
                <w:rFonts w:ascii="Times New Roman" w:cs="Times New Roman" w:eastAsia="Times New Roman" w:hAnsi="Times New Roman"/>
                <w:sz w:val="18"/>
                <w:szCs w:val="18"/>
                <w:color w:val="auto"/>
              </w:rPr>
              <w:t xml:space="preserve">The new Contract Price including this Change Order will be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9,189,873,411</w:t>
            </w:r>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6" w:right="416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left="6" w:right="40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6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3.</w:t>
      </w:r>
    </w:p>
    <w:p>
      <w:pPr>
        <w:spacing w:after="0" w:line="2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6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w:t>
      </w:r>
    </w:p>
    <w:p>
      <w:pPr>
        <w:spacing w:after="0" w:line="3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6"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$71,997,795 to $ 71,688,817,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$308,978.</w:t>
      </w:r>
    </w:p>
    <w:p>
      <w:pPr>
        <w:spacing w:after="0" w:line="1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 w:hanging="6"/>
        <w:spacing w:after="0" w:line="281" w:lineRule="auto"/>
        <w:tabs>
          <w:tab w:leader="none" w:pos="52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w:t>
      </w:r>
    </w:p>
    <w:p>
      <w:pPr>
        <w:spacing w:after="0" w:line="1" w:lineRule="exact"/>
        <w:rPr>
          <w:rFonts w:ascii="Times New Roman" w:cs="Times New Roman" w:eastAsia="Times New Roman" w:hAnsi="Times New Roman"/>
          <w:sz w:val="18"/>
          <w:szCs w:val="18"/>
          <w:color w:val="auto"/>
        </w:rPr>
      </w:pPr>
    </w:p>
    <w:p>
      <w:pPr>
        <w:jc w:val="both"/>
        <w:ind w:left="6" w:hanging="6"/>
        <w:spacing w:after="0" w:line="268" w:lineRule="auto"/>
        <w:tabs>
          <w:tab w:leader="none" w:pos="56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4433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ind w:left="6"/>
        <w:spacing w:after="0"/>
        <w:tabs>
          <w:tab w:leader="none" w:pos="706" w:val="left"/>
          <w:tab w:leader="none" w:pos="1666" w:val="left"/>
        </w:tabs>
        <w:rPr>
          <w:sz w:val="20"/>
          <w:szCs w:val="20"/>
          <w:color w:val="auto"/>
        </w:rPr>
      </w:pPr>
      <w:r>
        <w:rPr>
          <w:rFonts w:ascii="Times New Roman" w:cs="Times New Roman" w:eastAsia="Times New Roman" w:hAnsi="Times New Roman"/>
          <w:sz w:val="18"/>
          <w:szCs w:val="18"/>
          <w:color w:val="auto"/>
          <w:strike w:val="1"/>
        </w:rPr>
        <w:t>Initials:</w:t>
        <w:tab/>
        <w:t>Contractor</w:t>
      </w:r>
      <w:r>
        <w:rPr>
          <w:sz w:val="20"/>
          <w:szCs w:val="20"/>
          <w:color w:val="auto"/>
        </w:rPr>
        <w:tab/>
      </w:r>
      <w:r>
        <w:rPr>
          <w:rFonts w:ascii="Times New Roman" w:cs="Times New Roman" w:eastAsia="Times New Roman" w:hAnsi="Times New Roman"/>
          <w:sz w:val="17"/>
          <w:szCs w:val="17"/>
          <w:color w:val="auto"/>
          <w:strike w:val="1"/>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-7620</wp:posOffset>
            </wp:positionV>
            <wp:extent cx="1460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-7620</wp:posOffset>
            </wp:positionV>
            <wp:extent cx="152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ectPr>
          <w:pgSz w:w="11900" w:h="16838" w:orient="portrait"/>
          <w:cols w:equalWidth="0" w:num="1">
            <w:col w:w="10746"/>
          </w:cols>
          <w:pgMar w:left="454" w:top="1440" w:right="699" w:bottom="1440" w:gutter="0" w:footer="0" w:header="0"/>
        </w:sectPr>
      </w:pPr>
    </w:p>
    <w:bookmarkStart w:id="338" w:name="page339"/>
    <w:bookmarkEnd w:id="338"/>
    <w:p>
      <w:pPr>
        <w:ind w:left="120"/>
        <w:spacing w:after="0" w:line="261"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040"/>
          </w:cols>
          <w:pgMar w:left="340" w:top="1417" w:right="51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974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22885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00" w:space="720"/>
            <w:col w:w="5320"/>
          </w:cols>
          <w:pgMar w:left="340" w:top="1417" w:right="519" w:bottom="1440" w:gutter="0" w:footer="0" w:header="0"/>
          <w:type w:val="continuous"/>
        </w:sectPr>
      </w:pPr>
    </w:p>
    <w:bookmarkStart w:id="339" w:name="page340"/>
    <w:bookmarkEnd w:id="339"/>
    <w:p>
      <w:pPr>
        <w:spacing w:after="0" w:line="196" w:lineRule="auto"/>
        <w:framePr w:w="2560" w:h="160" w:wrap="auto" w:vAnchor="page" w:hAnchor="page" w:x="820" w:y="315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00" w:h="160" w:wrap="auto" w:vAnchor="page" w:hAnchor="page" w:x="820" w:y="373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96" w:lineRule="auto"/>
        <w:framePr w:w="4920" w:h="160" w:wrap="auto" w:vAnchor="page" w:hAnchor="page" w:x="820" w:y="1964"/>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218" w:lineRule="auto"/>
        <w:framePr w:w="4520" w:h="376" w:wrap="auto" w:vAnchor="page" w:hAnchor="page" w:x="820" w:y="234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Trains 1 and 2</w:t>
      </w:r>
    </w:p>
    <w:p>
      <w:pPr>
        <w:jc w:val="center"/>
        <w:ind w:right="-225"/>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486"/>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279"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color w:val="auto"/>
        </w:rPr>
        <w:t>Owner EC Number: EC00152</w:t>
      </w:r>
    </w:p>
    <w:p>
      <w:pPr>
        <w:spacing w:after="0" w:line="9"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color w:val="auto"/>
        </w:rPr>
        <w:t>Contractor Change Number SC0085</w:t>
      </w:r>
    </w:p>
    <w:p>
      <w:pPr>
        <w:spacing w:after="0" w:line="149"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386"/>
        <w:spacing w:after="0"/>
        <w:rPr>
          <w:sz w:val="20"/>
          <w:szCs w:val="20"/>
          <w:color w:val="auto"/>
        </w:rPr>
      </w:pPr>
      <w:r>
        <w:rPr>
          <w:rFonts w:ascii="Times New Roman" w:cs="Times New Roman" w:eastAsia="Times New Roman" w:hAnsi="Times New Roman"/>
          <w:sz w:val="18"/>
          <w:szCs w:val="18"/>
          <w:color w:val="auto"/>
        </w:rPr>
        <w:t>May 10,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center"/>
        <w:ind w:right="-225"/>
        <w:spacing w:after="0"/>
        <w:rPr>
          <w:sz w:val="20"/>
          <w:szCs w:val="20"/>
          <w:color w:val="auto"/>
        </w:rPr>
      </w:pPr>
      <w:r>
        <w:rPr>
          <w:rFonts w:ascii="Times New Roman" w:cs="Times New Roman" w:eastAsia="Times New Roman" w:hAnsi="Times New Roman"/>
          <w:sz w:val="20"/>
          <w:szCs w:val="20"/>
          <w:b w:val="1"/>
          <w:bCs w:val="1"/>
          <w:color w:val="auto"/>
        </w:rPr>
        <w:t>TITLE: WATER COST REIMBURSEMENT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-71120</wp:posOffset>
            </wp:positionH>
            <wp:positionV relativeFrom="paragraph">
              <wp:posOffset>25400</wp:posOffset>
            </wp:positionV>
            <wp:extent cx="71234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12"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16" w:lineRule="exact"/>
        <w:rPr>
          <w:rFonts w:ascii="Times New Roman" w:cs="Times New Roman" w:eastAsia="Times New Roman" w:hAnsi="Times New Roman"/>
          <w:sz w:val="18"/>
          <w:szCs w:val="18"/>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Per Agreement Section 3.15 (Temporary Utilities, Roads, Facilities, and Storage), Prior to Substantial Completion of the relevant Train and except for those utilities designated to be provided by Owner pursuant to Article 4, Contractor shall provide and pay for all utilities (e.g., electricity, water, communication, cable, telephone, waste and sewer) with respect to such Train, including all connections and substations, necessary for the performance of the Work, including installation, Permit and usage costs.</w:t>
      </w:r>
    </w:p>
    <w:p>
      <w:pPr>
        <w:spacing w:after="0" w:line="20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BND requires Site lessee, rather than Contractor, to request the water connection and water service.</w:t>
      </w:r>
    </w:p>
    <w:p>
      <w:pPr>
        <w:spacing w:after="0" w:line="252" w:lineRule="exact"/>
        <w:rPr>
          <w:rFonts w:ascii="Times New Roman" w:cs="Times New Roman" w:eastAsia="Times New Roman" w:hAnsi="Times New Roman"/>
          <w:sz w:val="18"/>
          <w:szCs w:val="18"/>
          <w:color w:val="auto"/>
        </w:rPr>
      </w:pPr>
    </w:p>
    <w:p>
      <w:pPr>
        <w:jc w:val="both"/>
        <w:ind w:left="6"/>
        <w:spacing w:after="0" w:line="282" w:lineRule="auto"/>
        <w:rPr>
          <w:sz w:val="20"/>
          <w:szCs w:val="20"/>
          <w:color w:val="auto"/>
        </w:rPr>
      </w:pPr>
      <w:r>
        <w:rPr>
          <w:rFonts w:ascii="Times New Roman" w:cs="Times New Roman" w:eastAsia="Times New Roman" w:hAnsi="Times New Roman"/>
          <w:sz w:val="18"/>
          <w:szCs w:val="18"/>
          <w:color w:val="auto"/>
        </w:rPr>
        <w:t>Also reference Attachment V (Owner Furnished Items) item No. 5 (Installation of a fresh water supply line and tie-in point(s) completed) and Parties’ obligations as set-out in Change Order EC00011_SC0007 (Temporary Water – NTP+3M).</w:t>
      </w:r>
    </w:p>
    <w:p>
      <w:pPr>
        <w:spacing w:after="0" w:line="15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6" w:lineRule="exact"/>
        <w:rPr>
          <w:rFonts w:ascii="Times New Roman" w:cs="Times New Roman" w:eastAsia="Times New Roman" w:hAnsi="Times New Roman"/>
          <w:sz w:val="18"/>
          <w:szCs w:val="18"/>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Owner will request the water connection and water service and Owner will receive invoices from the BND. Within 5 Days of receipt, Owner will provide to Contractor a copy of each such invoice and Contractor shall provide a credit memo for 100% of the undisputed invoice amount on Contractor’s Monthly Invoice. This will occur for the duration of the Contractor’s obligation to provide water.</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326" w:right="320" w:hanging="326"/>
        <w:spacing w:after="0" w:line="286" w:lineRule="auto"/>
        <w:tabs>
          <w:tab w:leader="none" w:pos="32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I, Schedule I-1 (Form of Contractor’s Interim Invoice)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I-1 as provided in Attachment 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Change Order.</w:t>
      </w:r>
    </w:p>
    <w:p>
      <w:pPr>
        <w:spacing w:after="0" w:line="294"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Attachment I, Schedule I-1 (Form of Contractor’s Interim Invoice), as updated by this Change Order</w:t>
      </w:r>
    </w:p>
    <w:p>
      <w:pPr>
        <w:sectPr>
          <w:pgSz w:w="11900" w:h="16838" w:orient="portrait"/>
          <w:cols w:equalWidth="0" w:num="1">
            <w:col w:w="10746"/>
          </w:cols>
          <w:pgMar w:left="454" w:top="1094" w:right="699" w:bottom="1440" w:gutter="0" w:footer="0" w:header="0"/>
        </w:sectPr>
      </w:pPr>
    </w:p>
    <w:bookmarkStart w:id="340" w:name="page341"/>
    <w:bookmarkEnd w:id="340"/>
    <w:tbl>
      <w:tblPr>
        <w:tblLayout w:type="fixed"/>
        <w:tblInd w:w="9" w:type="dxa"/>
        <w:tblCellMar>
          <w:top w:w="0" w:type="dxa"/>
          <w:left w:w="0" w:type="dxa"/>
          <w:bottom w:w="0" w:type="dxa"/>
          <w:right w:w="0" w:type="dxa"/>
        </w:tblCellMar>
      </w:tblPr>
      <w:tr>
        <w:trPr>
          <w:trHeight w:val="207"/>
        </w:trPr>
        <w:tc>
          <w:tcPr>
            <w:tcW w:w="32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13"/>
          </w:tcPr>
          <w:p>
            <w:pPr>
              <w:ind w:left="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220" w:type="dxa"/>
            <w:vAlign w:val="bottom"/>
            <w:gridSpan w:val="13"/>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1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$ 534,383,073</w:t>
            </w:r>
          </w:p>
        </w:tc>
        <w:tc>
          <w:tcPr>
            <w:tcW w:w="0" w:type="dxa"/>
            <w:vAlign w:val="bottom"/>
          </w:tcPr>
          <w:p>
            <w:pPr>
              <w:spacing w:after="0"/>
              <w:rPr>
                <w:sz w:val="1"/>
                <w:szCs w:val="1"/>
                <w:color w:val="auto"/>
              </w:rPr>
            </w:pPr>
          </w:p>
        </w:tc>
      </w:tr>
      <w:tr>
        <w:trPr>
          <w:trHeight w:val="183"/>
        </w:trPr>
        <w:tc>
          <w:tcPr>
            <w:tcW w:w="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13"/>
          </w:tcPr>
          <w:p>
            <w:pPr>
              <w:ind w:left="4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$9,192,663,073</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4)</w:t>
            </w:r>
          </w:p>
        </w:tc>
        <w:tc>
          <w:tcPr>
            <w:tcW w:w="6360" w:type="dxa"/>
            <w:vAlign w:val="bottom"/>
            <w:gridSpan w:val="16"/>
          </w:tcPr>
          <w:p>
            <w:pPr>
              <w:ind w:left="4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w w:val="95"/>
              </w:rPr>
              <w:t>The Aggregate Labor</w:t>
            </w:r>
          </w:p>
        </w:tc>
        <w:tc>
          <w:tcPr>
            <w:tcW w:w="4820" w:type="dxa"/>
            <w:vAlign w:val="bottom"/>
            <w:gridSpan w:val="13"/>
          </w:tcPr>
          <w:p>
            <w:pPr>
              <w:jc w:val="right"/>
              <w:ind w:right="580"/>
              <w:spacing w:after="0" w:line="191" w:lineRule="exact"/>
              <w:rPr>
                <w:sz w:val="20"/>
                <w:szCs w:val="20"/>
                <w:color w:val="auto"/>
              </w:rPr>
            </w:pPr>
            <w:r>
              <w:rPr>
                <w:rFonts w:ascii="Times New Roman" w:cs="Times New Roman" w:eastAsia="Times New Roman" w:hAnsi="Times New Roman"/>
                <w:sz w:val="18"/>
                <w:szCs w:val="18"/>
                <w:color w:val="auto"/>
              </w:rPr>
              <w:t xml:space="preserve">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6)</w:t>
            </w:r>
          </w:p>
        </w:tc>
        <w:tc>
          <w:tcPr>
            <w:tcW w:w="6360" w:type="dxa"/>
            <w:vAlign w:val="bottom"/>
            <w:gridSpan w:val="16"/>
          </w:tcPr>
          <w:p>
            <w:pPr>
              <w:ind w:left="40"/>
              <w:spacing w:after="0" w:line="205"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0" w:type="dxa"/>
            <w:vAlign w:val="bottom"/>
          </w:tcPr>
          <w:p>
            <w:pPr>
              <w:spacing w:after="0"/>
              <w:rPr>
                <w:sz w:val="1"/>
                <w:szCs w:val="1"/>
                <w:color w:val="auto"/>
              </w:rPr>
            </w:pPr>
          </w:p>
        </w:tc>
      </w:tr>
      <w:tr>
        <w:trPr>
          <w:trHeight w:val="194"/>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w:t>
            </w:r>
          </w:p>
        </w:tc>
        <w:tc>
          <w:tcPr>
            <w:tcW w:w="3100" w:type="dxa"/>
            <w:vAlign w:val="bottom"/>
            <w:gridSpan w:val="7"/>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vMerge w:val="continue"/>
          </w:tcPr>
          <w:p>
            <w:pPr>
              <w:spacing w:after="0"/>
              <w:rPr>
                <w:sz w:val="15"/>
                <w:szCs w:val="15"/>
                <w:color w:val="auto"/>
              </w:rPr>
            </w:pPr>
          </w:p>
        </w:tc>
        <w:tc>
          <w:tcPr>
            <w:tcW w:w="3360" w:type="dxa"/>
            <w:vAlign w:val="bottom"/>
            <w:gridSpan w:val="8"/>
          </w:tcPr>
          <w:p>
            <w:pPr>
              <w:ind w:left="40"/>
              <w:spacing w:after="0" w:line="182" w:lineRule="exact"/>
              <w:rPr>
                <w:sz w:val="20"/>
                <w:szCs w:val="20"/>
                <w:color w:val="auto"/>
              </w:rPr>
            </w:pPr>
            <w:r>
              <w:rPr>
                <w:rFonts w:ascii="Times New Roman" w:cs="Times New Roman" w:eastAsia="Times New Roman" w:hAnsi="Times New Roman"/>
                <w:sz w:val="18"/>
                <w:szCs w:val="18"/>
                <w:color w:val="auto"/>
                <w:w w:val="99"/>
              </w:rPr>
              <w:t>The new Contract Price including this Change</w:t>
            </w:r>
          </w:p>
        </w:tc>
        <w:tc>
          <w:tcPr>
            <w:tcW w:w="3000" w:type="dxa"/>
            <w:vAlign w:val="bottom"/>
            <w:gridSpan w:val="8"/>
          </w:tcPr>
          <w:p>
            <w:pPr>
              <w:jc w:val="right"/>
              <w:ind w:right="680"/>
              <w:spacing w:after="0" w:line="182" w:lineRule="exact"/>
              <w:rPr>
                <w:sz w:val="20"/>
                <w:szCs w:val="20"/>
                <w:color w:val="auto"/>
              </w:rPr>
            </w:pPr>
            <w:r>
              <w:rPr>
                <w:rFonts w:ascii="Times New Roman" w:cs="Times New Roman" w:eastAsia="Times New Roman" w:hAnsi="Times New Roman"/>
                <w:sz w:val="18"/>
                <w:szCs w:val="18"/>
                <w:color w:val="auto"/>
              </w:rPr>
              <w:t>Order will be  $9,192,663,073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851535</wp:posOffset>
            </wp:positionV>
            <wp:extent cx="7123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left="9" w:right="436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left="9"/>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w:t>
      </w:r>
    </w:p>
    <w:p>
      <w:pPr>
        <w:spacing w:after="0" w:line="2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Payment Schedule: N/A</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Performance</w:t>
      </w:r>
    </w:p>
    <w:p>
      <w:pPr>
        <w:spacing w:after="0" w:line="2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Basis of Design: </w:t>
      </w:r>
      <w:r>
        <w:rPr>
          <w:rFonts w:ascii="Times New Roman" w:cs="Times New Roman" w:eastAsia="Times New Roman" w:hAnsi="Times New Roman"/>
          <w:sz w:val="18"/>
          <w:szCs w:val="18"/>
          <w:b w:val="1"/>
          <w:bCs w:val="1"/>
          <w:color w:val="auto"/>
        </w:rPr>
        <w:t>N/A</w:t>
      </w:r>
    </w:p>
    <w:p>
      <w:pPr>
        <w:spacing w:after="0" w:line="1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Impact on the Total Reimbursement Amount: N/A.</w:t>
      </w:r>
    </w:p>
    <w:p>
      <w:pPr>
        <w:spacing w:after="0" w:line="2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9" w:right="200" w:hanging="9"/>
        <w:spacing w:after="0" w:line="286" w:lineRule="auto"/>
        <w:tabs>
          <w:tab w:leader="none" w:pos="52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b w:val="1"/>
          <w:bCs w:val="1"/>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b w:val="1"/>
          <w:bCs w:val="1"/>
          <w:u w:val="single" w:color="auto"/>
          <w:color w:val="auto"/>
        </w:rPr>
        <w:t>AT</w:t>
      </w:r>
      <w:r>
        <w:rPr>
          <w:rFonts w:ascii="Times New Roman" w:cs="Times New Roman" w:eastAsia="Times New Roman" w:hAnsi="Times New Roman"/>
          <w:sz w:val="18"/>
          <w:szCs w:val="18"/>
          <w:color w:val="auto"/>
        </w:rPr>
        <w:t xml:space="preserve"> Owner</w:t>
      </w:r>
    </w:p>
    <w:p>
      <w:pPr>
        <w:spacing w:after="0" w:line="181" w:lineRule="exact"/>
        <w:rPr>
          <w:rFonts w:ascii="Times New Roman" w:cs="Times New Roman" w:eastAsia="Times New Roman" w:hAnsi="Times New Roman"/>
          <w:sz w:val="18"/>
          <w:szCs w:val="18"/>
          <w:color w:val="auto"/>
        </w:rPr>
      </w:pPr>
    </w:p>
    <w:p>
      <w:pPr>
        <w:jc w:val="both"/>
        <w:ind w:left="9" w:right="200" w:firstLine="1"/>
        <w:spacing w:after="0" w:line="268" w:lineRule="auto"/>
        <w:tabs>
          <w:tab w:leader="none" w:pos="52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0949"/>
          </w:cols>
          <w:pgMar w:left="451" w:top="1399" w:right="499" w:bottom="1440" w:gutter="0" w:footer="0" w:header="0"/>
        </w:sectPr>
      </w:pPr>
    </w:p>
    <w:bookmarkStart w:id="341" w:name="page342"/>
    <w:bookmarkEnd w:id="341"/>
    <w:p>
      <w:pPr>
        <w:spacing w:after="0" w:line="1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0860"/>
          </w:cols>
          <w:pgMar w:left="340" w:top="1440" w:right="6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974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97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2288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22885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00" w:space="720"/>
            <w:col w:w="5140"/>
          </w:cols>
          <w:pgMar w:left="340" w:top="1440" w:right="699" w:bottom="1440" w:gutter="0" w:footer="0" w:header="0"/>
          <w:type w:val="continuous"/>
        </w:sectPr>
      </w:pPr>
    </w:p>
    <w:bookmarkStart w:id="342" w:name="page343"/>
    <w:bookmarkEnd w:id="342"/>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Agreement for Trains 1 and 2</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EC00114</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SC0082</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 2024</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TITLE: AIMS &amp; CMMS DEVELOPMENT SCOPE TRANSFER 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25400</wp:posOffset>
            </wp:positionV>
            <wp:extent cx="67633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106" w:lineRule="exact"/>
        <w:rPr>
          <w:sz w:val="20"/>
          <w:szCs w:val="20"/>
          <w:color w:val="auto"/>
        </w:rPr>
      </w:pPr>
    </w:p>
    <w:p>
      <w:pPr>
        <w:ind w:right="16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BACKGROUND</w:t>
      </w:r>
    </w:p>
    <w:p>
      <w:pPr>
        <w:spacing w:after="0" w:line="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Owner desires to lead development and implementation of asset integrity management systems (AIMS) and computerized maintenance management systems (CMMS). This Change Order modifies or removes, as redlined in Sections 18 and 29 of Schedule A-1 (Scope of Work), specific items in the Contractor’s scope relating to development and implementation of such systems. Contractor shall continue to obtain and provide Owner all baseline data required to be loaded into AIMS and CMMS.</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Contractor’s Information Management Plan (document # 26251-100-G01-GAN-00004 / RG-BL-000-PIM-PLN- 00006) as reviewed by Owner will be the basis for the development and handover of Contractor and vendor deliverables to support Owner’s drawing and data requirements to operate AIMS and CMMS.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52" w:lineRule="exact"/>
        <w:rPr>
          <w:sz w:val="20"/>
          <w:szCs w:val="20"/>
          <w:color w:val="auto"/>
        </w:rPr>
      </w:pPr>
    </w:p>
    <w:p>
      <w:pPr>
        <w:ind w:left="360" w:hanging="326"/>
        <w:spacing w:after="0"/>
        <w:tabs>
          <w:tab w:leader="none" w:pos="3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Attachment A, Schedule A-1, (Scope of Work) </w:t>
      </w:r>
      <w:r>
        <w:rPr>
          <w:rFonts w:ascii="Times New Roman" w:cs="Times New Roman" w:eastAsia="Times New Roman" w:hAnsi="Times New Roman"/>
          <w:sz w:val="18"/>
          <w:szCs w:val="18"/>
          <w:u w:val="single" w:color="auto"/>
          <w:color w:val="auto"/>
        </w:rPr>
        <w:t>shall be modified as follows:</w:t>
      </w:r>
    </w:p>
    <w:p>
      <w:pPr>
        <w:spacing w:after="0" w:line="117" w:lineRule="exact"/>
        <w:rPr>
          <w:rFonts w:ascii="Times New Roman" w:cs="Times New Roman" w:eastAsia="Times New Roman" w:hAnsi="Times New Roman"/>
          <w:sz w:val="18"/>
          <w:szCs w:val="18"/>
          <w:color w:val="auto"/>
        </w:rPr>
      </w:pPr>
    </w:p>
    <w:p>
      <w:pPr>
        <w:ind w:left="1000" w:right="440" w:hanging="319"/>
        <w:spacing w:after="0" w:line="263" w:lineRule="auto"/>
        <w:tabs>
          <w:tab w:leader="none" w:pos="99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18 (Operations and Maintenance Management Systems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red-line mark-up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1 to this Change Order.</w:t>
      </w:r>
    </w:p>
    <w:p>
      <w:pPr>
        <w:ind w:left="1000" w:right="480" w:hanging="319"/>
        <w:spacing w:after="0" w:line="260" w:lineRule="auto"/>
        <w:tabs>
          <w:tab w:leader="none" w:pos="100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29 (Information Systems for Owner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red-line mark-up as provided in Attachment 2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w:t>
      </w:r>
    </w:p>
    <w:p>
      <w:pPr>
        <w:spacing w:after="0" w:line="204" w:lineRule="exact"/>
        <w:rPr>
          <w:rFonts w:ascii="Times New Roman" w:cs="Times New Roman" w:eastAsia="Times New Roman" w:hAnsi="Times New Roman"/>
          <w:sz w:val="18"/>
          <w:szCs w:val="18"/>
          <w:color w:val="auto"/>
        </w:rPr>
      </w:pPr>
    </w:p>
    <w:p>
      <w:pPr>
        <w:ind w:left="360" w:right="380" w:hanging="326"/>
        <w:spacing w:after="0" w:line="286" w:lineRule="auto"/>
        <w:tabs>
          <w:tab w:leader="none" w:pos="3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3 to this Change Order.</w:t>
      </w:r>
    </w:p>
    <w:p>
      <w:pPr>
        <w:spacing w:after="0" w:line="181" w:lineRule="exact"/>
        <w:rPr>
          <w:rFonts w:ascii="Times New Roman" w:cs="Times New Roman" w:eastAsia="Times New Roman" w:hAnsi="Times New Roman"/>
          <w:sz w:val="18"/>
          <w:szCs w:val="18"/>
          <w:color w:val="auto"/>
        </w:rPr>
      </w:pPr>
    </w:p>
    <w:p>
      <w:pPr>
        <w:ind w:left="360" w:right="640" w:hanging="326"/>
        <w:spacing w:after="0" w:line="286" w:lineRule="auto"/>
        <w:tabs>
          <w:tab w:leader="none" w:pos="3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4 to this Change Order.</w:t>
      </w:r>
    </w:p>
    <w:p>
      <w:pPr>
        <w:spacing w:after="0" w:line="181" w:lineRule="exact"/>
        <w:rPr>
          <w:rFonts w:ascii="Times New Roman" w:cs="Times New Roman" w:eastAsia="Times New Roman" w:hAnsi="Times New Roman"/>
          <w:sz w:val="18"/>
          <w:szCs w:val="18"/>
          <w:color w:val="auto"/>
        </w:rPr>
      </w:pPr>
    </w:p>
    <w:p>
      <w:pPr>
        <w:ind w:left="360" w:right="2480" w:hanging="326"/>
        <w:spacing w:after="0" w:line="286" w:lineRule="auto"/>
        <w:tabs>
          <w:tab w:leader="none" w:pos="3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5 to this Change Order.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31" w:lineRule="exact"/>
        <w:rPr>
          <w:sz w:val="20"/>
          <w:szCs w:val="20"/>
          <w:color w:val="auto"/>
        </w:rPr>
      </w:pPr>
    </w:p>
    <w:p>
      <w:pPr>
        <w:ind w:left="680" w:right="780" w:hanging="407"/>
        <w:spacing w:after="0" w:line="243" w:lineRule="auto"/>
        <w:tabs>
          <w:tab w:leader="none" w:pos="67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Attachment A, Schedule A-1, Section 18 (Operations and Maintenance Management Systems and Procedures), as updated by this Change Order.</w:t>
      </w:r>
    </w:p>
    <w:p>
      <w:pPr>
        <w:spacing w:after="0" w:line="1" w:lineRule="exact"/>
        <w:rPr>
          <w:rFonts w:ascii="Times New Roman" w:cs="Times New Roman" w:eastAsia="Times New Roman" w:hAnsi="Times New Roman"/>
          <w:sz w:val="18"/>
          <w:szCs w:val="18"/>
          <w:color w:val="auto"/>
        </w:rPr>
      </w:pPr>
    </w:p>
    <w:p>
      <w:pPr>
        <w:ind w:left="680" w:hanging="407"/>
        <w:spacing w:after="0" w:line="203" w:lineRule="auto"/>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Attachment A, Schedule A-1, Section 29 (Information Systems for Owner Use), as updated by this Change Order</w:t>
      </w:r>
    </w:p>
    <w:p>
      <w:pPr>
        <w:ind w:left="680" w:hanging="407"/>
        <w:spacing w:after="0" w:line="203" w:lineRule="auto"/>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Appendix 1 (Contract Price Breakdown), as updated by this Change Order</w:t>
      </w:r>
    </w:p>
    <w:p>
      <w:pPr>
        <w:ind w:left="680" w:hanging="407"/>
        <w:spacing w:after="0" w:line="200" w:lineRule="auto"/>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Attachment C, First Amended Schedule C-2 (Payment Milestones), as updated by this Change Order</w:t>
      </w:r>
    </w:p>
    <w:p>
      <w:pPr>
        <w:ind w:left="680" w:hanging="407"/>
        <w:spacing w:after="0" w:line="218" w:lineRule="auto"/>
        <w:tabs>
          <w:tab w:leader="none" w:pos="67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Attachment 5 </w:t>
      </w:r>
      <w:r>
        <w:rPr>
          <w:rFonts w:ascii="Times New Roman" w:cs="Times New Roman" w:eastAsia="Times New Roman" w:hAnsi="Times New Roman"/>
          <w:sz w:val="17"/>
          <w:szCs w:val="17"/>
          <w:color w:val="auto"/>
        </w:rPr>
        <w:t>– First Amended Attachment C, First Amended Schedule C-3 (Maximum Cumulative Payment Schedule), as updated by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Change Order.</w:t>
      </w:r>
    </w:p>
    <w:p>
      <w:pPr>
        <w:sectPr>
          <w:pgSz w:w="11900" w:h="16838" w:orient="portrait"/>
          <w:cols w:equalWidth="0" w:num="1">
            <w:col w:w="10800"/>
          </w:cols>
          <w:pgMar w:left="460" w:top="1418" w:right="639" w:bottom="1440" w:gutter="0" w:footer="0" w:header="0"/>
        </w:sectPr>
      </w:pPr>
    </w:p>
    <w:bookmarkStart w:id="343" w:name="page344"/>
    <w:bookmarkEnd w:id="343"/>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929005</wp:posOffset>
            </wp:positionV>
            <wp:extent cx="68408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220"/>
        </w:trPr>
        <w:tc>
          <w:tcPr>
            <w:tcW w:w="6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618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64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4"/>
            <w:vMerge w:val="restart"/>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$ 531,593,411</w:t>
            </w: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040" w:type="dxa"/>
            <w:vAlign w:val="bottom"/>
            <w:gridSpan w:val="10"/>
          </w:tcPr>
          <w:p>
            <w:pPr>
              <w:jc w:val="right"/>
              <w:ind w:right="1140"/>
              <w:spacing w:after="0" w:line="182" w:lineRule="exact"/>
              <w:rPr>
                <w:sz w:val="20"/>
                <w:szCs w:val="20"/>
                <w:color w:val="auto"/>
              </w:rPr>
            </w:pPr>
            <w:r>
              <w:rPr>
                <w:rFonts w:ascii="Times New Roman" w:cs="Times New Roman" w:eastAsia="Times New Roman" w:hAnsi="Times New Roman"/>
                <w:sz w:val="18"/>
                <w:szCs w:val="18"/>
                <w:color w:val="auto"/>
              </w:rPr>
              <w:t>Change Orders (See Appendix 1) .............................</w:t>
            </w:r>
          </w:p>
        </w:tc>
        <w:tc>
          <w:tcPr>
            <w:tcW w:w="0" w:type="dxa"/>
            <w:vAlign w:val="bottom"/>
          </w:tcPr>
          <w:p>
            <w:pPr>
              <w:spacing w:after="0"/>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The Contract Price prior to this Change Order was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9,189,873,411</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Order</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vMerge w:val="continue"/>
          </w:tcPr>
          <w:p>
            <w:pPr>
              <w:spacing w:after="0"/>
              <w:rPr>
                <w:sz w:val="17"/>
                <w:szCs w:val="17"/>
                <w:color w:val="auto"/>
              </w:rPr>
            </w:pPr>
          </w:p>
        </w:tc>
        <w:tc>
          <w:tcPr>
            <w:tcW w:w="5020" w:type="dxa"/>
            <w:vAlign w:val="bottom"/>
            <w:gridSpan w:val="5"/>
          </w:tcPr>
          <w:p>
            <w:pPr>
              <w:ind w:left="8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w:t>
            </w:r>
          </w:p>
        </w:tc>
        <w:tc>
          <w:tcPr>
            <w:tcW w:w="11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1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4"/>
              </w:rPr>
              <w:t>in the amount of ...................................................................................................................</w:t>
            </w:r>
          </w:p>
        </w:tc>
        <w:tc>
          <w:tcPr>
            <w:tcW w:w="1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6180" w:type="dxa"/>
            <w:vAlign w:val="bottom"/>
            <w:gridSpan w:val="7"/>
          </w:tcPr>
          <w:p>
            <w:pPr>
              <w:ind w:left="100"/>
              <w:spacing w:after="0" w:line="199" w:lineRule="exact"/>
              <w:rPr>
                <w:sz w:val="20"/>
                <w:szCs w:val="20"/>
                <w:color w:val="auto"/>
              </w:rPr>
            </w:pPr>
            <w:r>
              <w:rPr>
                <w:rFonts w:ascii="Times New Roman" w:cs="Times New Roman" w:eastAsia="Times New Roman" w:hAnsi="Times New Roman"/>
                <w:sz w:val="18"/>
                <w:szCs w:val="18"/>
                <w:color w:val="auto"/>
                <w:w w:val="94"/>
              </w:rPr>
              <w:t>in the amount of ...................................................................................................................</w:t>
            </w:r>
          </w:p>
        </w:tc>
        <w:tc>
          <w:tcPr>
            <w:tcW w:w="1420" w:type="dxa"/>
            <w:vAlign w:val="bottom"/>
            <w:gridSpan w:val="3"/>
          </w:tcPr>
          <w:p>
            <w:pPr>
              <w:ind w:left="3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180" w:type="dxa"/>
            <w:vAlign w:val="bottom"/>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w w:val="94"/>
              </w:rPr>
              <w:t>by this Change Order in the amount of ................................................................................</w:t>
            </w:r>
          </w:p>
        </w:tc>
        <w:tc>
          <w:tcPr>
            <w:tcW w:w="150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8"/>
                <w:szCs w:val="18"/>
                <w:color w:val="auto"/>
              </w:rPr>
              <w:t>$  (8,279,800)</w:t>
            </w:r>
          </w:p>
        </w:tc>
        <w:tc>
          <w:tcPr>
            <w:tcW w:w="0" w:type="dxa"/>
            <w:vAlign w:val="bottom"/>
          </w:tcPr>
          <w:p>
            <w:pPr>
              <w:spacing w:after="0"/>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The new Contract Price including this Change Order will be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9,181,593,611</w:t>
            </w:r>
          </w:p>
        </w:tc>
        <w:tc>
          <w:tcPr>
            <w:tcW w:w="3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3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5" w:right="420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left="5" w:right="44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52"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4.</w:t>
      </w:r>
    </w:p>
    <w:p>
      <w:pPr>
        <w:spacing w:after="0" w:line="2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66"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5.</w:t>
      </w:r>
    </w:p>
    <w:p>
      <w:pPr>
        <w:spacing w:after="0" w:line="3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5" w:hanging="5"/>
        <w:spacing w:after="0" w:line="268" w:lineRule="auto"/>
        <w:tabs>
          <w:tab w:leader="none" w:pos="52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b w:val="1"/>
          <w:bCs w:val="1"/>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b w:val="1"/>
          <w:bCs w:val="1"/>
          <w:u w:val="single" w:color="auto"/>
          <w:color w:val="auto"/>
        </w:rPr>
        <w:t>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w:t>
      </w:r>
    </w:p>
    <w:p>
      <w:pPr>
        <w:spacing w:after="0" w:line="49" w:lineRule="exact"/>
        <w:rPr>
          <w:rFonts w:ascii="Times New Roman" w:cs="Times New Roman" w:eastAsia="Times New Roman" w:hAnsi="Times New Roman"/>
          <w:sz w:val="18"/>
          <w:szCs w:val="18"/>
          <w:color w:val="auto"/>
        </w:rPr>
      </w:pPr>
    </w:p>
    <w:p>
      <w:pPr>
        <w:ind w:left="5" w:right="100" w:hanging="5"/>
        <w:spacing w:after="0" w:line="223" w:lineRule="auto"/>
        <w:tabs>
          <w:tab w:leader="none" w:pos="56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14433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144335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-20320</wp:posOffset>
            </wp:positionV>
            <wp:extent cx="1460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-20320</wp:posOffset>
            </wp:positionV>
            <wp:extent cx="1524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ectPr>
          <w:pgSz w:w="11900" w:h="16838" w:orient="portrait"/>
          <w:cols w:equalWidth="0" w:num="1">
            <w:col w:w="10785"/>
          </w:cols>
          <w:pgMar w:left="455" w:top="1440" w:right="659" w:bottom="1440" w:gutter="0" w:footer="0" w:header="0"/>
        </w:sectPr>
      </w:pPr>
    </w:p>
    <w:bookmarkStart w:id="344" w:name="page345"/>
    <w:bookmarkEnd w:id="344"/>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0860"/>
          </w:cols>
          <w:pgMar w:left="340" w:top="1336" w:right="6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2199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199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199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219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22199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22199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29845</wp:posOffset>
            </wp:positionV>
            <wp:extent cx="22199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22199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4800" w:space="720"/>
            <w:col w:w="5340"/>
          </w:cols>
          <w:pgMar w:left="340" w:top="1336" w:right="699" w:bottom="1440" w:gutter="0" w:footer="0" w:header="0"/>
          <w:type w:val="continuous"/>
        </w:sectPr>
      </w:pPr>
    </w:p>
    <w:bookmarkStart w:id="345" w:name="page346"/>
    <w:bookmarkEnd w:id="345"/>
    <w:p>
      <w:pPr>
        <w:spacing w:after="0" w:line="196" w:lineRule="auto"/>
        <w:framePr w:w="2560" w:h="160" w:wrap="auto" w:vAnchor="page" w:hAnchor="page" w:x="720" w:y="512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00" w:h="160" w:wrap="auto" w:vAnchor="page" w:hAnchor="page" w:x="720" w:y="5704"/>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96" w:lineRule="auto"/>
        <w:framePr w:w="4920" w:h="160" w:wrap="auto" w:vAnchor="page" w:hAnchor="page" w:x="720" w:y="393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218" w:lineRule="auto"/>
        <w:framePr w:w="4520" w:h="376" w:wrap="auto" w:vAnchor="page" w:hAnchor="page" w:x="720" w:y="43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jc w:val="center"/>
        <w:ind w:right="114"/>
        <w:spacing w:after="0" w:line="258"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303" w:lineRule="exact"/>
        <w:rPr>
          <w:rFonts w:ascii="Times New Roman" w:cs="Times New Roman" w:eastAsia="Times New Roman" w:hAnsi="Times New Roman"/>
          <w:sz w:val="18"/>
          <w:szCs w:val="18"/>
          <w:color w:val="auto"/>
        </w:rPr>
      </w:pPr>
    </w:p>
    <w:p>
      <w:pPr>
        <w:jc w:val="center"/>
        <w:ind w:right="114"/>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33" w:lineRule="exact"/>
        <w:rPr>
          <w:rFonts w:ascii="Times New Roman" w:cs="Times New Roman" w:eastAsia="Times New Roman" w:hAnsi="Times New Roman"/>
          <w:sz w:val="18"/>
          <w:szCs w:val="18"/>
          <w:color w:val="auto"/>
        </w:rPr>
      </w:pPr>
    </w:p>
    <w:p>
      <w:pPr>
        <w:ind w:left="1486"/>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50"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279"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Owner EC Number: EC00132</w:t>
      </w:r>
    </w:p>
    <w:p>
      <w:pPr>
        <w:spacing w:after="0" w:line="9"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Contractor Change Number SCT3029</w:t>
      </w:r>
    </w:p>
    <w:p>
      <w:pPr>
        <w:spacing w:after="0" w:line="149"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April 11,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466"/>
        <w:spacing w:after="0"/>
        <w:rPr>
          <w:sz w:val="20"/>
          <w:szCs w:val="20"/>
          <w:color w:val="auto"/>
        </w:rPr>
      </w:pPr>
      <w:r>
        <w:rPr>
          <w:rFonts w:ascii="Times New Roman" w:cs="Times New Roman" w:eastAsia="Times New Roman" w:hAnsi="Times New Roman"/>
          <w:sz w:val="20"/>
          <w:szCs w:val="20"/>
          <w:b w:val="1"/>
          <w:bCs w:val="1"/>
          <w:color w:val="auto"/>
        </w:rPr>
        <w:t>TITLE: GT MODIFICATIONS - ENCLOSURE ROOF, EXHAUST LINER, AND SUPPORTS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-62230</wp:posOffset>
            </wp:positionH>
            <wp:positionV relativeFrom="paragraph">
              <wp:posOffset>25400</wp:posOffset>
            </wp:positionV>
            <wp:extent cx="71062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color w:val="auto"/>
        </w:rPr>
      </w:pPr>
    </w:p>
    <w:p>
      <w:pPr>
        <w:ind w:left="6" w:right="1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jc w:val="both"/>
        <w:ind w:left="46"/>
        <w:spacing w:after="0" w:line="261" w:lineRule="auto"/>
        <w:rPr>
          <w:sz w:val="20"/>
          <w:szCs w:val="20"/>
          <w:color w:val="auto"/>
        </w:rPr>
      </w:pPr>
      <w:r>
        <w:rPr>
          <w:rFonts w:ascii="Times New Roman" w:cs="Times New Roman" w:eastAsia="Times New Roman" w:hAnsi="Times New Roman"/>
          <w:sz w:val="18"/>
          <w:szCs w:val="18"/>
          <w:color w:val="auto"/>
        </w:rPr>
        <w:t>To reduce turnaround times for certain required maintenance activities associated with the gas turbine drivers, modifications to the gas turbine enclosure, exhaust plenum internal liner, and turbine supports can be made to facilitate removal and replacement of the Baker Hughes provided gas turbine as a single unit. The modifications by Baker Hughes (Subcontractor) are described in Attachment 1 (Scope of Modifications to the Baker Hughes Provided Equipment) to this Change Order.</w:t>
      </w:r>
    </w:p>
    <w:p>
      <w:pPr>
        <w:spacing w:after="0" w:line="72" w:lineRule="exact"/>
        <w:rPr>
          <w:rFonts w:ascii="Times New Roman" w:cs="Times New Roman" w:eastAsia="Times New Roman" w:hAnsi="Times New Roman"/>
          <w:sz w:val="18"/>
          <w:szCs w:val="18"/>
          <w:color w:val="auto"/>
        </w:rPr>
      </w:pPr>
    </w:p>
    <w:p>
      <w:pPr>
        <w:jc w:val="both"/>
        <w:ind w:left="46"/>
        <w:spacing w:after="0" w:line="258" w:lineRule="auto"/>
        <w:rPr>
          <w:sz w:val="20"/>
          <w:szCs w:val="20"/>
          <w:color w:val="auto"/>
        </w:rPr>
      </w:pPr>
      <w:r>
        <w:rPr>
          <w:rFonts w:ascii="Times New Roman" w:cs="Times New Roman" w:eastAsia="Times New Roman" w:hAnsi="Times New Roman"/>
          <w:sz w:val="18"/>
          <w:szCs w:val="18"/>
          <w:color w:val="auto"/>
        </w:rPr>
        <w:t>This Change Order does not include any follow-up work to evaluate feasibility nor implement changes to other scope including bridge crane, compressor shelter structure analysis or design (including modifications to the compressor shelter roof), nor any mechanical handling study or RAM study to perform the removal of turbine assembly. This Change Order does not address whether the balance of the design under Contractor’s scope will support the removal of the Baker Hughes gas turbine as a single unit and whether such will be practicable. Any other scope changes required to facilitate removal and replacement of the Baker Hughes gas turbine as a single unit may be captured in a future Change Order.</w:t>
      </w:r>
    </w:p>
    <w:p>
      <w:pPr>
        <w:spacing w:after="0" w:line="71"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A, Schedule A-2 (Basis of Design), Section 8.5 (Liquefaction and Refrigeration (Unit 14));</w:t>
      </w:r>
    </w:p>
    <w:p>
      <w:pPr>
        <w:spacing w:after="0" w:line="121" w:lineRule="exact"/>
        <w:rPr>
          <w:rFonts w:ascii="Times New Roman" w:cs="Times New Roman" w:eastAsia="Times New Roman" w:hAnsi="Times New Roman"/>
          <w:sz w:val="18"/>
          <w:szCs w:val="18"/>
          <w:color w:val="auto"/>
        </w:rPr>
      </w:pPr>
    </w:p>
    <w:p>
      <w:pPr>
        <w:ind w:left="326"/>
        <w:spacing w:after="0"/>
        <w:rPr>
          <w:sz w:val="20"/>
          <w:szCs w:val="20"/>
          <w:color w:val="auto"/>
        </w:rPr>
      </w:pPr>
      <w:r>
        <w:rPr>
          <w:rFonts w:ascii="Times New Roman" w:cs="Times New Roman" w:eastAsia="Times New Roman" w:hAnsi="Times New Roman"/>
          <w:sz w:val="18"/>
          <w:szCs w:val="18"/>
          <w:color w:val="auto"/>
        </w:rPr>
        <w:t>paragraph 2 shall be revised</w:t>
      </w:r>
    </w:p>
    <w:p>
      <w:pPr>
        <w:spacing w:after="0" w:line="117" w:lineRule="exact"/>
        <w:rPr>
          <w:rFonts w:ascii="Times New Roman" w:cs="Times New Roman" w:eastAsia="Times New Roman" w:hAnsi="Times New Roman"/>
          <w:sz w:val="18"/>
          <w:szCs w:val="18"/>
          <w:color w:val="auto"/>
        </w:rPr>
      </w:pPr>
    </w:p>
    <w:p>
      <w:pPr>
        <w:ind w:left="326"/>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17"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Scope of Modifications to the Baker Hughes Provided Equipment.</w:t>
      </w:r>
    </w:p>
    <w:p>
      <w:pPr>
        <w:sectPr>
          <w:pgSz w:w="11900" w:h="16838" w:orient="portrait"/>
          <w:cols w:equalWidth="0" w:num="1">
            <w:col w:w="11106"/>
          </w:cols>
          <w:pgMar w:left="454" w:top="347" w:right="339" w:bottom="1440" w:gutter="0" w:footer="0" w:header="0"/>
        </w:sectPr>
      </w:pPr>
    </w:p>
    <w:bookmarkStart w:id="346" w:name="page347"/>
    <w:bookmarkEnd w:id="3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1177290</wp:posOffset>
            </wp:positionV>
            <wp:extent cx="6917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8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The original Contract Price was  $3,042,334,000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118,231,482</w:t>
            </w:r>
          </w:p>
        </w:tc>
      </w:tr>
      <w:tr>
        <w:trPr>
          <w:trHeight w:val="30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 xml:space="preserve">The Contract Price prior to this Change Order was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3,160,565,482</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3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283"/>
        </w:trPr>
        <w:tc>
          <w:tcPr>
            <w:tcW w:w="18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$__________ 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5"/>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3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283"/>
        </w:trPr>
        <w:tc>
          <w:tcPr>
            <w:tcW w:w="18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$___________0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5"/>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3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r>
      <w:tr>
        <w:trPr>
          <w:trHeight w:val="283"/>
        </w:trPr>
        <w:tc>
          <w:tcPr>
            <w:tcW w:w="180" w:type="dxa"/>
            <w:vAlign w:val="bottom"/>
          </w:tcPr>
          <w:p>
            <w:pPr>
              <w:spacing w:after="0"/>
              <w:rPr>
                <w:sz w:val="24"/>
                <w:szCs w:val="24"/>
                <w:color w:val="auto"/>
              </w:rPr>
            </w:pPr>
          </w:p>
        </w:tc>
        <w:tc>
          <w:tcPr>
            <w:tcW w:w="52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by this Change Order in the amount of  $___________0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3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The new Contract Price including this Change Order will be  $3,160,565,482</w:t>
            </w:r>
          </w:p>
        </w:tc>
      </w:tr>
      <w:tr>
        <w:trPr>
          <w:trHeight w:val="20"/>
        </w:trPr>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17" w:lineRule="exact"/>
        <w:rPr>
          <w:sz w:val="20"/>
          <w:szCs w:val="20"/>
          <w:color w:val="auto"/>
        </w:rPr>
      </w:pPr>
    </w:p>
    <w:p>
      <w:pPr>
        <w:jc w:val="both"/>
        <w:ind w:right="4360"/>
        <w:spacing w:after="0" w:line="45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0" w:lineRule="exact"/>
        <w:rPr>
          <w:sz w:val="20"/>
          <w:szCs w:val="20"/>
          <w:color w:val="auto"/>
        </w:rPr>
      </w:pP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 Payment Schedule: 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Yes, refer to Schedule A-2, section 8.5 as redlined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ectPr>
          <w:pgSz w:w="11900" w:h="16838" w:orient="portrait"/>
          <w:cols w:equalWidth="0" w:num="1">
            <w:col w:w="10940"/>
          </w:cols>
          <w:pgMar w:left="460" w:top="1440" w:right="499" w:bottom="1440" w:gutter="0" w:footer="0" w:header="0"/>
        </w:sectPr>
      </w:pPr>
    </w:p>
    <w:bookmarkStart w:id="347" w:name="page348"/>
    <w:bookmarkEnd w:id="347"/>
    <w:p>
      <w:pPr>
        <w:spacing w:after="0" w:line="311" w:lineRule="exact"/>
        <w:rPr>
          <w:sz w:val="20"/>
          <w:szCs w:val="20"/>
          <w:color w:val="auto"/>
        </w:rPr>
      </w:pPr>
    </w:p>
    <w:p>
      <w:pPr>
        <w:ind w:left="140" w:hanging="6"/>
        <w:spacing w:after="0" w:line="286" w:lineRule="auto"/>
        <w:tabs>
          <w:tab w:leader="none" w:pos="66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SFO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46" w:lineRule="exact"/>
        <w:rPr>
          <w:rFonts w:ascii="Times New Roman" w:cs="Times New Roman" w:eastAsia="Times New Roman" w:hAnsi="Times New Roman"/>
          <w:sz w:val="18"/>
          <w:szCs w:val="18"/>
          <w:color w:val="auto"/>
        </w:rPr>
      </w:pPr>
    </w:p>
    <w:p>
      <w:pPr>
        <w:jc w:val="both"/>
        <w:ind w:left="140" w:hanging="6"/>
        <w:spacing w:after="0" w:line="268" w:lineRule="auto"/>
        <w:tabs>
          <w:tab w:leader="none" w:pos="65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96"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23317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23399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120" w:space="720"/>
            <w:col w:w="5400"/>
          </w:cols>
          <w:pgMar w:left="320" w:top="1440" w:right="339" w:bottom="1440" w:gutter="0" w:footer="0" w:header="0"/>
          <w:type w:val="continuous"/>
        </w:sectPr>
      </w:pPr>
    </w:p>
    <w:bookmarkStart w:id="348" w:name="page349"/>
    <w:bookmarkEnd w:id="348"/>
    <w:p>
      <w:pPr>
        <w:spacing w:after="0" w:line="218" w:lineRule="auto"/>
        <w:framePr w:w="4540" w:h="376" w:wrap="auto" w:vAnchor="page" w:hAnchor="page" w:x="860" w:y="288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spacing w:after="0" w:line="196" w:lineRule="auto"/>
        <w:framePr w:w="2560" w:h="160" w:wrap="auto" w:vAnchor="page" w:hAnchor="page" w:x="860" w:y="369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20" w:h="160" w:wrap="auto" w:vAnchor="page" w:hAnchor="page" w:x="860" w:y="427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218" w:lineRule="auto"/>
        <w:framePr w:w="4320" w:h="376" w:wrap="auto" w:vAnchor="page" w:hAnchor="page" w:x="860" w:y="22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48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Owner EC Number: EC00151</w:t>
      </w:r>
    </w:p>
    <w:p>
      <w:pPr>
        <w:spacing w:after="0" w:line="9"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Contractor Change Number SCT3031</w:t>
      </w:r>
    </w:p>
    <w:p>
      <w:pPr>
        <w:spacing w:after="0" w:line="149"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May 10,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TITLE: ATTACHMENT KK BASELINE INDEX VALUE UPDATES FOR Q1-2024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173355</wp:posOffset>
            </wp:positionH>
            <wp:positionV relativeFrom="paragraph">
              <wp:posOffset>25400</wp:posOffset>
            </wp:positionV>
            <wp:extent cx="6626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1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This Change Order incorporates updates to Attachment KK (Commodity Price Rise and Fall) for the Transaction Period comprising Quarter 1 of 2024:</w:t>
      </w:r>
    </w:p>
    <w:p>
      <w:pPr>
        <w:spacing w:after="0" w:line="113"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Previously Executed Change Orders</w:t>
      </w:r>
    </w:p>
    <w:p>
      <w:pPr>
        <w:spacing w:after="0" w:line="121"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Column A (Max Commodity Value), Column E (Expenditure Value), and Column F (Commodity Value Subject to Index) are adjusted to align with the previously executed Change Order EC00096_SCT3024 (Attachment KK Baseline Index Value Updates) which are a result of the re-baseline of Column D relative to NTP (Baseline Index).</w:t>
      </w:r>
    </w:p>
    <w:p>
      <w:pPr>
        <w:spacing w:after="0" w:line="63" w:lineRule="exact"/>
        <w:rPr>
          <w:rFonts w:ascii="Times New Roman" w:cs="Times New Roman" w:eastAsia="Times New Roman" w:hAnsi="Times New Roman"/>
          <w:sz w:val="18"/>
          <w:szCs w:val="18"/>
          <w:b w:val="1"/>
          <w:bCs w:val="1"/>
          <w:color w:val="auto"/>
        </w:rPr>
      </w:pPr>
    </w:p>
    <w:p>
      <w:pPr>
        <w:ind w:left="620" w:hanging="303"/>
        <w:spacing w:after="0"/>
        <w:tabs>
          <w:tab w:leader="none" w:pos="62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Exchange Rate</w:t>
      </w:r>
    </w:p>
    <w:p>
      <w:pPr>
        <w:spacing w:after="0" w:line="121" w:lineRule="exact"/>
        <w:rPr>
          <w:rFonts w:ascii="Times New Roman" w:cs="Times New Roman" w:eastAsia="Times New Roman" w:hAnsi="Times New Roman"/>
          <w:sz w:val="18"/>
          <w:szCs w:val="18"/>
          <w:b w:val="1"/>
          <w:bCs w:val="1"/>
          <w:color w:val="auto"/>
        </w:rPr>
      </w:pPr>
    </w:p>
    <w:p>
      <w:pPr>
        <w:jc w:val="both"/>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Resulting from previously executed Change Order EC00065_SCT3015 (NTP Contract Price Adjustment for Foreign Currency), Attachment KK, Appendix 1 payment calculation tables for the following commodities, as listed in First Amended Appendix 1 (Commodity Price Rise and Fall Payment Calculation), require an adjustment to Column D (Baseline Index), to be comprised of the exchange rate of 1.1233 U.S. Dollars to Euro used to calculate the Contract Price.</w:t>
      </w:r>
    </w:p>
    <w:p>
      <w:pPr>
        <w:spacing w:after="0" w:line="71" w:lineRule="exact"/>
        <w:rPr>
          <w:rFonts w:ascii="Times New Roman" w:cs="Times New Roman" w:eastAsia="Times New Roman" w:hAnsi="Times New Roman"/>
          <w:sz w:val="18"/>
          <w:szCs w:val="18"/>
          <w:b w:val="1"/>
          <w:bCs w:val="1"/>
          <w:color w:val="auto"/>
        </w:rPr>
      </w:pPr>
    </w:p>
    <w:p>
      <w:pPr>
        <w:ind w:left="1140" w:hanging="175"/>
        <w:spacing w:after="0"/>
        <w:tabs>
          <w:tab w:leader="none" w:pos="11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117" w:lineRule="exact"/>
        <w:rPr>
          <w:rFonts w:ascii="Times New Roman" w:cs="Times New Roman" w:eastAsia="Times New Roman" w:hAnsi="Times New Roman"/>
          <w:sz w:val="18"/>
          <w:szCs w:val="18"/>
          <w:color w:val="auto"/>
        </w:rPr>
      </w:pPr>
    </w:p>
    <w:p>
      <w:pPr>
        <w:ind w:left="1140" w:hanging="175"/>
        <w:spacing w:after="0"/>
        <w:tabs>
          <w:tab w:leader="none" w:pos="11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113" w:lineRule="exact"/>
        <w:rPr>
          <w:rFonts w:ascii="Times New Roman" w:cs="Times New Roman" w:eastAsia="Times New Roman" w:hAnsi="Times New Roman"/>
          <w:sz w:val="18"/>
          <w:szCs w:val="18"/>
          <w:color w:val="auto"/>
        </w:rPr>
      </w:pPr>
    </w:p>
    <w:p>
      <w:pPr>
        <w:ind w:left="620" w:hanging="303"/>
        <w:spacing w:after="0"/>
        <w:tabs>
          <w:tab w:leader="none" w:pos="62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Rise and Fall – Current Index Value Update for Q1 – 2024</w:t>
      </w:r>
    </w:p>
    <w:p>
      <w:pPr>
        <w:spacing w:after="0" w:line="121" w:lineRule="exact"/>
        <w:rPr>
          <w:rFonts w:ascii="Times New Roman" w:cs="Times New Roman" w:eastAsia="Times New Roman" w:hAnsi="Times New Roman"/>
          <w:sz w:val="18"/>
          <w:szCs w:val="18"/>
          <w:b w:val="1"/>
          <w:bCs w:val="1"/>
          <w:color w:val="auto"/>
        </w:rPr>
      </w:pPr>
    </w:p>
    <w:p>
      <w:pPr>
        <w:jc w:val="both"/>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Q1-2024 are:</w:t>
      </w:r>
    </w:p>
    <w:p>
      <w:pPr>
        <w:spacing w:after="0" w:line="71" w:lineRule="exact"/>
        <w:rPr>
          <w:rFonts w:ascii="Times New Roman" w:cs="Times New Roman" w:eastAsia="Times New Roman" w:hAnsi="Times New Roman"/>
          <w:sz w:val="18"/>
          <w:szCs w:val="18"/>
          <w:b w:val="1"/>
          <w:bCs w:val="1"/>
          <w:color w:val="auto"/>
        </w:rPr>
      </w:pPr>
    </w:p>
    <w:p>
      <w:pPr>
        <w:ind w:left="1140" w:hanging="175"/>
        <w:spacing w:after="0"/>
        <w:tabs>
          <w:tab w:leader="none" w:pos="11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117" w:lineRule="exact"/>
        <w:rPr>
          <w:rFonts w:ascii="Times New Roman" w:cs="Times New Roman" w:eastAsia="Times New Roman" w:hAnsi="Times New Roman"/>
          <w:sz w:val="18"/>
          <w:szCs w:val="18"/>
          <w:color w:val="auto"/>
        </w:rPr>
      </w:pPr>
    </w:p>
    <w:p>
      <w:pPr>
        <w:ind w:left="960"/>
        <w:spacing w:after="0"/>
        <w:rPr>
          <w:sz w:val="20"/>
          <w:szCs w:val="20"/>
          <w:color w:val="auto"/>
        </w:rPr>
      </w:pPr>
      <w:r>
        <w:rPr>
          <w:rFonts w:ascii="Times New Roman" w:cs="Times New Roman" w:eastAsia="Times New Roman" w:hAnsi="Times New Roman"/>
          <w:sz w:val="18"/>
          <w:szCs w:val="18"/>
          <w:color w:val="auto"/>
        </w:rPr>
        <w:t>6. CONSTRUCTION FUEL</w:t>
      </w:r>
    </w:p>
    <w:p>
      <w:pPr>
        <w:spacing w:after="0" w:line="11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rFonts w:ascii="Times New Roman" w:cs="Times New Roman" w:eastAsia="Times New Roman" w:hAnsi="Times New Roman"/>
          <w:sz w:val="18"/>
          <w:szCs w:val="18"/>
          <w:color w:val="auto"/>
        </w:rPr>
      </w:pPr>
    </w:p>
    <w:p>
      <w:pPr>
        <w:ind w:left="360" w:right="160" w:hanging="328"/>
        <w:spacing w:after="0" w:line="286" w:lineRule="auto"/>
        <w:tabs>
          <w:tab w:leader="none" w:pos="35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Amended Appendix 1 (Commodity Price Rise and Fall Calculation) as provided in Attachment 1 to this Change Order.</w:t>
      </w:r>
    </w:p>
    <w:p>
      <w:pPr>
        <w:sectPr>
          <w:pgSz w:w="11900" w:h="16838" w:orient="portrait"/>
          <w:cols w:equalWidth="0" w:num="1">
            <w:col w:w="11100"/>
          </w:cols>
          <w:pgMar w:left="460" w:top="1418" w:right="339" w:bottom="1440" w:gutter="0" w:footer="0" w:header="0"/>
        </w:sectPr>
      </w:pPr>
    </w:p>
    <w:bookmarkStart w:id="349" w:name="page350"/>
    <w:bookmarkEnd w:id="349"/>
    <w:p>
      <w:pPr>
        <w:ind w:left="360" w:right="240" w:hanging="328"/>
        <w:spacing w:after="0" w:line="286" w:lineRule="auto"/>
        <w:tabs>
          <w:tab w:leader="none" w:pos="35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2 to this Change Order.</w:t>
      </w:r>
    </w:p>
    <w:p>
      <w:pPr>
        <w:spacing w:after="0" w:line="46" w:lineRule="exact"/>
        <w:rPr>
          <w:rFonts w:ascii="Times New Roman" w:cs="Times New Roman" w:eastAsia="Times New Roman" w:hAnsi="Times New Roman"/>
          <w:sz w:val="18"/>
          <w:szCs w:val="18"/>
          <w:color w:val="auto"/>
        </w:rPr>
      </w:pPr>
    </w:p>
    <w:p>
      <w:pPr>
        <w:ind w:left="360" w:hanging="328"/>
        <w:spacing w:after="0" w:line="286" w:lineRule="auto"/>
        <w:tabs>
          <w:tab w:leader="none" w:pos="35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3 to this Change Order.</w:t>
      </w:r>
    </w:p>
    <w:p>
      <w:pPr>
        <w:spacing w:after="0" w:line="33" w:lineRule="exact"/>
        <w:rPr>
          <w:rFonts w:ascii="Times New Roman" w:cs="Times New Roman" w:eastAsia="Times New Roman" w:hAnsi="Times New Roman"/>
          <w:sz w:val="18"/>
          <w:szCs w:val="18"/>
          <w:color w:val="auto"/>
        </w:rPr>
      </w:pPr>
    </w:p>
    <w:p>
      <w:pPr>
        <w:ind w:left="380" w:right="2740" w:hanging="348"/>
        <w:spacing w:after="0" w:line="255" w:lineRule="auto"/>
        <w:tabs>
          <w:tab w:leader="none" w:pos="36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4 to this Change Order.</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0" w:lineRule="exact"/>
        <w:rPr>
          <w:sz w:val="20"/>
          <w:szCs w:val="20"/>
          <w:color w:val="auto"/>
        </w:rPr>
      </w:pPr>
    </w:p>
    <w:p>
      <w:pPr>
        <w:ind w:left="660" w:right="100" w:hanging="325"/>
        <w:spacing w:after="0" w:line="211" w:lineRule="auto"/>
        <w:tabs>
          <w:tab w:leader="none" w:pos="6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ind w:left="660" w:hanging="325"/>
        <w:spacing w:after="0" w:line="203"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First Amended Attachment C, First Amended Appendix 1 (Contract Price Breakdown), as updated by this Change Order</w:t>
      </w:r>
    </w:p>
    <w:p>
      <w:pPr>
        <w:ind w:left="660" w:hanging="325"/>
        <w:spacing w:after="0" w:line="203" w:lineRule="auto"/>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Schedule C-2 (Payment Milestones), as updated by this Change Order</w:t>
      </w:r>
    </w:p>
    <w:p>
      <w:pPr>
        <w:ind w:left="660" w:right="380" w:hanging="325"/>
        <w:spacing w:after="0" w:line="219" w:lineRule="auto"/>
        <w:tabs>
          <w:tab w:leader="none" w:pos="6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Attachment C, First Amended Schedule C-3 (Maximum Cumulative Payment Schedule), as updated by this Change Order.</w:t>
      </w:r>
    </w:p>
    <w:p>
      <w:pPr>
        <w:ind w:left="660" w:hanging="325"/>
        <w:spacing w:after="0"/>
        <w:tabs>
          <w:tab w:leader="none" w:pos="6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5 – Contract Price Adjustment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55880</wp:posOffset>
            </wp:positionV>
            <wp:extent cx="6909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618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$ 3,042,334,000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w w:val="94"/>
              </w:rPr>
              <w:t>Net change by previously authorized Change Orders (See Appendix 1) .............................</w:t>
            </w:r>
          </w:p>
        </w:tc>
        <w:tc>
          <w:tcPr>
            <w:tcW w:w="1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$ 118,231,482</w:t>
            </w:r>
          </w:p>
        </w:tc>
      </w:tr>
      <w:tr>
        <w:trPr>
          <w:trHeight w:val="183"/>
        </w:trPr>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6180" w:type="dxa"/>
            <w:vAlign w:val="bottom"/>
            <w:gridSpan w:val="7"/>
          </w:tcPr>
          <w:p>
            <w:pPr>
              <w:ind w:left="8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$ 3,160,565,482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w:t>
            </w:r>
          </w:p>
        </w:tc>
        <w:tc>
          <w:tcPr>
            <w:tcW w:w="6180" w:type="dxa"/>
            <w:vAlign w:val="bottom"/>
            <w:gridSpan w:val="7"/>
          </w:tcPr>
          <w:p>
            <w:pPr>
              <w:ind w:left="8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540" w:type="dxa"/>
            <w:vAlign w:val="bottom"/>
          </w:tcPr>
          <w:p>
            <w:pPr>
              <w:spacing w:after="0"/>
              <w:rPr>
                <w:sz w:val="18"/>
                <w:szCs w:val="18"/>
                <w:color w:val="auto"/>
              </w:rPr>
            </w:pPr>
          </w:p>
        </w:tc>
        <w:tc>
          <w:tcPr>
            <w:tcW w:w="61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4"/>
              </w:rPr>
              <w:t>in the amount of ...................................................................................................................</w:t>
            </w: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540" w:type="dxa"/>
            <w:vAlign w:val="bottom"/>
          </w:tcPr>
          <w:p>
            <w:pPr>
              <w:spacing w:after="0"/>
              <w:rPr>
                <w:sz w:val="17"/>
                <w:szCs w:val="17"/>
                <w:color w:val="auto"/>
              </w:rPr>
            </w:pPr>
          </w:p>
        </w:tc>
        <w:tc>
          <w:tcPr>
            <w:tcW w:w="6180" w:type="dxa"/>
            <w:vAlign w:val="bottom"/>
            <w:gridSpan w:val="7"/>
          </w:tcPr>
          <w:p>
            <w:pPr>
              <w:ind w:left="100"/>
              <w:spacing w:after="0" w:line="199" w:lineRule="exact"/>
              <w:rPr>
                <w:sz w:val="20"/>
                <w:szCs w:val="20"/>
                <w:color w:val="auto"/>
              </w:rPr>
            </w:pPr>
            <w:r>
              <w:rPr>
                <w:rFonts w:ascii="Times New Roman" w:cs="Times New Roman" w:eastAsia="Times New Roman" w:hAnsi="Times New Roman"/>
                <w:sz w:val="18"/>
                <w:szCs w:val="18"/>
                <w:color w:val="auto"/>
                <w:w w:val="94"/>
              </w:rPr>
              <w:t>in the amount of ...................................................................................................................</w:t>
            </w:r>
          </w:p>
        </w:tc>
        <w:tc>
          <w:tcPr>
            <w:tcW w:w="1360" w:type="dxa"/>
            <w:vAlign w:val="bottom"/>
            <w:gridSpan w:val="3"/>
          </w:tcPr>
          <w:p>
            <w:pPr>
              <w:ind w:left="3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r>
      <w:tr>
        <w:trPr>
          <w:trHeight w:val="2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540" w:type="dxa"/>
            <w:vAlign w:val="bottom"/>
          </w:tcPr>
          <w:p>
            <w:pPr>
              <w:spacing w:after="0"/>
              <w:rPr>
                <w:sz w:val="16"/>
                <w:szCs w:val="16"/>
                <w:color w:val="auto"/>
              </w:rPr>
            </w:pPr>
          </w:p>
        </w:tc>
        <w:tc>
          <w:tcPr>
            <w:tcW w:w="6180" w:type="dxa"/>
            <w:vAlign w:val="bottom"/>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w w:val="94"/>
              </w:rPr>
              <w:t>by this Change Order in the amount of ................................................................................</w:t>
            </w:r>
          </w:p>
        </w:tc>
        <w:tc>
          <w:tcPr>
            <w:tcW w:w="142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8"/>
                <w:szCs w:val="18"/>
                <w:color w:val="auto"/>
              </w:rPr>
              <w:t>$  (433,497)</w:t>
            </w: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$ 3,160,131,985</w:t>
            </w:r>
          </w:p>
        </w:tc>
        <w:tc>
          <w:tcPr>
            <w:tcW w:w="3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Key Dates that are modified by this Change Order using the format set forth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w:t>
      </w:r>
    </w:p>
    <w:p>
      <w:pPr>
        <w:sectPr>
          <w:pgSz w:w="11900" w:h="16838" w:orient="portrait"/>
          <w:cols w:equalWidth="0" w:num="1">
            <w:col w:w="11060"/>
          </w:cols>
          <w:pgMar w:left="460" w:top="1359" w:right="37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266" w:lineRule="exact"/>
        <w:rPr>
          <w:sz w:val="20"/>
          <w:szCs w:val="20"/>
          <w:color w:val="auto"/>
        </w:rPr>
      </w:pPr>
    </w:p>
    <w:p>
      <w:pPr>
        <w:ind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$27,416,081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$27,311,550, a decrease of $104,531.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firstLine="8"/>
        <w:spacing w:after="0" w:line="268" w:lineRule="auto"/>
        <w:tabs>
          <w:tab w:leader="none" w:pos="64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SFO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11" w:lineRule="exact"/>
        <w:rPr>
          <w:rFonts w:ascii="Times New Roman" w:cs="Times New Roman" w:eastAsia="Times New Roman" w:hAnsi="Times New Roman"/>
          <w:sz w:val="18"/>
          <w:szCs w:val="18"/>
          <w:color w:val="auto"/>
        </w:rPr>
      </w:pPr>
    </w:p>
    <w:p>
      <w:pPr>
        <w:jc w:val="both"/>
        <w:ind w:firstLine="8"/>
        <w:spacing w:after="0" w:line="259" w:lineRule="auto"/>
        <w:tabs>
          <w:tab w:leader="none" w:pos="64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0629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-19050</wp:posOffset>
            </wp:positionV>
            <wp:extent cx="1460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-19050</wp:posOffset>
            </wp:positionV>
            <wp:extent cx="1524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060"/>
          </w:cols>
          <w:pgMar w:left="320" w:top="1359" w:right="51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2305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056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056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056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29845</wp:posOffset>
            </wp:positionV>
            <wp:extent cx="23056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40" w:space="720"/>
            <w:col w:w="5300"/>
          </w:cols>
          <w:pgMar w:left="320" w:top="1359" w:right="519" w:bottom="1440" w:gutter="0" w:footer="0" w:header="0"/>
          <w:type w:val="continuous"/>
        </w:sectPr>
      </w:pPr>
    </w:p>
    <w:bookmarkStart w:id="351" w:name="page352"/>
    <w:bookmarkEnd w:id="351"/>
    <w:p>
      <w:pPr>
        <w:spacing w:after="0" w:line="218" w:lineRule="auto"/>
        <w:framePr w:w="4540" w:h="376" w:wrap="auto" w:vAnchor="page" w:hAnchor="page" w:x="860" w:y="255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spacing w:after="0" w:line="196" w:lineRule="auto"/>
        <w:framePr w:w="2560" w:h="160" w:wrap="auto" w:vAnchor="page" w:hAnchor="page" w:x="860" w:y="336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20" w:h="160" w:wrap="auto" w:vAnchor="page" w:hAnchor="page" w:x="860" w:y="394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218" w:lineRule="auto"/>
        <w:framePr w:w="4320" w:h="376" w:wrap="auto" w:vAnchor="page" w:hAnchor="page" w:x="860" w:y="196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jc w:val="center"/>
        <w:ind w:right="-45"/>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486"/>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Owner EC Number: EC00153</w:t>
      </w:r>
    </w:p>
    <w:p>
      <w:pPr>
        <w:spacing w:after="0" w:line="9"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Contractor Change Number SCT3032</w:t>
      </w:r>
    </w:p>
    <w:p>
      <w:pPr>
        <w:spacing w:after="0" w:line="149"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366"/>
        <w:spacing w:after="0"/>
        <w:rPr>
          <w:sz w:val="20"/>
          <w:szCs w:val="20"/>
          <w:color w:val="auto"/>
        </w:rPr>
      </w:pPr>
      <w:r>
        <w:rPr>
          <w:rFonts w:ascii="Times New Roman" w:cs="Times New Roman" w:eastAsia="Times New Roman" w:hAnsi="Times New Roman"/>
          <w:sz w:val="18"/>
          <w:szCs w:val="18"/>
          <w:color w:val="auto"/>
        </w:rPr>
        <w:t>May 13,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center"/>
        <w:ind w:right="-45"/>
        <w:spacing w:after="0"/>
        <w:rPr>
          <w:sz w:val="20"/>
          <w:szCs w:val="20"/>
          <w:color w:val="auto"/>
        </w:rPr>
      </w:pPr>
      <w:r>
        <w:rPr>
          <w:rFonts w:ascii="Times New Roman" w:cs="Times New Roman" w:eastAsia="Times New Roman" w:hAnsi="Times New Roman"/>
          <w:sz w:val="20"/>
          <w:szCs w:val="20"/>
          <w:b w:val="1"/>
          <w:bCs w:val="1"/>
          <w:color w:val="auto"/>
        </w:rPr>
        <w:t>TITLE: WATER COST REIMBURSEMENT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177165</wp:posOffset>
            </wp:positionH>
            <wp:positionV relativeFrom="paragraph">
              <wp:posOffset>25400</wp:posOffset>
            </wp:positionV>
            <wp:extent cx="6626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06"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12"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16" w:lineRule="exact"/>
        <w:rPr>
          <w:rFonts w:ascii="Times New Roman" w:cs="Times New Roman" w:eastAsia="Times New Roman" w:hAnsi="Times New Roman"/>
          <w:sz w:val="18"/>
          <w:szCs w:val="18"/>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Per Agreement Section 3.15 (Temporary Utilities, Roads, Facilities, and Storage), Prior to Substantial Completion and except for those utilities designated to be provided by Owner pursuant to Article 4, Contractor shall provide and pay for all utilities (e.g., electricity, water, communication, cable, telephone, waste and sewer), including all connections and substations, necessary for the performance of the Work, including installation, Permit and usage costs.</w:t>
      </w:r>
    </w:p>
    <w:p>
      <w:pPr>
        <w:spacing w:after="0" w:line="207"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BND requires Site lessee, rather than Contractor, to request the water connection and water service.</w:t>
      </w:r>
    </w:p>
    <w:p>
      <w:pPr>
        <w:spacing w:after="0" w:line="252" w:lineRule="exact"/>
        <w:rPr>
          <w:rFonts w:ascii="Times New Roman" w:cs="Times New Roman" w:eastAsia="Times New Roman" w:hAnsi="Times New Roman"/>
          <w:sz w:val="18"/>
          <w:szCs w:val="18"/>
          <w:color w:val="auto"/>
        </w:rPr>
      </w:pPr>
    </w:p>
    <w:p>
      <w:pPr>
        <w:jc w:val="both"/>
        <w:ind w:left="6"/>
        <w:spacing w:after="0" w:line="282" w:lineRule="auto"/>
        <w:rPr>
          <w:sz w:val="20"/>
          <w:szCs w:val="20"/>
          <w:color w:val="auto"/>
        </w:rPr>
      </w:pPr>
      <w:r>
        <w:rPr>
          <w:rFonts w:ascii="Times New Roman" w:cs="Times New Roman" w:eastAsia="Times New Roman" w:hAnsi="Times New Roman"/>
          <w:sz w:val="18"/>
          <w:szCs w:val="18"/>
          <w:color w:val="auto"/>
        </w:rPr>
        <w:t>Also reference Attachment V (Owner Furnished Items) item No. 4 (Installation of a fresh water supply line and tie-in point(s) completed) and Parties’ obligations as set-out in Change Order EC00011_SC0007 (Temporary Water – NTP+3M) to the Trains 1and 2 EPC Agreement.</w:t>
      </w:r>
    </w:p>
    <w:p>
      <w:pPr>
        <w:spacing w:after="0" w:line="15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6" w:lineRule="exact"/>
        <w:rPr>
          <w:rFonts w:ascii="Times New Roman" w:cs="Times New Roman" w:eastAsia="Times New Roman" w:hAnsi="Times New Roman"/>
          <w:sz w:val="18"/>
          <w:szCs w:val="18"/>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Owner will request the water connection and water service and Owner will receive invoices from the BND. Within 5 Days of receipt, Owner will provide to Contractor a copy of each such invoice and Contractor shall provide a credit memo for 100% of the undisputed invoice amount on Contractor’s Monthly Invoice. This will occur for the duration of the Contractor’s obligation to provide water.</w:t>
      </w:r>
    </w:p>
    <w:p>
      <w:pPr>
        <w:spacing w:after="0" w:line="199" w:lineRule="exact"/>
        <w:rPr>
          <w:rFonts w:ascii="Times New Roman" w:cs="Times New Roman" w:eastAsia="Times New Roman" w:hAnsi="Times New Roman"/>
          <w:sz w:val="18"/>
          <w:szCs w:val="18"/>
          <w:color w:val="auto"/>
        </w:rPr>
      </w:pPr>
    </w:p>
    <w:p>
      <w:pPr>
        <w:ind w:left="326" w:right="180" w:hanging="326"/>
        <w:spacing w:after="0" w:line="286" w:lineRule="auto"/>
        <w:tabs>
          <w:tab w:leader="none" w:pos="32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I, Schedule I-1 (Form of Contractor’s Interim Invoice)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I-1 as provided in Attachment 1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w:t>
      </w:r>
    </w:p>
    <w:p>
      <w:pPr>
        <w:spacing w:after="0" w:line="294"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Attachment I, Schedule I-1 (Form of Contractor’s Interim Invoice), as updated by this Change Order</w:t>
      </w:r>
    </w:p>
    <w:p>
      <w:pPr>
        <w:sectPr>
          <w:pgSz w:w="11900" w:h="16838" w:orient="portrait"/>
          <w:cols w:equalWidth="0" w:num="1">
            <w:col w:w="10926"/>
          </w:cols>
          <w:pgMar w:left="454" w:top="1094" w:right="519" w:bottom="1440" w:gutter="0" w:footer="0" w:header="0"/>
        </w:sectPr>
      </w:pPr>
    </w:p>
    <w:bookmarkStart w:id="352" w:name="page353"/>
    <w:bookmarkEnd w:id="352"/>
    <w:tbl>
      <w:tblPr>
        <w:tblLayout w:type="fixed"/>
        <w:tblInd w:w="140" w:type="dxa"/>
        <w:tblCellMar>
          <w:top w:w="0" w:type="dxa"/>
          <w:left w:w="0" w:type="dxa"/>
          <w:bottom w:w="0" w:type="dxa"/>
          <w:right w:w="0" w:type="dxa"/>
        </w:tblCellMar>
      </w:tblPr>
      <w:tr>
        <w:trPr>
          <w:trHeight w:val="220"/>
        </w:trPr>
        <w:tc>
          <w:tcPr>
            <w:tcW w:w="3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220" w:type="dxa"/>
            <w:vAlign w:val="bottom"/>
            <w:gridSpan w:val="12"/>
          </w:tcPr>
          <w:p>
            <w:pPr>
              <w:ind w:left="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$3,042,334,000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220" w:type="dxa"/>
            <w:vAlign w:val="bottom"/>
            <w:gridSpan w:val="12"/>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$ 118,231,482</w:t>
            </w: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220" w:type="dxa"/>
            <w:vAlign w:val="bottom"/>
            <w:gridSpan w:val="12"/>
          </w:tcPr>
          <w:p>
            <w:pPr>
              <w:ind w:left="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$3,160,565,482</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34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194"/>
        </w:trPr>
        <w:tc>
          <w:tcPr>
            <w:tcW w:w="18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194"/>
        </w:trPr>
        <w:tc>
          <w:tcPr>
            <w:tcW w:w="180" w:type="dxa"/>
            <w:vAlign w:val="bottom"/>
          </w:tcPr>
          <w:p>
            <w:pPr>
              <w:spacing w:after="0"/>
              <w:rPr>
                <w:sz w:val="16"/>
                <w:szCs w:val="16"/>
                <w:color w:val="auto"/>
              </w:rPr>
            </w:pPr>
          </w:p>
        </w:tc>
        <w:tc>
          <w:tcPr>
            <w:tcW w:w="1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34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r>
      <w:tr>
        <w:trPr>
          <w:trHeight w:val="194"/>
        </w:trPr>
        <w:tc>
          <w:tcPr>
            <w:tcW w:w="180" w:type="dxa"/>
            <w:vAlign w:val="bottom"/>
          </w:tcPr>
          <w:p>
            <w:pPr>
              <w:spacing w:after="0"/>
              <w:rPr>
                <w:sz w:val="16"/>
                <w:szCs w:val="16"/>
                <w:color w:val="auto"/>
              </w:rPr>
            </w:pPr>
          </w:p>
        </w:tc>
        <w:tc>
          <w:tcPr>
            <w:tcW w:w="3100" w:type="dxa"/>
            <w:vAlign w:val="bottom"/>
            <w:gridSpan w:val="6"/>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340" w:type="dxa"/>
            <w:vAlign w:val="bottom"/>
            <w:gridSpan w:val="15"/>
          </w:tcPr>
          <w:p>
            <w:pPr>
              <w:ind w:left="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$3,160,565,482</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062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46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 Payment Schedule: 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Performance Guarantees: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Basis of Design: </w:t>
      </w: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the Total Reimbursement Amount: N/A.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140" w:hanging="5"/>
        <w:spacing w:after="0" w:line="286" w:lineRule="auto"/>
        <w:tabs>
          <w:tab w:leader="none" w:pos="66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5" w:lineRule="exact"/>
        <w:rPr>
          <w:rFonts w:ascii="Times New Roman" w:cs="Times New Roman" w:eastAsia="Times New Roman" w:hAnsi="Times New Roman"/>
          <w:sz w:val="18"/>
          <w:szCs w:val="18"/>
          <w:color w:val="auto"/>
        </w:rPr>
      </w:pPr>
    </w:p>
    <w:p>
      <w:pPr>
        <w:jc w:val="both"/>
        <w:ind w:left="140" w:hanging="6"/>
        <w:spacing w:after="0" w:line="268" w:lineRule="auto"/>
        <w:tabs>
          <w:tab w:leader="none" w:pos="65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1060"/>
          </w:cols>
          <w:pgMar w:left="320" w:top="1224" w:right="519" w:bottom="1440" w:gutter="0" w:footer="0" w:header="0"/>
        </w:sectPr>
      </w:pPr>
    </w:p>
    <w:bookmarkStart w:id="353" w:name="page354"/>
    <w:bookmarkEnd w:id="353"/>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040"/>
          </w:cols>
          <w:pgMar w:left="340" w:top="1039" w:right="51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23056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3056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3056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23056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29845</wp:posOffset>
            </wp:positionV>
            <wp:extent cx="23056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22860</wp:posOffset>
            </wp:positionV>
            <wp:extent cx="23056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020" w:space="720"/>
            <w:col w:w="5300"/>
          </w:cols>
          <w:pgMar w:left="340" w:top="1039" w:right="519" w:bottom="1440" w:gutter="0" w:footer="0" w:header="0"/>
          <w:type w:val="continuous"/>
        </w:sectPr>
      </w:pPr>
    </w:p>
    <w:bookmarkStart w:id="354" w:name="page355"/>
    <w:bookmarkEnd w:id="354"/>
    <w:p>
      <w:pPr>
        <w:spacing w:after="0" w:line="218" w:lineRule="auto"/>
        <w:framePr w:w="4540" w:h="376" w:wrap="auto" w:vAnchor="page" w:hAnchor="page" w:x="860" w:y="288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3</w:t>
      </w:r>
    </w:p>
    <w:p>
      <w:pPr>
        <w:spacing w:after="0" w:line="196" w:lineRule="auto"/>
        <w:framePr w:w="2560" w:h="160" w:wrap="auto" w:vAnchor="page" w:hAnchor="page" w:x="860" w:y="369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 </w:t>
      </w:r>
      <w:r>
        <w:rPr>
          <w:rFonts w:ascii="Times New Roman" w:cs="Times New Roman" w:eastAsia="Times New Roman" w:hAnsi="Times New Roman"/>
          <w:sz w:val="17"/>
          <w:szCs w:val="17"/>
          <w:color w:val="auto"/>
        </w:rPr>
        <w:t>Rio Grande LNG, LLC</w:t>
      </w:r>
    </w:p>
    <w:p>
      <w:pPr>
        <w:spacing w:after="0" w:line="196" w:lineRule="auto"/>
        <w:framePr w:w="2920" w:h="160" w:wrap="auto" w:vAnchor="page" w:hAnchor="page" w:x="860" w:y="4273"/>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218" w:lineRule="auto"/>
        <w:framePr w:w="4320" w:h="376" w:wrap="auto" w:vAnchor="page" w:hAnchor="page" w:x="860" w:y="22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rFonts w:ascii="Times New Roman" w:cs="Times New Roman" w:eastAsia="Times New Roman" w:hAnsi="Times New Roman"/>
          <w:sz w:val="18"/>
          <w:szCs w:val="18"/>
          <w:color w:val="auto"/>
        </w:rPr>
      </w:pPr>
    </w:p>
    <w:p>
      <w:pPr>
        <w:ind w:left="148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Owner EC Number: EC00115</w:t>
      </w:r>
    </w:p>
    <w:p>
      <w:pPr>
        <w:spacing w:after="0" w:line="9"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Contractor Change Number SCT3030</w:t>
      </w:r>
    </w:p>
    <w:p>
      <w:pPr>
        <w:spacing w:after="0" w:line="149"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color w:val="auto"/>
        </w:rPr>
      </w:pPr>
    </w:p>
    <w:p>
      <w:pPr>
        <w:ind w:left="5360"/>
        <w:spacing w:after="0"/>
        <w:rPr>
          <w:sz w:val="20"/>
          <w:szCs w:val="20"/>
          <w:color w:val="auto"/>
        </w:rPr>
      </w:pPr>
      <w:r>
        <w:rPr>
          <w:rFonts w:ascii="Times New Roman" w:cs="Times New Roman" w:eastAsia="Times New Roman" w:hAnsi="Times New Roman"/>
          <w:sz w:val="18"/>
          <w:szCs w:val="18"/>
          <w:color w:val="auto"/>
        </w:rPr>
        <w:t>June 3,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TITLE: AIMS &amp; CMMS SCOPE DEVELOPMENT TRANSFER TO OWNER</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173355</wp:posOffset>
            </wp:positionH>
            <wp:positionV relativeFrom="paragraph">
              <wp:posOffset>25400</wp:posOffset>
            </wp:positionV>
            <wp:extent cx="66262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6" w:lineRule="exact"/>
        <w:rPr>
          <w:rFonts w:ascii="Times New Roman" w:cs="Times New Roman" w:eastAsia="Times New Roman" w:hAnsi="Times New Roman"/>
          <w:sz w:val="18"/>
          <w:szCs w:val="18"/>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BACKGROUND</w:t>
      </w:r>
    </w:p>
    <w:p>
      <w:pPr>
        <w:spacing w:after="0" w:line="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Owner desires to lead development and implementation of asset integrity management systems (AIMS) and computerized maintenance management systems (CMMS). This Change Order modifies or removes, as redlined in Sections 18 and 29 of Schedule A-1 (Scope of Work), specific items in the Contractor’s scope relating to development and implementation of such systems. Contractor shall continue to obtain and provide Owner all baseline data required to be loaded into AIMS and CMMS.</w:t>
      </w:r>
    </w:p>
    <w:p>
      <w:pPr>
        <w:spacing w:after="0" w:line="72" w:lineRule="exact"/>
        <w:rPr>
          <w:rFonts w:ascii="Times New Roman" w:cs="Times New Roman" w:eastAsia="Times New Roman" w:hAnsi="Times New Roman"/>
          <w:sz w:val="18"/>
          <w:szCs w:val="18"/>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Contractor’s Information Management plan (document # 26251-100-G01-GAN-00004 / RG-BL-000-PIM-PLN- 00006) as reviewed by Owner will be the basis for the development and handover of Contractor and vendor deliverables to support Owner’s drawing and data requirements to operate AIMS and CMMS.</w:t>
      </w:r>
    </w:p>
    <w:p>
      <w:pPr>
        <w:spacing w:after="0" w:line="6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117" w:lineRule="exact"/>
        <w:rPr>
          <w:rFonts w:ascii="Times New Roman" w:cs="Times New Roman" w:eastAsia="Times New Roman" w:hAnsi="Times New Roman"/>
          <w:sz w:val="18"/>
          <w:szCs w:val="18"/>
          <w:color w:val="auto"/>
        </w:rPr>
      </w:pPr>
    </w:p>
    <w:p>
      <w:pPr>
        <w:ind w:left="360" w:hanging="326"/>
        <w:spacing w:after="0"/>
        <w:tabs>
          <w:tab w:leader="none" w:pos="3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Attachment A, Schedule A-1, (Scope of Work) </w:t>
      </w:r>
      <w:r>
        <w:rPr>
          <w:rFonts w:ascii="Times New Roman" w:cs="Times New Roman" w:eastAsia="Times New Roman" w:hAnsi="Times New Roman"/>
          <w:sz w:val="18"/>
          <w:szCs w:val="18"/>
          <w:u w:val="single" w:color="auto"/>
          <w:color w:val="auto"/>
        </w:rPr>
        <w:t>shall be modified as follows:</w:t>
      </w:r>
    </w:p>
    <w:p>
      <w:pPr>
        <w:spacing w:after="0" w:line="117" w:lineRule="exact"/>
        <w:rPr>
          <w:rFonts w:ascii="Times New Roman" w:cs="Times New Roman" w:eastAsia="Times New Roman" w:hAnsi="Times New Roman"/>
          <w:sz w:val="18"/>
          <w:szCs w:val="18"/>
          <w:color w:val="auto"/>
        </w:rPr>
      </w:pPr>
    </w:p>
    <w:p>
      <w:pPr>
        <w:ind w:left="1000" w:right="60" w:hanging="319"/>
        <w:spacing w:after="0" w:line="286" w:lineRule="auto"/>
        <w:tabs>
          <w:tab w:leader="none" w:pos="99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18 (Operations and Maintenance Management Systems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red-line mark-up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Attachment 1 to this Change Order.</w:t>
      </w:r>
    </w:p>
    <w:p>
      <w:pPr>
        <w:spacing w:after="0" w:line="46" w:lineRule="exact"/>
        <w:rPr>
          <w:rFonts w:ascii="Times New Roman" w:cs="Times New Roman" w:eastAsia="Times New Roman" w:hAnsi="Times New Roman"/>
          <w:sz w:val="18"/>
          <w:szCs w:val="18"/>
          <w:color w:val="auto"/>
        </w:rPr>
      </w:pPr>
    </w:p>
    <w:p>
      <w:pPr>
        <w:ind w:left="1000" w:right="180" w:hanging="319"/>
        <w:spacing w:after="0" w:line="286" w:lineRule="auto"/>
        <w:tabs>
          <w:tab w:leader="none" w:pos="10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29 (Information Systems for Owner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red-line mark-up as provided in Attachment 2 to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w:t>
      </w:r>
    </w:p>
    <w:p>
      <w:pPr>
        <w:spacing w:after="0" w:line="46" w:lineRule="exact"/>
        <w:rPr>
          <w:rFonts w:ascii="Times New Roman" w:cs="Times New Roman" w:eastAsia="Times New Roman" w:hAnsi="Times New Roman"/>
          <w:sz w:val="18"/>
          <w:szCs w:val="18"/>
          <w:color w:val="auto"/>
        </w:rPr>
      </w:pPr>
    </w:p>
    <w:p>
      <w:pPr>
        <w:ind w:left="360" w:right="280" w:hanging="326"/>
        <w:spacing w:after="0" w:line="286" w:lineRule="auto"/>
        <w:tabs>
          <w:tab w:leader="none" w:pos="3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3 to this Change Order.</w:t>
      </w:r>
    </w:p>
    <w:p>
      <w:pPr>
        <w:spacing w:after="0" w:line="46" w:lineRule="exact"/>
        <w:rPr>
          <w:rFonts w:ascii="Times New Roman" w:cs="Times New Roman" w:eastAsia="Times New Roman" w:hAnsi="Times New Roman"/>
          <w:sz w:val="18"/>
          <w:szCs w:val="18"/>
          <w:color w:val="auto"/>
        </w:rPr>
      </w:pPr>
    </w:p>
    <w:p>
      <w:pPr>
        <w:ind w:left="360" w:right="40" w:hanging="326"/>
        <w:spacing w:after="0" w:line="286" w:lineRule="auto"/>
        <w:tabs>
          <w:tab w:leader="none" w:pos="3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Attachment 4 to this Change Order.</w:t>
      </w:r>
    </w:p>
    <w:p>
      <w:pPr>
        <w:spacing w:after="0" w:line="46" w:lineRule="exact"/>
        <w:rPr>
          <w:rFonts w:ascii="Times New Roman" w:cs="Times New Roman" w:eastAsia="Times New Roman" w:hAnsi="Times New Roman"/>
          <w:sz w:val="18"/>
          <w:szCs w:val="18"/>
          <w:color w:val="auto"/>
        </w:rPr>
      </w:pPr>
    </w:p>
    <w:p>
      <w:pPr>
        <w:ind w:left="360" w:hanging="326"/>
        <w:spacing w:after="0"/>
        <w:tabs>
          <w:tab w:leader="none" w:pos="3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p>
    <w:p>
      <w:pPr>
        <w:spacing w:after="0" w:line="121" w:lineRule="exact"/>
        <w:rPr>
          <w:rFonts w:ascii="Times New Roman" w:cs="Times New Roman" w:eastAsia="Times New Roman" w:hAnsi="Times New Roman"/>
          <w:sz w:val="18"/>
          <w:szCs w:val="18"/>
          <w:color w:val="auto"/>
        </w:rPr>
      </w:pPr>
    </w:p>
    <w:p>
      <w:pPr>
        <w:ind w:left="360"/>
        <w:spacing w:after="0"/>
        <w:rPr>
          <w:sz w:val="20"/>
          <w:szCs w:val="20"/>
          <w:color w:val="auto"/>
        </w:rPr>
      </w:pPr>
      <w:r>
        <w:rPr>
          <w:rFonts w:ascii="Times New Roman" w:cs="Times New Roman" w:eastAsia="Times New Roman" w:hAnsi="Times New Roman"/>
          <w:sz w:val="18"/>
          <w:szCs w:val="18"/>
          <w:color w:val="auto"/>
        </w:rPr>
        <w:t>shall be updated per the Schedule C-3 as provided in Attachment 5 to this Change Order.</w:t>
      </w:r>
    </w:p>
    <w:p>
      <w:pPr>
        <w:spacing w:after="0" w:line="11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08" w:lineRule="exact"/>
        <w:rPr>
          <w:rFonts w:ascii="Times New Roman" w:cs="Times New Roman" w:eastAsia="Times New Roman" w:hAnsi="Times New Roman"/>
          <w:sz w:val="18"/>
          <w:szCs w:val="18"/>
          <w:color w:val="auto"/>
        </w:rPr>
      </w:pPr>
    </w:p>
    <w:p>
      <w:pPr>
        <w:ind w:left="680" w:right="240" w:hanging="488"/>
        <w:spacing w:after="0" w:line="215" w:lineRule="auto"/>
        <w:tabs>
          <w:tab w:leader="none" w:pos="67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Attachment A, Schedule A-1, Section 18 (Operations and Maintenance Management Systems and Procedures), as updated by this Change Order.</w:t>
      </w:r>
    </w:p>
    <w:p>
      <w:pPr>
        <w:ind w:left="680" w:hanging="488"/>
        <w:spacing w:after="0" w:line="219" w:lineRule="auto"/>
        <w:tabs>
          <w:tab w:leader="none" w:pos="6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Attachment A, Schedule A-1, Section 29 (Information Systems for Owner Use), as updated by this Change Order</w:t>
      </w:r>
    </w:p>
    <w:p>
      <w:pPr>
        <w:ind w:left="680" w:hanging="488"/>
        <w:spacing w:after="0" w:line="203" w:lineRule="auto"/>
        <w:tabs>
          <w:tab w:leader="none" w:pos="6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First Amended Attachment C, First Amended Appendix 1 (Contract Price Breakdown), as updated by this Change Order</w:t>
      </w:r>
    </w:p>
    <w:p>
      <w:pPr>
        <w:ind w:left="680" w:hanging="488"/>
        <w:spacing w:after="0" w:line="203" w:lineRule="auto"/>
        <w:tabs>
          <w:tab w:leader="none" w:pos="6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4 – First Amended Attachment C, First Amended Schedule C-2 (Payment Milestones), as updated by this Change Order</w:t>
      </w:r>
    </w:p>
    <w:p>
      <w:pPr>
        <w:ind w:left="680" w:right="400" w:hanging="488"/>
        <w:spacing w:after="0" w:line="233" w:lineRule="auto"/>
        <w:tabs>
          <w:tab w:leader="none" w:pos="67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5 – First Amended Attachment C, First Amended Schedule C-3 (Maximum Cumulative Payment Schedule), as updated by this Change Order.</w:t>
      </w:r>
    </w:p>
    <w:p>
      <w:pPr>
        <w:sectPr>
          <w:pgSz w:w="11900" w:h="16838" w:orient="portrait"/>
          <w:cols w:equalWidth="0" w:num="1">
            <w:col w:w="11100"/>
          </w:cols>
          <w:pgMar w:left="460" w:top="1418" w:right="339" w:bottom="1440" w:gutter="0" w:footer="0" w:header="0"/>
        </w:sectPr>
      </w:pPr>
    </w:p>
    <w:bookmarkStart w:id="355" w:name="page356"/>
    <w:bookmarkEnd w:id="35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929005</wp:posOffset>
            </wp:positionV>
            <wp:extent cx="62579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20"/>
        </w:trPr>
        <w:tc>
          <w:tcPr>
            <w:tcW w:w="6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618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$3,042,334,000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64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4"/>
            <w:vMerge w:val="restart"/>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$ 117,797,985</w:t>
            </w:r>
          </w:p>
        </w:tc>
        <w:tc>
          <w:tcPr>
            <w:tcW w:w="0" w:type="dxa"/>
            <w:vAlign w:val="bottom"/>
          </w:tcPr>
          <w:p>
            <w:pPr>
              <w:spacing w:after="0" w:line="20" w:lineRule="exact"/>
              <w:rPr>
                <w:sz w:val="1"/>
                <w:szCs w:val="1"/>
                <w:color w:val="auto"/>
              </w:rPr>
            </w:pPr>
          </w:p>
        </w:tc>
      </w:tr>
      <w:tr>
        <w:trPr>
          <w:trHeight w:val="183"/>
        </w:trPr>
        <w:tc>
          <w:tcPr>
            <w:tcW w:w="54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040" w:type="dxa"/>
            <w:vAlign w:val="bottom"/>
            <w:gridSpan w:val="10"/>
          </w:tcPr>
          <w:p>
            <w:pPr>
              <w:jc w:val="right"/>
              <w:ind w:right="1140"/>
              <w:spacing w:after="0" w:line="182" w:lineRule="exact"/>
              <w:rPr>
                <w:sz w:val="20"/>
                <w:szCs w:val="20"/>
                <w:color w:val="auto"/>
              </w:rPr>
            </w:pPr>
            <w:r>
              <w:rPr>
                <w:rFonts w:ascii="Times New Roman" w:cs="Times New Roman" w:eastAsia="Times New Roman" w:hAnsi="Times New Roman"/>
                <w:sz w:val="18"/>
                <w:szCs w:val="18"/>
                <w:color w:val="auto"/>
              </w:rPr>
              <w:t>Change Orders (See Appendix 1) .............................</w:t>
            </w:r>
          </w:p>
        </w:tc>
        <w:tc>
          <w:tcPr>
            <w:tcW w:w="0" w:type="dxa"/>
            <w:vAlign w:val="bottom"/>
          </w:tcPr>
          <w:p>
            <w:pPr>
              <w:spacing w:after="0"/>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The Contract Price prior to this Change Order was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3,160,131,985</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Order</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vMerge w:val="continue"/>
          </w:tcPr>
          <w:p>
            <w:pPr>
              <w:spacing w:after="0"/>
              <w:rPr>
                <w:sz w:val="17"/>
                <w:szCs w:val="17"/>
                <w:color w:val="auto"/>
              </w:rPr>
            </w:pPr>
          </w:p>
        </w:tc>
        <w:tc>
          <w:tcPr>
            <w:tcW w:w="5020" w:type="dxa"/>
            <w:vAlign w:val="bottom"/>
            <w:gridSpan w:val="5"/>
          </w:tcPr>
          <w:p>
            <w:pPr>
              <w:ind w:left="8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w:t>
            </w:r>
          </w:p>
        </w:tc>
        <w:tc>
          <w:tcPr>
            <w:tcW w:w="11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1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4"/>
              </w:rPr>
              <w:t>in the amount of ...................................................................................................................</w:t>
            </w:r>
          </w:p>
        </w:tc>
        <w:tc>
          <w:tcPr>
            <w:tcW w:w="1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6180" w:type="dxa"/>
            <w:vAlign w:val="bottom"/>
            <w:gridSpan w:val="7"/>
          </w:tcPr>
          <w:p>
            <w:pPr>
              <w:ind w:left="100"/>
              <w:spacing w:after="0" w:line="199" w:lineRule="exact"/>
              <w:rPr>
                <w:sz w:val="20"/>
                <w:szCs w:val="20"/>
                <w:color w:val="auto"/>
              </w:rPr>
            </w:pPr>
            <w:r>
              <w:rPr>
                <w:rFonts w:ascii="Times New Roman" w:cs="Times New Roman" w:eastAsia="Times New Roman" w:hAnsi="Times New Roman"/>
                <w:sz w:val="18"/>
                <w:szCs w:val="18"/>
                <w:color w:val="auto"/>
                <w:w w:val="94"/>
              </w:rPr>
              <w:t>in the amount of ...................................................................................................................</w:t>
            </w:r>
          </w:p>
        </w:tc>
        <w:tc>
          <w:tcPr>
            <w:tcW w:w="1420" w:type="dxa"/>
            <w:vAlign w:val="bottom"/>
            <w:gridSpan w:val="3"/>
          </w:tcPr>
          <w:p>
            <w:pPr>
              <w:ind w:left="3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180" w:type="dxa"/>
            <w:vAlign w:val="bottom"/>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w w:val="94"/>
              </w:rPr>
              <w:t>by this Change Order in the amount of ................................................................................</w:t>
            </w:r>
          </w:p>
        </w:tc>
        <w:tc>
          <w:tcPr>
            <w:tcW w:w="150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8"/>
                <w:szCs w:val="18"/>
                <w:color w:val="auto"/>
              </w:rPr>
              <w:t>$  (1,051,800)</w:t>
            </w:r>
          </w:p>
        </w:tc>
        <w:tc>
          <w:tcPr>
            <w:tcW w:w="0" w:type="dxa"/>
            <w:vAlign w:val="bottom"/>
          </w:tcPr>
          <w:p>
            <w:pPr>
              <w:spacing w:after="0"/>
              <w:rPr>
                <w:sz w:val="1"/>
                <w:szCs w:val="1"/>
                <w:color w:val="auto"/>
              </w:rPr>
            </w:pPr>
          </w:p>
        </w:tc>
      </w:tr>
      <w:tr>
        <w:trPr>
          <w:trHeight w:val="196"/>
        </w:trPr>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The new Contract Price including this Change Order will be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3,159,080,185</w:t>
            </w:r>
          </w:p>
        </w:tc>
        <w:tc>
          <w:tcPr>
            <w:tcW w:w="3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6" w:right="436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left="6"/>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5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4.</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6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5.</w:t>
      </w:r>
    </w:p>
    <w:p>
      <w:pPr>
        <w:spacing w:after="0" w:line="3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3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jc w:val="both"/>
        <w:ind w:left="6" w:right="20" w:hanging="6"/>
        <w:spacing w:after="0" w:line="268" w:lineRule="auto"/>
        <w:tabs>
          <w:tab w:leader="none" w:pos="52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35" w:lineRule="exact"/>
        <w:rPr>
          <w:rFonts w:ascii="Times New Roman" w:cs="Times New Roman" w:eastAsia="Times New Roman" w:hAnsi="Times New Roman"/>
          <w:sz w:val="18"/>
          <w:szCs w:val="18"/>
          <w:color w:val="auto"/>
        </w:rPr>
      </w:pPr>
    </w:p>
    <w:p>
      <w:pPr>
        <w:jc w:val="both"/>
        <w:ind w:left="6" w:right="20" w:hanging="6"/>
        <w:spacing w:after="0" w:line="259" w:lineRule="auto"/>
        <w:tabs>
          <w:tab w:leader="none" w:pos="51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10629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-19050</wp:posOffset>
            </wp:positionV>
            <wp:extent cx="1460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-19050</wp:posOffset>
            </wp:positionV>
            <wp:extent cx="1524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ectPr>
          <w:pgSz w:w="11900" w:h="16838" w:orient="portrait"/>
          <w:cols w:equalWidth="0" w:num="1">
            <w:col w:w="10946"/>
          </w:cols>
          <w:pgMar w:left="454" w:top="1440" w:right="499" w:bottom="1440" w:gutter="0" w:footer="0" w:header="0"/>
        </w:sectPr>
      </w:pPr>
    </w:p>
    <w:bookmarkStart w:id="356" w:name="page357"/>
    <w:bookmarkEnd w:id="356"/>
    <w:p>
      <w:pPr>
        <w:jc w:val="both"/>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0500"/>
          </w:cols>
          <w:pgMar w:left="320" w:top="1417"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23317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317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23399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23399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Signing</w:t>
      </w:r>
    </w:p>
    <w:p>
      <w:pPr>
        <w:sectPr>
          <w:pgSz w:w="11900" w:h="16838" w:orient="portrait"/>
          <w:cols w:equalWidth="0" w:num="2">
            <w:col w:w="5120" w:space="720"/>
            <w:col w:w="4660"/>
          </w:cols>
          <w:pgMar w:left="320" w:top="1417" w:right="1079" w:bottom="1440" w:gutter="0" w:footer="0" w:header="0"/>
          <w:type w:val="continuous"/>
        </w:sectPr>
      </w:pPr>
    </w:p>
    <w:bookmarkStart w:id="357" w:name="page358"/>
    <w:bookmarkEnd w:id="3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certify that:</w:t>
      </w:r>
    </w:p>
    <w:p>
      <w:pPr>
        <w:spacing w:after="0" w:line="225" w:lineRule="exact"/>
        <w:rPr>
          <w:sz w:val="20"/>
          <w:szCs w:val="20"/>
          <w:color w:val="auto"/>
        </w:rPr>
      </w:pPr>
    </w:p>
    <w:p>
      <w:pPr>
        <w:ind w:left="340" w:hanging="332"/>
        <w:spacing w:after="0"/>
        <w:tabs>
          <w:tab w:leader="none" w:pos="3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NextDecade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E. Wahl, certify that:</w:t>
      </w:r>
    </w:p>
    <w:p>
      <w:pPr>
        <w:spacing w:after="0" w:line="225" w:lineRule="exact"/>
        <w:rPr>
          <w:sz w:val="20"/>
          <w:szCs w:val="20"/>
          <w:color w:val="auto"/>
        </w:rPr>
      </w:pPr>
    </w:p>
    <w:p>
      <w:pPr>
        <w:ind w:left="340" w:hanging="332"/>
        <w:spacing w:after="0"/>
        <w:tabs>
          <w:tab w:leader="none" w:pos="3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NextDecade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Chairman of the Board and Chief Executive Officer of NextDecade Corporation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207" w:lineRule="exact"/>
        <w:rPr>
          <w:sz w:val="20"/>
          <w:szCs w:val="20"/>
          <w:color w:val="auto"/>
        </w:rPr>
      </w:pPr>
    </w:p>
    <w:p>
      <w:pPr>
        <w:ind w:left="660" w:right="20" w:hanging="328"/>
        <w:spacing w:after="0" w:line="282" w:lineRule="auto"/>
        <w:tabs>
          <w:tab w:leader="none" w:pos="65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Brent E. Wahl, Chief Financial Officer of NextDecade Corporation (the “Company”), hereby certify, pursuant to 18 U.S.C. §1350, as adopted pursuant to §906 of the Sarbanes-Oxley Act of 2002, that, to the best of my knowledge:</w:t>
      </w:r>
    </w:p>
    <w:p>
      <w:pPr>
        <w:spacing w:after="0" w:line="162" w:lineRule="exact"/>
        <w:rPr>
          <w:sz w:val="20"/>
          <w:szCs w:val="20"/>
          <w:color w:val="auto"/>
        </w:rPr>
      </w:pPr>
    </w:p>
    <w:p>
      <w:pPr>
        <w:ind w:left="660" w:right="20" w:hanging="328"/>
        <w:spacing w:after="0" w:line="282" w:lineRule="auto"/>
        <w:tabs>
          <w:tab w:leader="none" w:pos="65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9EAEE"/>
    <w:multiLevelType w:val="hybridMultilevel"/>
    <w:lvl w:ilvl="0">
      <w:lvlJc w:val="left"/>
      <w:lvlText w:val="(%1)"/>
      <w:numFmt w:val="decimal"/>
      <w:start w:val="1"/>
    </w:lvl>
  </w:abstractNum>
  <w:abstractNum w:abstractNumId="1">
    <w:nsid w:val="64AF49B"/>
    <w:multiLevelType w:val="hybridMultilevel"/>
    <w:lvl w:ilvl="0">
      <w:lvlJc w:val="left"/>
      <w:lvlText w:val="(%1)"/>
      <w:numFmt w:val="decimal"/>
      <w:start w:val="1"/>
    </w:lvl>
  </w:abstractNum>
  <w:abstractNum w:abstractNumId="2">
    <w:nsid w:val="397C46BC"/>
    <w:multiLevelType w:val="hybridMultilevel"/>
    <w:lvl w:ilvl="0">
      <w:lvlJc w:val="left"/>
      <w:lvlText w:val="•"/>
      <w:numFmt w:val="bullet"/>
      <w:start w:val="1"/>
    </w:lvl>
  </w:abstractNum>
  <w:abstractNum w:abstractNumId="3">
    <w:nsid w:val="7E448DE9"/>
    <w:multiLevelType w:val="hybridMultilevel"/>
    <w:lvl w:ilvl="0">
      <w:lvlJc w:val="left"/>
      <w:lvlText w:val="•"/>
      <w:numFmt w:val="bullet"/>
      <w:start w:val="1"/>
    </w:lvl>
  </w:abstractNum>
  <w:abstractNum w:abstractNumId="4">
    <w:nsid w:val="5A9CC3E5"/>
    <w:multiLevelType w:val="hybridMultilevel"/>
    <w:lvl w:ilvl="0">
      <w:lvlJc w:val="left"/>
      <w:lvlText w:val="•"/>
      <w:numFmt w:val="bullet"/>
      <w:start w:val="1"/>
    </w:lvl>
    <w:lvl w:ilvl="1">
      <w:lvlJc w:val="left"/>
      <w:lvlText w:val="•"/>
      <w:numFmt w:val="bullet"/>
      <w:start w:val="1"/>
    </w:lvl>
  </w:abstractNum>
  <w:abstractNum w:abstractNumId="5">
    <w:nsid w:val="1AFE3625"/>
    <w:multiLevelType w:val="hybridMultilevel"/>
    <w:lvl w:ilvl="0">
      <w:lvlJc w:val="left"/>
      <w:lvlText w:val="•"/>
      <w:numFmt w:val="bullet"/>
      <w:start w:val="1"/>
    </w:lvl>
  </w:abstractNum>
  <w:abstractNum w:abstractNumId="6">
    <w:nsid w:val="3CA88ECF"/>
    <w:multiLevelType w:val="hybridMultilevel"/>
    <w:lvl w:ilvl="0">
      <w:lvlJc w:val="left"/>
      <w:lvlText w:val="•"/>
      <w:numFmt w:val="bullet"/>
      <w:start w:val="1"/>
    </w:lvl>
  </w:abstractNum>
  <w:abstractNum w:abstractNumId="7">
    <w:nsid w:val="6EBE4208"/>
    <w:multiLevelType w:val="hybridMultilevel"/>
    <w:lvl w:ilvl="0">
      <w:lvlJc w:val="left"/>
      <w:lvlText w:val="•"/>
      <w:numFmt w:val="bullet"/>
      <w:start w:val="1"/>
    </w:lvl>
  </w:abstractNum>
  <w:abstractNum w:abstractNumId="8">
    <w:nsid w:val="C058DF5"/>
    <w:multiLevelType w:val="hybridMultilevel"/>
    <w:lvl w:ilvl="0">
      <w:lvlJc w:val="left"/>
      <w:lvlText w:val="(%1)"/>
      <w:numFmt w:val="decimal"/>
      <w:start w:val="1"/>
    </w:lvl>
  </w:abstractNum>
  <w:abstractNum w:abstractNumId="9">
    <w:nsid w:val="CBE5BE9"/>
    <w:multiLevelType w:val="hybridMultilevel"/>
    <w:lvl w:ilvl="0">
      <w:lvlJc w:val="left"/>
      <w:lvlText w:val="•"/>
      <w:numFmt w:val="bullet"/>
      <w:start w:val="1"/>
    </w:lvl>
  </w:abstractNum>
  <w:abstractNum w:abstractNumId="10">
    <w:nsid w:val="3102BBE2"/>
    <w:multiLevelType w:val="hybridMultilevel"/>
    <w:lvl w:ilvl="0">
      <w:lvlJc w:val="left"/>
      <w:lvlText w:val="%1."/>
      <w:numFmt w:val="decimal"/>
      <w:start w:val="2"/>
    </w:lvl>
  </w:abstractNum>
  <w:abstractNum w:abstractNumId="11">
    <w:nsid w:val="26A02C5E"/>
    <w:multiLevelType w:val="hybridMultilevel"/>
    <w:lvl w:ilvl="0">
      <w:lvlJc w:val="left"/>
      <w:lvlText w:val="*"/>
      <w:numFmt w:val="bullet"/>
      <w:start w:val="1"/>
    </w:lvl>
    <w:lvl w:ilvl="1">
      <w:lvlJc w:val="left"/>
      <w:lvlText w:val="%2"/>
      <w:numFmt w:val="decimal"/>
      <w:start w:val="104"/>
    </w:lvl>
  </w:abstractNum>
  <w:abstractNum w:abstractNumId="12">
    <w:nsid w:val="541C8153"/>
    <w:multiLevelType w:val="hybridMultilevel"/>
    <w:lvl w:ilvl="0">
      <w:lvlJc w:val="left"/>
      <w:lvlText w:val="**"/>
      <w:numFmt w:val="bullet"/>
      <w:start w:val="1"/>
    </w:lvl>
    <w:lvl w:ilvl="1">
      <w:lvlJc w:val="left"/>
      <w:lvlText w:val="%2"/>
      <w:numFmt w:val="decimal"/>
      <w:start w:val="1"/>
    </w:lvl>
  </w:abstractNum>
  <w:abstractNum w:abstractNumId="13">
    <w:nsid w:val="67906F60"/>
    <w:multiLevelType w:val="hybridMultilevel"/>
    <w:lvl w:ilvl="0">
      <w:lvlJc w:val="left"/>
      <w:lvlText w:val="†"/>
      <w:numFmt w:val="bullet"/>
      <w:start w:val="1"/>
    </w:lvl>
  </w:abstractNum>
  <w:abstractNum w:abstractNumId="14">
    <w:nsid w:val="10DB9DAA"/>
    <w:multiLevelType w:val="hybridMultilevel"/>
    <w:lvl w:ilvl="0">
      <w:lvlJc w:val="left"/>
      <w:lvlText w:val="%1."/>
      <w:numFmt w:val="decimal"/>
      <w:start w:val="1"/>
    </w:lvl>
  </w:abstractNum>
  <w:abstractNum w:abstractNumId="15">
    <w:nsid w:val="697D2D2"/>
    <w:multiLevelType w:val="hybridMultilevel"/>
    <w:lvl w:ilvl="0">
      <w:lvlJc w:val="left"/>
      <w:lvlText w:val="(%1)"/>
      <w:numFmt w:val="lowerLetter"/>
      <w:start w:val="3"/>
    </w:lvl>
  </w:abstractNum>
  <w:abstractNum w:abstractNumId="16">
    <w:nsid w:val="6D68AB2"/>
    <w:multiLevelType w:val="hybridMultilevel"/>
    <w:lvl w:ilvl="0">
      <w:lvlJc w:val="left"/>
      <w:lvlText w:val="(%1)"/>
      <w:numFmt w:val="lowerLetter"/>
      <w:start w:val="1"/>
    </w:lvl>
  </w:abstractNum>
  <w:abstractNum w:abstractNumId="17">
    <w:nsid w:val="3A966CD0"/>
    <w:multiLevelType w:val="hybridMultilevel"/>
    <w:lvl w:ilvl="0">
      <w:lvlJc w:val="left"/>
      <w:lvlText w:val="(%1)"/>
      <w:numFmt w:val="lowerLetter"/>
      <w:start w:val="1"/>
    </w:lvl>
  </w:abstractNum>
  <w:abstractNum w:abstractNumId="18">
    <w:nsid w:val="63F37E85"/>
    <w:multiLevelType w:val="hybridMultilevel"/>
    <w:lvl w:ilvl="0">
      <w:lvlJc w:val="left"/>
      <w:lvlText w:val="(%1)"/>
      <w:numFmt w:val="lowerLetter"/>
      <w:start w:val="1"/>
    </w:lvl>
  </w:abstractNum>
  <w:abstractNum w:abstractNumId="19">
    <w:nsid w:val="5895F5FA"/>
    <w:multiLevelType w:val="hybridMultilevel"/>
    <w:lvl w:ilvl="0">
      <w:lvlJc w:val="left"/>
      <w:lvlText w:val="(%1)"/>
      <w:numFmt w:val="lowerLetter"/>
      <w:start w:val="11"/>
    </w:lvl>
  </w:abstractNum>
  <w:abstractNum w:abstractNumId="20">
    <w:nsid w:val="38A5D054"/>
    <w:multiLevelType w:val="hybridMultilevel"/>
    <w:lvl w:ilvl="0">
      <w:lvlJc w:val="left"/>
      <w:lvlText w:val="(%1)"/>
      <w:numFmt w:val="lowerLetter"/>
      <w:start w:val="1"/>
    </w:lvl>
  </w:abstractNum>
  <w:abstractNum w:abstractNumId="21">
    <w:nsid w:val="F3F09D8"/>
    <w:multiLevelType w:val="hybridMultilevel"/>
    <w:lvl w:ilvl="0">
      <w:lvlJc w:val="left"/>
      <w:lvlText w:val="(%1)"/>
      <w:numFmt w:val="lowerLetter"/>
      <w:start w:val="2"/>
    </w:lvl>
    <w:lvl w:ilvl="1">
      <w:lvlJc w:val="left"/>
      <w:lvlText w:val="(%2)"/>
      <w:numFmt w:val="lowerRoman"/>
      <w:start w:val="1"/>
    </w:lvl>
  </w:abstractNum>
  <w:abstractNum w:abstractNumId="22">
    <w:nsid w:val="4B793735"/>
    <w:multiLevelType w:val="hybridMultilevel"/>
    <w:lvl w:ilvl="0">
      <w:lvlJc w:val="left"/>
      <w:lvlText w:val="(%1)"/>
      <w:numFmt w:val="lowerLetter"/>
      <w:start w:val="1"/>
    </w:lvl>
  </w:abstractNum>
  <w:abstractNum w:abstractNumId="23">
    <w:nsid w:val="4A10B4E8"/>
    <w:multiLevelType w:val="hybridMultilevel"/>
    <w:lvl w:ilvl="0">
      <w:lvlJc w:val="left"/>
      <w:lvlText w:val="(%1)"/>
      <w:numFmt w:val="lowerLetter"/>
      <w:start w:val="1"/>
    </w:lvl>
  </w:abstractNum>
  <w:abstractNum w:abstractNumId="24">
    <w:nsid w:val="43D3BCD4"/>
    <w:multiLevelType w:val="hybridMultilevel"/>
    <w:lvl w:ilvl="0">
      <w:lvlJc w:val="left"/>
      <w:lvlText w:val="(%1)"/>
      <w:numFmt w:val="lowerLetter"/>
      <w:start w:val="1"/>
    </w:lvl>
    <w:lvl w:ilvl="1">
      <w:lvlJc w:val="left"/>
      <w:lvlText w:val="(%2)"/>
      <w:numFmt w:val="lowerRoman"/>
      <w:start w:val="1"/>
    </w:lvl>
  </w:abstractNum>
  <w:abstractNum w:abstractNumId="25">
    <w:nsid w:val="4C2A7166"/>
    <w:multiLevelType w:val="hybridMultilevel"/>
    <w:lvl w:ilvl="0">
      <w:lvlJc w:val="left"/>
      <w:lvlText w:val="(%1)"/>
      <w:numFmt w:val="lowerLetter"/>
      <w:start w:val="5"/>
    </w:lvl>
  </w:abstractNum>
  <w:abstractNum w:abstractNumId="26">
    <w:nsid w:val="2E534A82"/>
    <w:multiLevelType w:val="hybridMultilevel"/>
    <w:lvl w:ilvl="0">
      <w:lvlJc w:val="left"/>
      <w:lvlText w:val="(%1)"/>
      <w:numFmt w:val="lowerLetter"/>
      <w:start w:val="3"/>
    </w:lvl>
  </w:abstractNum>
  <w:abstractNum w:abstractNumId="27">
    <w:nsid w:val="26F2D364"/>
    <w:multiLevelType w:val="hybridMultilevel"/>
    <w:lvl w:ilvl="0">
      <w:lvlJc w:val="left"/>
      <w:lvlText w:val="(%1)"/>
      <w:numFmt w:val="lowerRoman"/>
      <w:start w:val="1"/>
    </w:lvl>
  </w:abstractNum>
  <w:abstractNum w:abstractNumId="28">
    <w:nsid w:val="71C1AF98"/>
    <w:multiLevelType w:val="hybridMultilevel"/>
    <w:lvl w:ilvl="0">
      <w:lvlJc w:val="left"/>
      <w:lvlText w:val="(%1)"/>
      <w:numFmt w:val="lowerLetter"/>
      <w:start w:val="5"/>
    </w:lvl>
  </w:abstractNum>
  <w:abstractNum w:abstractNumId="29">
    <w:nsid w:val="3D00B9D9"/>
    <w:multiLevelType w:val="hybridMultilevel"/>
    <w:lvl w:ilvl="0">
      <w:lvlJc w:val="left"/>
      <w:lvlText w:val="%1."/>
      <w:numFmt w:val="decimal"/>
      <w:start w:val="2"/>
    </w:lvl>
  </w:abstractNum>
  <w:abstractNum w:abstractNumId="30">
    <w:nsid w:val="15BCABA8"/>
    <w:multiLevelType w:val="hybridMultilevel"/>
    <w:lvl w:ilvl="0">
      <w:lvlJc w:val="left"/>
      <w:lvlText w:val="(%1)"/>
      <w:numFmt w:val="lowerLetter"/>
      <w:start w:val="1"/>
    </w:lvl>
  </w:abstractNum>
  <w:abstractNum w:abstractNumId="31">
    <w:nsid w:val="4E0B9A87"/>
    <w:multiLevelType w:val="hybridMultilevel"/>
    <w:lvl w:ilvl="0">
      <w:lvlJc w:val="left"/>
      <w:lvlText w:val="(%1)"/>
      <w:numFmt w:val="lowerLetter"/>
      <w:start w:val="1"/>
    </w:lvl>
    <w:lvl w:ilvl="1">
      <w:lvlJc w:val="left"/>
      <w:lvlText w:val="(%2)"/>
      <w:numFmt w:val="lowerLetter"/>
      <w:start w:val="9"/>
    </w:lvl>
  </w:abstractNum>
  <w:abstractNum w:abstractNumId="32">
    <w:nsid w:val="434BAE75"/>
    <w:multiLevelType w:val="hybridMultilevel"/>
    <w:lvl w:ilvl="0">
      <w:lvlJc w:val="left"/>
      <w:lvlText w:val="%1"/>
      <w:numFmt w:val="lowerRoman"/>
      <w:start w:val="1"/>
    </w:lvl>
    <w:lvl w:ilvl="1">
      <w:lvlJc w:val="left"/>
      <w:lvlText w:val="(%2)"/>
      <w:numFmt w:val="upperLetter"/>
      <w:start w:val="1"/>
    </w:lvl>
  </w:abstractNum>
  <w:abstractNum w:abstractNumId="33">
    <w:nsid w:val="4F38F265"/>
    <w:multiLevelType w:val="hybridMultilevel"/>
    <w:lvl w:ilvl="0">
      <w:lvlJc w:val="left"/>
      <w:lvlText w:val="(%1)"/>
      <w:numFmt w:val="lowerRoman"/>
      <w:start w:val="2"/>
    </w:lvl>
    <w:lvl w:ilvl="1">
      <w:lvlJc w:val="left"/>
      <w:lvlText w:val="(%2)"/>
      <w:numFmt w:val="upperLetter"/>
      <w:start w:val="1"/>
    </w:lvl>
  </w:abstractNum>
  <w:abstractNum w:abstractNumId="34">
    <w:nsid w:val="4C50287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5">
    <w:nsid w:val="1DE8725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6">
    <w:nsid w:val="6A3728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7">
    <w:nsid w:val="8F8B73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8">
    <w:nsid w:val="CA6B462"/>
    <w:multiLevelType w:val="hybridMultilevel"/>
    <w:lvl w:ilvl="0">
      <w:lvlJc w:val="left"/>
      <w:lvlText w:val="%1"/>
      <w:numFmt w:val="lowerRoman"/>
      <w:start w:val="1"/>
    </w:lvl>
    <w:lvl w:ilvl="1">
      <w:lvlJc w:val="left"/>
      <w:lvlText w:val="(%2)"/>
      <w:numFmt w:val="upperLetter"/>
      <w:start w:val="2"/>
    </w:lvl>
  </w:abstractNum>
  <w:abstractNum w:abstractNumId="39">
    <w:nsid w:val="763CB680"/>
    <w:multiLevelType w:val="hybridMultilevel"/>
    <w:lvl w:ilvl="0">
      <w:lvlJc w:val="left"/>
      <w:lvlText w:val="(%1)"/>
      <w:numFmt w:val="lowerRoman"/>
      <w:start w:val="5"/>
    </w:lvl>
    <w:lvl w:ilvl="1">
      <w:lvlJc w:val="left"/>
      <w:lvlText w:val="%2"/>
      <w:numFmt w:val="upperLetter"/>
      <w:start w:val="1"/>
    </w:lvl>
  </w:abstractNum>
  <w:abstractNum w:abstractNumId="40">
    <w:nsid w:val="15B71329"/>
    <w:multiLevelType w:val="hybridMultilevel"/>
    <w:lvl w:ilvl="0">
      <w:lvlJc w:val="left"/>
      <w:lvlText w:val="(%1)"/>
      <w:numFmt w:val="lowerLetter"/>
      <w:start w:val="1"/>
    </w:lvl>
  </w:abstractNum>
  <w:abstractNum w:abstractNumId="41">
    <w:nsid w:val="3DA97044"/>
    <w:multiLevelType w:val="hybridMultilevel"/>
    <w:lvl w:ilvl="0">
      <w:lvlJc w:val="left"/>
      <w:lvlText w:val="(%1)"/>
      <w:numFmt w:val="lowerRoman"/>
      <w:start w:val="1"/>
    </w:lvl>
    <w:lvl w:ilvl="1">
      <w:lvlJc w:val="left"/>
      <w:lvlText w:val="(%2)"/>
      <w:numFmt w:val="upperLetter"/>
      <w:start w:val="1"/>
    </w:lvl>
  </w:abstractNum>
  <w:abstractNum w:abstractNumId="42">
    <w:nsid w:val="1CDCE2DE"/>
    <w:multiLevelType w:val="hybridMultilevel"/>
    <w:lvl w:ilvl="0">
      <w:lvlJc w:val="left"/>
      <w:lvlText w:val="%1"/>
      <w:numFmt w:val="lowerLetter"/>
      <w:start w:val="1"/>
    </w:lvl>
    <w:lvl w:ilvl="1">
      <w:lvlJc w:val="left"/>
      <w:lvlText w:val="(%2)"/>
      <w:numFmt w:val="lowerRoman"/>
      <w:start w:val="3"/>
    </w:lvl>
  </w:abstractNum>
  <w:abstractNum w:abstractNumId="43">
    <w:nsid w:val="69D3947C"/>
    <w:multiLevelType w:val="hybridMultilevel"/>
    <w:lvl w:ilvl="0">
      <w:lvlJc w:val="left"/>
      <w:lvlText w:val="(%1)"/>
      <w:numFmt w:val="lowerLetter"/>
      <w:start w:val="5"/>
    </w:lvl>
    <w:lvl w:ilvl="1">
      <w:lvlJc w:val="left"/>
      <w:lvlText w:val="%2"/>
      <w:numFmt w:val="lowerRoman"/>
      <w:start w:val="1"/>
    </w:lvl>
  </w:abstractNum>
  <w:abstractNum w:abstractNumId="44">
    <w:nsid w:val="2539DFA5"/>
    <w:multiLevelType w:val="hybridMultilevel"/>
    <w:lvl w:ilvl="0">
      <w:lvlJc w:val="left"/>
      <w:lvlText w:val="%1"/>
      <w:numFmt w:val="decimal"/>
      <w:start w:val="1"/>
    </w:lvl>
    <w:lvl w:ilvl="1">
      <w:lvlJc w:val="left"/>
      <w:lvlText w:val="(%2)"/>
      <w:numFmt w:val="lowerLetter"/>
      <w:start w:val="6"/>
    </w:lvl>
  </w:abstractNum>
  <w:abstractNum w:abstractNumId="45">
    <w:nsid w:val="2DB88089"/>
    <w:multiLevelType w:val="hybridMultilevel"/>
    <w:lvl w:ilvl="0">
      <w:lvlJc w:val="left"/>
      <w:lvlText w:val="%1."/>
      <w:numFmt w:val="decimal"/>
      <w:start w:val="3"/>
    </w:lvl>
    <w:lvl w:ilvl="1">
      <w:lvlJc w:val="left"/>
      <w:lvlText w:val="%2"/>
      <w:numFmt w:val="lowerLetter"/>
      <w:start w:val="1"/>
    </w:lvl>
  </w:abstractNum>
  <w:abstractNum w:abstractNumId="46">
    <w:nsid w:val="706B674E"/>
    <w:multiLevelType w:val="hybridMultilevel"/>
    <w:lvl w:ilvl="0">
      <w:lvlJc w:val="left"/>
      <w:lvlText w:val="(%1)"/>
      <w:numFmt w:val="lowerLetter"/>
      <w:start w:val="1"/>
    </w:lvl>
  </w:abstractNum>
  <w:abstractNum w:abstractNumId="47">
    <w:nsid w:val="2C106A57"/>
    <w:multiLevelType w:val="hybridMultilevel"/>
    <w:lvl w:ilvl="0">
      <w:lvlJc w:val="left"/>
      <w:lvlText w:val="(%1)"/>
      <w:numFmt w:val="lowerLetter"/>
      <w:start w:val="1"/>
    </w:lvl>
  </w:abstractNum>
  <w:abstractNum w:abstractNumId="48">
    <w:nsid w:val="684EED59"/>
    <w:multiLevelType w:val="hybridMultilevel"/>
    <w:lvl w:ilvl="0">
      <w:lvlJc w:val="left"/>
      <w:lvlText w:val="(%1)"/>
      <w:numFmt w:val="lowerLetter"/>
      <w:start w:val="6"/>
    </w:lvl>
  </w:abstractNum>
  <w:abstractNum w:abstractNumId="49">
    <w:nsid w:val="545EE5D3"/>
    <w:multiLevelType w:val="hybridMultilevel"/>
    <w:lvl w:ilvl="0">
      <w:lvlJc w:val="left"/>
      <w:lvlText w:val="(%1)"/>
      <w:numFmt w:val="lowerLetter"/>
      <w:start w:val="1"/>
    </w:lvl>
  </w:abstractNum>
  <w:abstractNum w:abstractNumId="50">
    <w:nsid w:val="4A66051"/>
    <w:multiLevelType w:val="hybridMultilevel"/>
    <w:lvl w:ilvl="0">
      <w:lvlJc w:val="left"/>
      <w:lvlText w:val="(%1)"/>
      <w:numFmt w:val="lowerLetter"/>
      <w:start w:val="1"/>
    </w:lvl>
  </w:abstractNum>
  <w:abstractNum w:abstractNumId="51">
    <w:nsid w:val="20F4BDAD"/>
    <w:multiLevelType w:val="hybridMultilevel"/>
    <w:lvl w:ilvl="0">
      <w:lvlJc w:val="left"/>
      <w:lvlText w:val="%1."/>
      <w:numFmt w:val="decimal"/>
      <w:start w:val="4"/>
    </w:lvl>
  </w:abstractNum>
  <w:abstractNum w:abstractNumId="52">
    <w:nsid w:val="639DEFAC"/>
    <w:multiLevelType w:val="hybridMultilevel"/>
    <w:lvl w:ilvl="0">
      <w:lvlJc w:val="left"/>
      <w:lvlText w:val="(%1)"/>
      <w:numFmt w:val="lowerLetter"/>
      <w:start w:val="1"/>
    </w:lvl>
  </w:abstractNum>
  <w:abstractNum w:abstractNumId="53">
    <w:nsid w:val="501F978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4">
    <w:nsid w:val="6B057295"/>
    <w:multiLevelType w:val="hybridMultilevel"/>
    <w:lvl w:ilvl="0">
      <w:lvlJc w:val="left"/>
      <w:lvlText w:val="%1"/>
      <w:numFmt w:val="lowerRoman"/>
      <w:start w:val="1"/>
    </w:lvl>
    <w:lvl w:ilvl="1">
      <w:lvlJc w:val="left"/>
      <w:lvlText w:val="(%2)"/>
      <w:numFmt w:val="upperLetter"/>
      <w:start w:val="2"/>
    </w:lvl>
  </w:abstractNum>
  <w:abstractNum w:abstractNumId="55">
    <w:nsid w:val="2771AC80"/>
    <w:multiLevelType w:val="hybridMultilevel"/>
    <w:lvl w:ilvl="0">
      <w:lvlJc w:val="left"/>
      <w:lvlText w:val="(%1)"/>
      <w:numFmt w:val="lowerRoman"/>
      <w:start w:val="2"/>
    </w:lvl>
    <w:lvl w:ilvl="1">
      <w:lvlJc w:val="left"/>
      <w:lvlText w:val="%2"/>
      <w:numFmt w:val="upperLetter"/>
      <w:start w:val="1"/>
    </w:lvl>
  </w:abstractNum>
  <w:abstractNum w:abstractNumId="56">
    <w:nsid w:val="1C4A08EC"/>
    <w:multiLevelType w:val="hybridMultilevel"/>
    <w:lvl w:ilvl="0">
      <w:lvlJc w:val="left"/>
      <w:lvlText w:val="(%1)"/>
      <w:numFmt w:val="lowerLetter"/>
      <w:start w:val="61"/>
    </w:lvl>
    <w:lvl w:ilvl="1">
      <w:lvlJc w:val="left"/>
      <w:lvlText w:val="(%2)"/>
      <w:numFmt w:val="lowerLetter"/>
      <w:start w:val="22"/>
    </w:lvl>
  </w:abstractNum>
  <w:abstractNum w:abstractNumId="57">
    <w:nsid w:val="1958BD17"/>
    <w:multiLevelType w:val="hybridMultilevel"/>
    <w:lvl w:ilvl="0">
      <w:lvlJc w:val="left"/>
      <w:lvlText w:val="%1"/>
      <w:numFmt w:val="lowerLetter"/>
      <w:start w:val="1"/>
    </w:lvl>
    <w:lvl w:ilvl="1">
      <w:lvlJc w:val="left"/>
      <w:lvlText w:val="(%2)"/>
      <w:numFmt w:val="lowerLetter"/>
      <w:start w:val="25"/>
    </w:lvl>
  </w:abstractNum>
  <w:abstractNum w:abstractNumId="58">
    <w:nsid w:val="4E647FE4"/>
    <w:multiLevelType w:val="hybridMultilevel"/>
    <w:lvl w:ilvl="0">
      <w:lvlJc w:val="left"/>
      <w:lvlText w:val="(%1)"/>
      <w:numFmt w:val="lowerRoman"/>
      <w:start w:val="4"/>
    </w:lvl>
  </w:abstractNum>
  <w:abstractNum w:abstractNumId="59">
    <w:nsid w:val="E0BB885"/>
    <w:multiLevelType w:val="hybridMultilevel"/>
    <w:lvl w:ilvl="0">
      <w:lvlJc w:val="left"/>
      <w:lvlText w:val="(%1)"/>
      <w:numFmt w:val="lowerRoman"/>
      <w:start w:val="6"/>
    </w:lvl>
    <w:lvl w:ilvl="1">
      <w:lvlJc w:val="left"/>
      <w:lvlText w:val="(%2)"/>
      <w:numFmt w:val="upperLetter"/>
      <w:start w:val="1"/>
    </w:lvl>
  </w:abstractNum>
  <w:abstractNum w:abstractNumId="60">
    <w:nsid w:val="565976F1"/>
    <w:multiLevelType w:val="hybridMultilevel"/>
    <w:lvl w:ilvl="0">
      <w:lvlJc w:val="left"/>
      <w:lvlText w:val="%1"/>
      <w:numFmt w:val="lowerRoman"/>
      <w:start w:val="1"/>
    </w:lvl>
    <w:lvl w:ilvl="1">
      <w:lvlJc w:val="left"/>
      <w:lvlText w:val="(%2)"/>
      <w:numFmt w:val="upperLetter"/>
      <w:start w:val="7"/>
    </w:lvl>
  </w:abstractNum>
  <w:abstractNum w:abstractNumId="61">
    <w:nsid w:val="64212B8C"/>
    <w:multiLevelType w:val="hybridMultilevel"/>
    <w:lvl w:ilvl="0">
      <w:lvlJc w:val="left"/>
      <w:lvlText w:val="(%1)"/>
      <w:numFmt w:val="lowerRoman"/>
      <w:start w:val="9"/>
    </w:lvl>
    <w:lvl w:ilvl="1">
      <w:lvlJc w:val="left"/>
      <w:lvlText w:val="%2"/>
      <w:numFmt w:val="upperLetter"/>
      <w:start w:val="1"/>
    </w:lvl>
  </w:abstractNum>
  <w:abstractNum w:abstractNumId="62">
    <w:nsid w:val="5C17530C"/>
    <w:multiLevelType w:val="hybridMultilevel"/>
    <w:lvl w:ilvl="0">
      <w:lvlJc w:val="left"/>
      <w:lvlText w:val="(%1)"/>
      <w:numFmt w:val="lowerRoman"/>
      <w:start w:val="17"/>
    </w:lvl>
    <w:lvl w:ilvl="1">
      <w:lvlJc w:val="left"/>
      <w:lvlText w:val="(%2)"/>
      <w:numFmt w:val="lowerRoman"/>
      <w:start w:val="1"/>
    </w:lvl>
  </w:abstractNum>
  <w:abstractNum w:abstractNumId="63">
    <w:nsid w:val="19A52566"/>
    <w:multiLevelType w:val="hybridMultilevel"/>
    <w:lvl w:ilvl="0">
      <w:lvlJc w:val="left"/>
      <w:lvlText w:val="(%1)"/>
      <w:numFmt w:val="lowerRoman"/>
      <w:start w:val="19"/>
    </w:lvl>
    <w:lvl w:ilvl="1">
      <w:lvlJc w:val="left"/>
      <w:lvlText w:val="(%2)"/>
      <w:numFmt w:val="upperLetter"/>
      <w:start w:val="1"/>
    </w:lvl>
  </w:abstractNum>
  <w:abstractNum w:abstractNumId="64">
    <w:nsid w:val="335A1D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65">
    <w:nsid w:val="28677B7C"/>
    <w:multiLevelType w:val="hybridMultilevel"/>
    <w:lvl w:ilvl="0">
      <w:lvlJc w:val="left"/>
      <w:lvlText w:val="%1"/>
      <w:numFmt w:val="lowerLetter"/>
      <w:start w:val="1"/>
    </w:lvl>
    <w:lvl w:ilvl="1">
      <w:lvlJc w:val="left"/>
      <w:lvlText w:val="(%2)"/>
      <w:numFmt w:val="lowerLetter"/>
      <w:start w:val="50"/>
    </w:lvl>
    <w:lvl w:ilvl="2">
      <w:lvlJc w:val="left"/>
      <w:lvlText w:val="%3"/>
      <w:numFmt w:val="upperLetter"/>
      <w:start w:val="1"/>
    </w:lvl>
  </w:abstractNum>
  <w:abstractNum w:abstractNumId="66">
    <w:nsid w:val="378D97C0"/>
    <w:multiLevelType w:val="hybridMultilevel"/>
    <w:lvl w:ilvl="0">
      <w:lvlJc w:val="left"/>
      <w:lvlText w:val="(%1)"/>
      <w:numFmt w:val="lowerLetter"/>
      <w:start w:val="12"/>
    </w:lvl>
    <w:lvl w:ilvl="1">
      <w:lvlJc w:val="left"/>
      <w:lvlText w:val="(%2)"/>
      <w:numFmt w:val="lowerLetter"/>
      <w:start w:val="9"/>
    </w:lvl>
    <w:lvl w:ilvl="2">
      <w:lvlJc w:val="left"/>
      <w:lvlText w:val="%3"/>
      <w:numFmt w:val="upperLetter"/>
      <w:start w:val="1"/>
    </w:lvl>
  </w:abstractNum>
  <w:abstractNum w:abstractNumId="67">
    <w:nsid w:val="1D91467C"/>
    <w:multiLevelType w:val="hybridMultilevel"/>
    <w:lvl w:ilvl="0">
      <w:lvlJc w:val="left"/>
      <w:lvlText w:val="(%1)"/>
      <w:numFmt w:val="lowerRoman"/>
      <w:start w:val="2"/>
    </w:lvl>
  </w:abstractNum>
  <w:abstractNum w:abstractNumId="68">
    <w:nsid w:val="316032BB"/>
    <w:multiLevelType w:val="hybridMultilevel"/>
    <w:lvl w:ilvl="0">
      <w:lvlJc w:val="left"/>
      <w:lvlText w:val="(%1)"/>
      <w:numFmt w:val="lowerLetter"/>
      <w:start w:val="1"/>
    </w:lvl>
  </w:abstractNum>
  <w:abstractNum w:abstractNumId="69">
    <w:nsid w:val="44344C22"/>
    <w:multiLevelType w:val="hybridMultilevel"/>
    <w:lvl w:ilvl="0">
      <w:lvlJc w:val="left"/>
      <w:lvlText w:val="(%1)"/>
      <w:numFmt w:val="lowerLetter"/>
      <w:start w:val="1"/>
    </w:lvl>
  </w:abstractNum>
  <w:abstractNum w:abstractNumId="70">
    <w:nsid w:val="13CDFCFC"/>
    <w:multiLevelType w:val="hybridMultilevel"/>
    <w:lvl w:ilvl="0">
      <w:lvlJc w:val="left"/>
      <w:lvlText w:val="(%1)"/>
      <w:numFmt w:val="lowerLetter"/>
      <w:start w:val="4"/>
    </w:lvl>
    <w:lvl w:ilvl="1">
      <w:lvlJc w:val="left"/>
      <w:lvlText w:val="(%2)"/>
      <w:numFmt w:val="lowerRoman"/>
      <w:start w:val="1"/>
    </w:lvl>
  </w:abstractNum>
  <w:abstractNum w:abstractNumId="71">
    <w:nsid w:val="471745E4"/>
    <w:multiLevelType w:val="hybridMultilevel"/>
    <w:lvl w:ilvl="0">
      <w:lvlJc w:val="left"/>
      <w:lvlText w:val="(%1)"/>
      <w:numFmt w:val="lowerLetter"/>
      <w:start w:val="1"/>
    </w:lvl>
  </w:abstractNum>
  <w:abstractNum w:abstractNumId="72">
    <w:nsid w:val="1DDBC66"/>
    <w:multiLevelType w:val="hybridMultilevel"/>
    <w:lvl w:ilvl="0">
      <w:lvlJc w:val="left"/>
      <w:lvlText w:val="(%1)"/>
      <w:numFmt w:val="lowerLetter"/>
      <w:start w:val="2"/>
    </w:lvl>
    <w:lvl w:ilvl="1">
      <w:lvlJc w:val="left"/>
      <w:lvlText w:val="(%2)"/>
      <w:numFmt w:val="lowerRoman"/>
      <w:start w:val="1"/>
    </w:lvl>
  </w:abstractNum>
  <w:abstractNum w:abstractNumId="73">
    <w:nsid w:val="30AADFDA"/>
    <w:multiLevelType w:val="hybridMultilevel"/>
    <w:lvl w:ilvl="0">
      <w:lvlJc w:val="left"/>
      <w:lvlText w:val="(%1)"/>
      <w:numFmt w:val="lowerLetter"/>
      <w:start w:val="3"/>
    </w:lvl>
  </w:abstractNum>
  <w:abstractNum w:abstractNumId="74">
    <w:nsid w:val="30EADA61"/>
    <w:multiLevelType w:val="hybridMultilevel"/>
    <w:lvl w:ilvl="0">
      <w:lvlJc w:val="left"/>
      <w:lvlText w:val="(%1)"/>
      <w:numFmt w:val="lowerLetter"/>
      <w:start w:val="1"/>
    </w:lvl>
    <w:lvl w:ilvl="1">
      <w:lvlJc w:val="left"/>
      <w:lvlText w:val="(%2)"/>
      <w:numFmt w:val="lowerRoman"/>
      <w:start w:val="1"/>
    </w:lvl>
  </w:abstractNum>
  <w:abstractNum w:abstractNumId="75">
    <w:nsid w:val="27179C0B"/>
    <w:multiLevelType w:val="hybridMultilevel"/>
    <w:lvl w:ilvl="0">
      <w:lvlJc w:val="left"/>
      <w:lvlText w:val="(%1)"/>
      <w:numFmt w:val="lowerRoman"/>
      <w:start w:val="7"/>
    </w:lvl>
  </w:abstractNum>
  <w:abstractNum w:abstractNumId="76">
    <w:nsid w:val="5E636063"/>
    <w:multiLevelType w:val="hybridMultilevel"/>
    <w:lvl w:ilvl="0">
      <w:lvlJc w:val="left"/>
      <w:lvlText w:val="(%1)"/>
      <w:numFmt w:val="lowerLetter"/>
      <w:start w:val="2"/>
    </w:lvl>
    <w:lvl w:ilvl="1">
      <w:lvlJc w:val="left"/>
      <w:lvlText w:val="(%2)"/>
      <w:numFmt w:val="lowerRoman"/>
      <w:start w:val="1"/>
    </w:lvl>
  </w:abstractNum>
  <w:abstractNum w:abstractNumId="77">
    <w:nsid w:val="215641AF"/>
    <w:multiLevelType w:val="hybridMultilevel"/>
    <w:lvl w:ilvl="0">
      <w:lvlJc w:val="left"/>
      <w:lvlText w:val="(%1)"/>
      <w:numFmt w:val="lowerLetter"/>
      <w:start w:val="3"/>
    </w:lvl>
  </w:abstractNum>
  <w:abstractNum w:abstractNumId="78">
    <w:nsid w:val="53280662"/>
    <w:multiLevelType w:val="hybridMultilevel"/>
    <w:lvl w:ilvl="0">
      <w:lvlJc w:val="left"/>
      <w:lvlText w:val="(%1)"/>
      <w:numFmt w:val="lowerRoman"/>
      <w:start w:val="1"/>
    </w:lvl>
  </w:abstractNum>
  <w:abstractNum w:abstractNumId="79">
    <w:nsid w:val="46B24DBC"/>
    <w:multiLevelType w:val="hybridMultilevel"/>
    <w:lvl w:ilvl="0">
      <w:lvlJc w:val="left"/>
      <w:lvlText w:val="(%1)"/>
      <w:numFmt w:val="lowerLetter"/>
      <w:start w:val="1"/>
    </w:lvl>
  </w:abstractNum>
  <w:abstractNum w:abstractNumId="80">
    <w:nsid w:val="75B52783"/>
    <w:multiLevelType w:val="hybridMultilevel"/>
    <w:lvl w:ilvl="0">
      <w:lvlJc w:val="left"/>
      <w:lvlText w:val="(%1)"/>
      <w:numFmt w:val="lowerLetter"/>
      <w:start w:val="1"/>
    </w:lvl>
  </w:abstractNum>
  <w:abstractNum w:abstractNumId="81">
    <w:nsid w:val="57CE66B4"/>
    <w:multiLevelType w:val="hybridMultilevel"/>
    <w:lvl w:ilvl="0">
      <w:lvlJc w:val="left"/>
      <w:lvlText w:val="(%1)"/>
      <w:numFmt w:val="lowerLetter"/>
      <w:start w:val="2"/>
    </w:lvl>
  </w:abstractNum>
  <w:abstractNum w:abstractNumId="82">
    <w:nsid w:val="67A70B69"/>
    <w:multiLevelType w:val="hybridMultilevel"/>
    <w:lvl w:ilvl="0">
      <w:lvlJc w:val="left"/>
      <w:lvlText w:val="(%1)"/>
      <w:numFmt w:val="lowerLetter"/>
      <w:start w:val="1"/>
    </w:lvl>
  </w:abstractNum>
  <w:abstractNum w:abstractNumId="83">
    <w:nsid w:val="5953172F"/>
    <w:multiLevelType w:val="hybridMultilevel"/>
    <w:lvl w:ilvl="0">
      <w:lvlJc w:val="left"/>
      <w:lvlText w:val="(%1)"/>
      <w:numFmt w:val="lowerLetter"/>
      <w:start w:val="1"/>
    </w:lvl>
  </w:abstractNum>
  <w:abstractNum w:abstractNumId="84">
    <w:nsid w:val="27EDFE3A"/>
    <w:multiLevelType w:val="hybridMultilevel"/>
    <w:lvl w:ilvl="0">
      <w:lvlJc w:val="left"/>
      <w:lvlText w:val="(%1)"/>
      <w:numFmt w:val="lowerLetter"/>
      <w:start w:val="1"/>
    </w:lvl>
  </w:abstractNum>
  <w:abstractNum w:abstractNumId="85">
    <w:nsid w:val="52AC7DFF"/>
    <w:multiLevelType w:val="hybridMultilevel"/>
    <w:lvl w:ilvl="0">
      <w:lvlJc w:val="left"/>
      <w:lvlText w:val="%1."/>
      <w:numFmt w:val="decimal"/>
      <w:start w:val="5"/>
    </w:lvl>
  </w:abstractNum>
  <w:abstractNum w:abstractNumId="86">
    <w:nsid w:val="C4C3AF"/>
    <w:multiLevelType w:val="hybridMultilevel"/>
    <w:lvl w:ilvl="0">
      <w:lvlJc w:val="left"/>
      <w:lvlText w:val="(%1)"/>
      <w:numFmt w:val="lowerLetter"/>
      <w:start w:val="1"/>
    </w:lvl>
  </w:abstractNum>
  <w:abstractNum w:abstractNumId="87">
    <w:nsid w:val="44380727"/>
    <w:multiLevelType w:val="hybridMultilevel"/>
    <w:lvl w:ilvl="0">
      <w:lvlJc w:val="left"/>
      <w:lvlText w:val="%1."/>
      <w:numFmt w:val="decimal"/>
      <w:start w:val="6"/>
    </w:lvl>
  </w:abstractNum>
  <w:abstractNum w:abstractNumId="88">
    <w:nsid w:val="6C053B16"/>
    <w:multiLevelType w:val="hybridMultilevel"/>
    <w:lvl w:ilvl="0">
      <w:lvlJc w:val="left"/>
      <w:lvlText w:val="(%1)"/>
      <w:numFmt w:val="lowerLetter"/>
      <w:start w:val="1"/>
    </w:lvl>
  </w:abstractNum>
  <w:abstractNum w:abstractNumId="89">
    <w:nsid w:val="4F294393"/>
    <w:multiLevelType w:val="hybridMultilevel"/>
    <w:lvl w:ilvl="0">
      <w:lvlJc w:val="left"/>
      <w:lvlText w:val="(%1)"/>
      <w:numFmt w:val="lowerLetter"/>
      <w:start w:val="2"/>
    </w:lvl>
    <w:lvl w:ilvl="1">
      <w:lvlJc w:val="left"/>
      <w:lvlText w:val="(%2)"/>
      <w:numFmt w:val="lowerLetter"/>
      <w:start w:val="61"/>
    </w:lvl>
  </w:abstractNum>
  <w:abstractNum w:abstractNumId="90">
    <w:nsid w:val="5243BFAC"/>
    <w:multiLevelType w:val="hybridMultilevel"/>
    <w:lvl w:ilvl="0">
      <w:lvlJc w:val="left"/>
      <w:lvlText w:val="(%1)"/>
      <w:numFmt w:val="lowerLetter"/>
      <w:start w:val="11"/>
    </w:lvl>
  </w:abstractNum>
  <w:abstractNum w:abstractNumId="91">
    <w:nsid w:val="425EB207"/>
    <w:multiLevelType w:val="hybridMultilevel"/>
    <w:lvl w:ilvl="0">
      <w:lvlJc w:val="left"/>
      <w:lvlText w:val="(%1)"/>
      <w:numFmt w:val="lowerLetter"/>
      <w:start w:val="1"/>
    </w:lvl>
  </w:abstractNum>
  <w:abstractNum w:abstractNumId="92">
    <w:nsid w:val="334A6F1F"/>
    <w:multiLevelType w:val="hybridMultilevel"/>
    <w:lvl w:ilvl="0">
      <w:lvlJc w:val="left"/>
      <w:lvlText w:val="%1."/>
      <w:numFmt w:val="decimal"/>
      <w:start w:val="7"/>
    </w:lvl>
  </w:abstractNum>
  <w:abstractNum w:abstractNumId="93">
    <w:nsid w:val="2E5B12B8"/>
    <w:multiLevelType w:val="hybridMultilevel"/>
    <w:lvl w:ilvl="0">
      <w:lvlJc w:val="left"/>
      <w:lvlText w:val="(%1)"/>
      <w:numFmt w:val="lowerLetter"/>
      <w:start w:val="1"/>
    </w:lvl>
    <w:lvl w:ilvl="1">
      <w:lvlJc w:val="left"/>
      <w:lvlText w:val="(%2)"/>
      <w:numFmt w:val="lowerRoman"/>
      <w:start w:val="1"/>
    </w:lvl>
  </w:abstractNum>
  <w:abstractNum w:abstractNumId="94">
    <w:nsid w:val="5C03D76D"/>
    <w:multiLevelType w:val="hybridMultilevel"/>
    <w:lvl w:ilvl="0">
      <w:lvlJc w:val="left"/>
      <w:lvlText w:val="(%1)"/>
      <w:numFmt w:val="lowerLetter"/>
      <w:start w:val="3"/>
    </w:lvl>
    <w:lvl w:ilvl="1">
      <w:lvlJc w:val="left"/>
      <w:lvlText w:val="(%2)"/>
      <w:numFmt w:val="lowerRoman"/>
      <w:start w:val="1"/>
    </w:lvl>
  </w:abstractNum>
  <w:abstractNum w:abstractNumId="95">
    <w:nsid w:val="66A48D11"/>
    <w:multiLevelType w:val="hybridMultilevel"/>
    <w:lvl w:ilvl="0">
      <w:lvlJc w:val="left"/>
      <w:lvlText w:val="(%1)"/>
      <w:numFmt w:val="lowerLetter"/>
      <w:start w:val="1"/>
    </w:lvl>
  </w:abstractNum>
  <w:abstractNum w:abstractNumId="96">
    <w:nsid w:val="56C28E34"/>
    <w:multiLevelType w:val="hybridMultilevel"/>
    <w:lvl w:ilvl="0">
      <w:lvlJc w:val="left"/>
      <w:lvlText w:val="(%1)"/>
      <w:numFmt w:val="lowerLetter"/>
      <w:start w:val="2"/>
    </w:lvl>
  </w:abstractNum>
  <w:abstractNum w:abstractNumId="97">
    <w:nsid w:val="13916F2D"/>
    <w:multiLevelType w:val="hybridMultilevel"/>
    <w:lvl w:ilvl="0">
      <w:lvlJc w:val="left"/>
      <w:lvlText w:val="(%1)"/>
      <w:numFmt w:val="lowerLetter"/>
      <w:start w:val="11"/>
    </w:lvl>
  </w:abstractNum>
  <w:abstractNum w:abstractNumId="98">
    <w:nsid w:val="435D38D"/>
    <w:multiLevelType w:val="hybridMultilevel"/>
    <w:lvl w:ilvl="0">
      <w:lvlJc w:val="left"/>
      <w:lvlText w:val="(%1)"/>
      <w:numFmt w:val="lowerLetter"/>
      <w:start w:val="1"/>
    </w:lvl>
  </w:abstractNum>
  <w:abstractNum w:abstractNumId="99">
    <w:nsid w:val="822C0EF"/>
    <w:multiLevelType w:val="hybridMultilevel"/>
    <w:lvl w:ilvl="0">
      <w:lvlJc w:val="left"/>
      <w:lvlText w:val="(%1)"/>
      <w:numFmt w:val="lowerLetter"/>
      <w:start w:val="3"/>
    </w:lvl>
  </w:abstractNum>
  <w:abstractNum w:abstractNumId="100">
    <w:nsid w:val="57C5BB4F"/>
    <w:multiLevelType w:val="hybridMultilevel"/>
    <w:lvl w:ilvl="0">
      <w:lvlJc w:val="left"/>
      <w:lvlText w:val="(%1)"/>
      <w:numFmt w:val="lowerLetter"/>
      <w:start w:val="1"/>
    </w:lvl>
    <w:lvl w:ilvl="1">
      <w:lvlJc w:val="left"/>
      <w:lvlText w:val="(%2)"/>
      <w:numFmt w:val="lowerRoman"/>
      <w:start w:val="1"/>
    </w:lvl>
  </w:abstractNum>
  <w:abstractNum w:abstractNumId="101">
    <w:nsid w:val="1803D089"/>
    <w:multiLevelType w:val="hybridMultilevel"/>
    <w:lvl w:ilvl="0">
      <w:lvlJc w:val="left"/>
      <w:lvlText w:val="%1"/>
      <w:numFmt w:val="lowerLetter"/>
      <w:start w:val="1"/>
    </w:lvl>
    <w:lvl w:ilvl="1">
      <w:lvlJc w:val="left"/>
      <w:lvlText w:val="(%2)"/>
      <w:numFmt w:val="lowerLetter"/>
      <w:start w:val="22"/>
    </w:lvl>
  </w:abstractNum>
  <w:abstractNum w:abstractNumId="102">
    <w:nsid w:val="4F3A06D4"/>
    <w:multiLevelType w:val="hybridMultilevel"/>
    <w:lvl w:ilvl="0">
      <w:lvlJc w:val="left"/>
      <w:lvlText w:val="(%1)"/>
      <w:numFmt w:val="lowerLetter"/>
      <w:start w:val="3"/>
    </w:lvl>
    <w:lvl w:ilvl="1">
      <w:lvlJc w:val="left"/>
      <w:lvlText w:val="%2"/>
      <w:numFmt w:val="lowerLetter"/>
      <w:start w:val="1"/>
    </w:lvl>
  </w:abstractNum>
  <w:abstractNum w:abstractNumId="103">
    <w:nsid w:val="59A377B6"/>
    <w:multiLevelType w:val="hybridMultilevel"/>
    <w:lvl w:ilvl="0">
      <w:lvlJc w:val="left"/>
      <w:lvlText w:val="%1."/>
      <w:numFmt w:val="decimal"/>
      <w:start w:val="8"/>
    </w:lvl>
  </w:abstractNum>
  <w:abstractNum w:abstractNumId="104">
    <w:nsid w:val="48AEB063"/>
    <w:multiLevelType w:val="hybridMultilevel"/>
    <w:lvl w:ilvl="0">
      <w:lvlJc w:val="left"/>
      <w:lvlText w:val="(%1)"/>
      <w:numFmt w:val="lowerLetter"/>
      <w:start w:val="1"/>
    </w:lvl>
  </w:abstractNum>
  <w:abstractNum w:abstractNumId="105">
    <w:nsid w:val="24E135"/>
    <w:multiLevelType w:val="hybridMultilevel"/>
    <w:lvl w:ilvl="0">
      <w:lvlJc w:val="left"/>
      <w:lvlText w:val="(%1)"/>
      <w:numFmt w:val="lowerLetter"/>
      <w:start w:val="1"/>
    </w:lvl>
    <w:lvl w:ilvl="1">
      <w:lvlJc w:val="left"/>
      <w:lvlText w:val="(%2)"/>
      <w:numFmt w:val="lowerRoman"/>
      <w:start w:val="1"/>
    </w:lvl>
  </w:abstractNum>
  <w:abstractNum w:abstractNumId="106">
    <w:nsid w:val="BB13C1"/>
    <w:multiLevelType w:val="hybridMultilevel"/>
    <w:lvl w:ilvl="0">
      <w:lvlJc w:val="left"/>
      <w:lvlText w:val="(%1)"/>
      <w:numFmt w:val="lowerLetter"/>
      <w:start w:val="3"/>
    </w:lvl>
  </w:abstractNum>
  <w:abstractNum w:abstractNumId="107">
    <w:nsid w:val="271210C7"/>
    <w:multiLevelType w:val="hybridMultilevel"/>
    <w:lvl w:ilvl="0">
      <w:lvlJc w:val="left"/>
      <w:lvlText w:val="%1."/>
      <w:numFmt w:val="decimal"/>
      <w:start w:val="9"/>
    </w:lvl>
  </w:abstractNum>
  <w:abstractNum w:abstractNumId="108">
    <w:nsid w:val="217B22E4"/>
    <w:multiLevelType w:val="hybridMultilevel"/>
    <w:lvl w:ilvl="0">
      <w:lvlJc w:val="left"/>
      <w:lvlText w:val="(%1)"/>
      <w:numFmt w:val="lowerLetter"/>
      <w:start w:val="1"/>
    </w:lvl>
  </w:abstractNum>
  <w:abstractNum w:abstractNumId="109">
    <w:nsid w:val="53E31A24"/>
    <w:multiLevelType w:val="hybridMultilevel"/>
    <w:lvl w:ilvl="0">
      <w:lvlJc w:val="left"/>
      <w:lvlText w:val="(%1)"/>
      <w:numFmt w:val="lowerLetter"/>
      <w:start w:val="3"/>
    </w:lvl>
  </w:abstractNum>
  <w:abstractNum w:abstractNumId="110">
    <w:nsid w:val="6DC45E83"/>
    <w:multiLevelType w:val="hybridMultilevel"/>
    <w:lvl w:ilvl="0">
      <w:lvlJc w:val="left"/>
      <w:lvlText w:val="(%1)"/>
      <w:numFmt w:val="lowerLetter"/>
      <w:start w:val="1"/>
    </w:lvl>
  </w:abstractNum>
  <w:abstractNum w:abstractNumId="111">
    <w:nsid w:val="17304A67"/>
    <w:multiLevelType w:val="hybridMultilevel"/>
    <w:lvl w:ilvl="0">
      <w:lvlJc w:val="left"/>
      <w:lvlText w:val="(%1)"/>
      <w:numFmt w:val="lowerLetter"/>
      <w:start w:val="5"/>
    </w:lvl>
  </w:abstractNum>
  <w:abstractNum w:abstractNumId="112">
    <w:nsid w:val="2BB180D8"/>
    <w:multiLevelType w:val="hybridMultilevel"/>
    <w:lvl w:ilvl="0">
      <w:lvlJc w:val="left"/>
      <w:lvlText w:val="(%1)"/>
      <w:numFmt w:val="lowerLetter"/>
      <w:start w:val="1"/>
    </w:lvl>
    <w:lvl w:ilvl="1">
      <w:lvlJc w:val="left"/>
      <w:lvlText w:val="(%2)"/>
      <w:numFmt w:val="lowerRoman"/>
      <w:start w:val="1"/>
    </w:lvl>
  </w:abstractNum>
  <w:abstractNum w:abstractNumId="113">
    <w:nsid w:val="556B69ED"/>
    <w:multiLevelType w:val="hybridMultilevel"/>
    <w:lvl w:ilvl="0">
      <w:lvlJc w:val="left"/>
      <w:lvlText w:val="%1"/>
      <w:numFmt w:val="lowerLetter"/>
      <w:start w:val="1"/>
    </w:lvl>
    <w:lvl w:ilvl="1">
      <w:lvlJc w:val="left"/>
      <w:lvlText w:val="(%2)"/>
      <w:numFmt w:val="lowerRoman"/>
      <w:start w:val="3"/>
    </w:lvl>
  </w:abstractNum>
  <w:abstractNum w:abstractNumId="114">
    <w:nsid w:val="70836196"/>
    <w:multiLevelType w:val="hybridMultilevel"/>
    <w:lvl w:ilvl="0">
      <w:lvlJc w:val="left"/>
      <w:lvlText w:val="(%1)"/>
      <w:numFmt w:val="lowerLetter"/>
      <w:start w:val="2"/>
    </w:lvl>
    <w:lvl w:ilvl="1">
      <w:lvlJc w:val="left"/>
      <w:lvlText w:val="%2"/>
      <w:numFmt w:val="lowerRoman"/>
      <w:start w:val="1"/>
    </w:lvl>
  </w:abstractNum>
  <w:abstractNum w:abstractNumId="115">
    <w:nsid w:val="539F7F12"/>
    <w:multiLevelType w:val="hybridMultilevel"/>
    <w:lvl w:ilvl="0">
      <w:lvlJc w:val="left"/>
      <w:lvlText w:val="(%1)"/>
      <w:numFmt w:val="lowerLetter"/>
      <w:start w:val="6"/>
    </w:lvl>
  </w:abstractNum>
  <w:abstractNum w:abstractNumId="116">
    <w:nsid w:val="2817E7EC"/>
    <w:multiLevelType w:val="hybridMultilevel"/>
    <w:lvl w:ilvl="0">
      <w:lvlJc w:val="left"/>
      <w:lvlText w:val="%1."/>
      <w:numFmt w:val="decimal"/>
      <w:start w:val="10"/>
    </w:lvl>
  </w:abstractNum>
  <w:abstractNum w:abstractNumId="117">
    <w:nsid w:val="71482545"/>
    <w:multiLevelType w:val="hybridMultilevel"/>
    <w:lvl w:ilvl="0">
      <w:lvlJc w:val="left"/>
      <w:lvlText w:val="(%1)"/>
      <w:numFmt w:val="lowerLetter"/>
      <w:start w:val="1"/>
    </w:lvl>
  </w:abstractNum>
  <w:abstractNum w:abstractNumId="118">
    <w:nsid w:val="17D78639"/>
    <w:multiLevelType w:val="hybridMultilevel"/>
    <w:lvl w:ilvl="0">
      <w:lvlJc w:val="left"/>
      <w:lvlText w:val="(%1)"/>
      <w:numFmt w:val="lowerLetter"/>
      <w:start w:val="1"/>
    </w:lvl>
    <w:lvl w:ilvl="1">
      <w:lvlJc w:val="left"/>
      <w:lvlText w:val="(%2)"/>
      <w:numFmt w:val="lowerRoman"/>
      <w:start w:val="1"/>
    </w:lvl>
  </w:abstractNum>
  <w:abstractNum w:abstractNumId="119">
    <w:nsid w:val="141D2302"/>
    <w:multiLevelType w:val="hybridMultilevel"/>
    <w:lvl w:ilvl="0">
      <w:lvlJc w:val="left"/>
      <w:lvlText w:val="%1."/>
      <w:numFmt w:val="decimal"/>
      <w:start w:val="11"/>
    </w:lvl>
  </w:abstractNum>
  <w:abstractNum w:abstractNumId="120">
    <w:nsid w:val="407168D8"/>
    <w:multiLevelType w:val="hybridMultilevel"/>
    <w:lvl w:ilvl="0">
      <w:lvlJc w:val="left"/>
      <w:lvlText w:val="(%1)"/>
      <w:numFmt w:val="lowerLetter"/>
      <w:start w:val="1"/>
    </w:lvl>
    <w:lvl w:ilvl="1">
      <w:lvlJc w:val="left"/>
      <w:lvlText w:val="(%2)"/>
      <w:numFmt w:val="lowerLetter"/>
      <w:start w:val="9"/>
    </w:lvl>
  </w:abstractNum>
  <w:abstractNum w:abstractNumId="121">
    <w:nsid w:val="6A1B45E5"/>
    <w:multiLevelType w:val="hybridMultilevel"/>
    <w:lvl w:ilvl="0">
      <w:lvlJc w:val="left"/>
      <w:lvlText w:val="%1"/>
      <w:numFmt w:val="lowerLetter"/>
      <w:start w:val="1"/>
    </w:lvl>
    <w:lvl w:ilvl="1">
      <w:lvlJc w:val="left"/>
      <w:lvlText w:val="(%2)"/>
      <w:numFmt w:val="lowerLetter"/>
      <w:start w:val="35"/>
    </w:lvl>
  </w:abstractNum>
  <w:abstractNum w:abstractNumId="122">
    <w:nsid w:val="567BD50A"/>
    <w:multiLevelType w:val="hybridMultilevel"/>
    <w:lvl w:ilvl="0">
      <w:lvlJc w:val="left"/>
      <w:lvlText w:val="(%1)"/>
      <w:numFmt w:val="lowerLetter"/>
      <w:start w:val="2"/>
    </w:lvl>
    <w:lvl w:ilvl="1">
      <w:lvlJc w:val="left"/>
      <w:lvlText w:val="%2"/>
      <w:numFmt w:val="lowerLetter"/>
      <w:start w:val="1"/>
    </w:lvl>
  </w:abstractNum>
  <w:abstractNum w:abstractNumId="123">
    <w:nsid w:val="73BBD7F8"/>
    <w:multiLevelType w:val="hybridMultilevel"/>
    <w:lvl w:ilvl="0">
      <w:lvlJc w:val="left"/>
      <w:lvlText w:val="%1."/>
      <w:numFmt w:val="decimal"/>
      <w:start w:val="12"/>
    </w:lvl>
  </w:abstractNum>
  <w:abstractNum w:abstractNumId="124">
    <w:nsid w:val="1876589D"/>
    <w:multiLevelType w:val="hybridMultilevel"/>
    <w:lvl w:ilvl="0">
      <w:lvlJc w:val="left"/>
      <w:lvlText w:val="(%1)"/>
      <w:numFmt w:val="lowerLetter"/>
      <w:start w:val="1"/>
    </w:lvl>
  </w:abstractNum>
  <w:abstractNum w:abstractNumId="125">
    <w:nsid w:val="327FAC77"/>
    <w:multiLevelType w:val="hybridMultilevel"/>
    <w:lvl w:ilvl="0">
      <w:lvlJc w:val="left"/>
      <w:lvlText w:val="(%1)"/>
      <w:numFmt w:val="lowerLetter"/>
      <w:start w:val="1"/>
    </w:lvl>
  </w:abstractNum>
  <w:abstractNum w:abstractNumId="126">
    <w:nsid w:val="5A606509"/>
    <w:multiLevelType w:val="hybridMultilevel"/>
    <w:lvl w:ilvl="0">
      <w:lvlJc w:val="left"/>
      <w:lvlText w:val="(%1)"/>
      <w:numFmt w:val="lowerLetter"/>
      <w:start w:val="1"/>
    </w:lvl>
  </w:abstractNum>
  <w:abstractNum w:abstractNumId="127">
    <w:nsid w:val="6F38E6D1"/>
    <w:multiLevelType w:val="hybridMultilevel"/>
    <w:lvl w:ilvl="0">
      <w:lvlJc w:val="left"/>
      <w:lvlText w:val="(%1)"/>
      <w:numFmt w:val="lowerLetter"/>
      <w:start w:val="3"/>
    </w:lvl>
  </w:abstractNum>
  <w:abstractNum w:abstractNumId="128">
    <w:nsid w:val="46111BA5"/>
    <w:multiLevelType w:val="hybridMultilevel"/>
    <w:lvl w:ilvl="0">
      <w:lvlJc w:val="left"/>
      <w:lvlText w:val="%1."/>
      <w:numFmt w:val="decimal"/>
      <w:start w:val="1"/>
    </w:lvl>
  </w:abstractNum>
  <w:abstractNum w:abstractNumId="129">
    <w:nsid w:val="5E963896"/>
    <w:multiLevelType w:val="hybridMultilevel"/>
    <w:lvl w:ilvl="0">
      <w:lvlJc w:val="left"/>
      <w:lvlText w:val="%1."/>
      <w:numFmt w:val="decimal"/>
      <w:start w:val="3"/>
    </w:lvl>
  </w:abstractNum>
  <w:abstractNum w:abstractNumId="130">
    <w:nsid w:val="775BA7C1"/>
    <w:multiLevelType w:val="hybridMultilevel"/>
    <w:lvl w:ilvl="0">
      <w:lvlJc w:val="left"/>
      <w:lvlText w:val="%1."/>
      <w:numFmt w:val="decimal"/>
      <w:start w:val="5"/>
    </w:lvl>
  </w:abstractNum>
  <w:abstractNum w:abstractNumId="131">
    <w:nsid w:val="1DD6D6F4"/>
    <w:multiLevelType w:val="hybridMultilevel"/>
    <w:lvl w:ilvl="0">
      <w:lvlJc w:val="left"/>
      <w:lvlText w:val="1"/>
      <w:numFmt w:val="bullet"/>
      <w:start w:val="1"/>
    </w:lvl>
  </w:abstractNum>
  <w:abstractNum w:abstractNumId="132">
    <w:nsid w:val="769A091F"/>
    <w:multiLevelType w:val="hybridMultilevel"/>
    <w:lvl w:ilvl="0">
      <w:lvlJc w:val="left"/>
      <w:lvlText w:val="(%1)"/>
      <w:numFmt w:val="lowerLetter"/>
      <w:start w:val="1"/>
    </w:lvl>
  </w:abstractNum>
  <w:abstractNum w:abstractNumId="133">
    <w:nsid w:val="4695AE95"/>
    <w:multiLevelType w:val="hybridMultilevel"/>
    <w:lvl w:ilvl="0">
      <w:lvlJc w:val="left"/>
      <w:lvlText w:val="2"/>
      <w:numFmt w:val="bullet"/>
      <w:start w:val="1"/>
    </w:lvl>
  </w:abstractNum>
  <w:abstractNum w:abstractNumId="134">
    <w:nsid w:val="777A4EAA"/>
    <w:multiLevelType w:val="hybridMultilevel"/>
    <w:lvl w:ilvl="0">
      <w:lvlJc w:val="left"/>
      <w:lvlText w:val="(%1)"/>
      <w:numFmt w:val="lowerLetter"/>
      <w:start w:val="2"/>
    </w:lvl>
  </w:abstractNum>
  <w:abstractNum w:abstractNumId="135">
    <w:nsid w:val="3F48B982"/>
    <w:multiLevelType w:val="hybridMultilevel"/>
    <w:lvl w:ilvl="0">
      <w:lvlJc w:val="left"/>
      <w:lvlText w:val="*"/>
      <w:numFmt w:val="bullet"/>
      <w:start w:val="1"/>
    </w:lvl>
  </w:abstractNum>
  <w:abstractNum w:abstractNumId="136">
    <w:nsid w:val="46BA8FCA"/>
    <w:multiLevelType w:val="hybridMultilevel"/>
    <w:lvl w:ilvl="0">
      <w:lvlJc w:val="left"/>
      <w:lvlText w:val="☐"/>
      <w:numFmt w:val="bullet"/>
      <w:start w:val="1"/>
    </w:lvl>
  </w:abstractNum>
  <w:abstractNum w:abstractNumId="137">
    <w:nsid w:val="7835626C"/>
    <w:multiLevelType w:val="hybridMultilevel"/>
    <w:lvl w:ilvl="0">
      <w:lvlJc w:val="left"/>
      <w:lvlText w:val="*"/>
      <w:numFmt w:val="bullet"/>
      <w:start w:val="1"/>
    </w:lvl>
  </w:abstractNum>
  <w:abstractNum w:abstractNumId="138">
    <w:nsid w:val="665ACA49"/>
    <w:multiLevelType w:val="hybridMultilevel"/>
    <w:lvl w:ilvl="0">
      <w:lvlJc w:val="left"/>
      <w:lvlText w:val="☐"/>
      <w:numFmt w:val="bullet"/>
      <w:start w:val="1"/>
    </w:lvl>
  </w:abstractNum>
  <w:abstractNum w:abstractNumId="139">
    <w:nsid w:val="6835B2AE"/>
    <w:multiLevelType w:val="hybridMultilevel"/>
    <w:lvl w:ilvl="0">
      <w:lvlJc w:val="left"/>
      <w:lvlText w:val="☐"/>
      <w:numFmt w:val="bullet"/>
      <w:start w:val="1"/>
    </w:lvl>
  </w:abstractNum>
  <w:abstractNum w:abstractNumId="140">
    <w:nsid w:val="4C187C90"/>
    <w:multiLevelType w:val="hybridMultilevel"/>
    <w:lvl w:ilvl="0">
      <w:lvlJc w:val="left"/>
      <w:lvlText w:val="☐"/>
      <w:numFmt w:val="bullet"/>
      <w:start w:val="1"/>
    </w:lvl>
  </w:abstractNum>
  <w:abstractNum w:abstractNumId="141">
    <w:nsid w:val="541F28CD"/>
    <w:multiLevelType w:val="hybridMultilevel"/>
    <w:lvl w:ilvl="0">
      <w:lvlJc w:val="left"/>
      <w:lvlText w:val="☐"/>
      <w:numFmt w:val="bullet"/>
      <w:start w:val="1"/>
    </w:lvl>
    <w:lvl w:ilvl="1">
      <w:lvlJc w:val="left"/>
      <w:lvlText w:val="☐"/>
      <w:numFmt w:val="bullet"/>
      <w:start w:val="1"/>
    </w:lvl>
  </w:abstractNum>
  <w:abstractNum w:abstractNumId="142">
    <w:nsid w:val="7F65FD16"/>
    <w:multiLevelType w:val="hybridMultilevel"/>
    <w:lvl w:ilvl="0">
      <w:lvlJc w:val="left"/>
      <w:lvlText w:val="☐"/>
      <w:numFmt w:val="bullet"/>
      <w:start w:val="1"/>
    </w:lvl>
  </w:abstractNum>
  <w:abstractNum w:abstractNumId="143">
    <w:nsid w:val="77C9FD68"/>
    <w:multiLevelType w:val="hybridMultilevel"/>
    <w:lvl w:ilvl="0">
      <w:lvlJc w:val="left"/>
      <w:lvlText w:val="☐"/>
      <w:numFmt w:val="bullet"/>
      <w:start w:val="1"/>
    </w:lvl>
  </w:abstractNum>
  <w:abstractNum w:abstractNumId="144">
    <w:nsid w:val="298A92BA"/>
    <w:multiLevelType w:val="hybridMultilevel"/>
    <w:lvl w:ilvl="0">
      <w:lvlJc w:val="left"/>
      <w:lvlText w:val="☐"/>
      <w:numFmt w:val="bullet"/>
      <w:start w:val="1"/>
    </w:lvl>
  </w:abstractNum>
  <w:abstractNum w:abstractNumId="145">
    <w:nsid w:val="6FE95EAC"/>
    <w:multiLevelType w:val="hybridMultilevel"/>
    <w:lvl w:ilvl="0">
      <w:lvlJc w:val="left"/>
      <w:lvlText w:val="(%1)"/>
      <w:numFmt w:val="lowerLetter"/>
      <w:start w:val="1"/>
    </w:lvl>
  </w:abstractNum>
  <w:abstractNum w:abstractNumId="146">
    <w:nsid w:val="4B697C7A"/>
    <w:multiLevelType w:val="hybridMultilevel"/>
    <w:lvl w:ilvl="0">
      <w:lvlJc w:val="left"/>
      <w:lvlText w:val="(%1)"/>
      <w:numFmt w:val="lowerRoman"/>
      <w:start w:val="1"/>
    </w:lvl>
  </w:abstractNum>
  <w:abstractNum w:abstractNumId="147">
    <w:nsid w:val="51A27AA6"/>
    <w:multiLevelType w:val="hybridMultilevel"/>
    <w:lvl w:ilvl="0">
      <w:lvlJc w:val="left"/>
      <w:lvlText w:val="(%1)"/>
      <w:numFmt w:val="lowerRoman"/>
      <w:start w:val="4"/>
    </w:lvl>
  </w:abstractNum>
  <w:abstractNum w:abstractNumId="148">
    <w:nsid w:val="613183F2"/>
    <w:multiLevelType w:val="hybridMultilevel"/>
    <w:lvl w:ilvl="0">
      <w:lvlJc w:val="left"/>
      <w:lvlText w:val="%1"/>
      <w:numFmt w:val="lowerLetter"/>
      <w:start w:val="1"/>
    </w:lvl>
    <w:lvl w:ilvl="1">
      <w:lvlJc w:val="left"/>
      <w:lvlText w:val="(%2)"/>
      <w:numFmt w:val="lowerRoman"/>
      <w:start w:val="12"/>
    </w:lvl>
  </w:abstractNum>
  <w:abstractNum w:abstractNumId="149">
    <w:nsid w:val="634102B4"/>
    <w:multiLevelType w:val="hybridMultilevel"/>
    <w:lvl w:ilvl="0">
      <w:lvlJc w:val="left"/>
      <w:lvlText w:val="(%1)"/>
      <w:numFmt w:val="lowerLetter"/>
      <w:start w:val="1"/>
    </w:lvl>
    <w:lvl w:ilvl="1">
      <w:lvlJc w:val="left"/>
      <w:lvlText w:val="%2"/>
      <w:numFmt w:val="lowerRoman"/>
      <w:start w:val="1"/>
    </w:lvl>
  </w:abstractNum>
  <w:abstractNum w:abstractNumId="150">
    <w:nsid w:val="65BF9DA8"/>
    <w:multiLevelType w:val="hybridMultilevel"/>
    <w:lvl w:ilvl="0">
      <w:lvlJc w:val="left"/>
      <w:lvlText w:val="(%1)"/>
      <w:numFmt w:val="lowerLetter"/>
      <w:start w:val="1"/>
    </w:lvl>
    <w:lvl w:ilvl="1">
      <w:lvlJc w:val="left"/>
      <w:lvlText w:val="(%2)"/>
      <w:numFmt w:val="lowerRoman"/>
      <w:start w:val="1"/>
    </w:lvl>
  </w:abstractNum>
  <w:abstractNum w:abstractNumId="151">
    <w:nsid w:val="21A2ECCA"/>
    <w:multiLevelType w:val="hybridMultilevel"/>
    <w:lvl w:ilvl="0">
      <w:lvlJc w:val="left"/>
      <w:lvlText w:val="(%1)"/>
      <w:numFmt w:val="lowerLetter"/>
      <w:start w:val="2"/>
    </w:lvl>
  </w:abstractNum>
  <w:abstractNum w:abstractNumId="152">
    <w:nsid w:val="4D5C4899"/>
    <w:multiLevelType w:val="hybridMultilevel"/>
    <w:lvl w:ilvl="0">
      <w:lvlJc w:val="left"/>
      <w:lvlText w:val="(%1)"/>
      <w:numFmt w:val="lowerLetter"/>
      <w:start w:val="1"/>
    </w:lvl>
  </w:abstractNum>
  <w:abstractNum w:abstractNumId="153">
    <w:nsid w:val="3C3B72B2"/>
    <w:multiLevelType w:val="hybridMultilevel"/>
    <w:lvl w:ilvl="0">
      <w:lvlJc w:val="left"/>
      <w:lvlText w:val="(%1)"/>
      <w:numFmt w:val="lowerLetter"/>
      <w:start w:val="2"/>
    </w:lvl>
  </w:abstractNum>
  <w:abstractNum w:abstractNumId="154">
    <w:nsid w:val="155EC4C2"/>
    <w:multiLevelType w:val="hybridMultilevel"/>
    <w:lvl w:ilvl="0">
      <w:lvlJc w:val="left"/>
      <w:lvlText w:val="(%1)"/>
      <w:numFmt w:val="lowerLetter"/>
      <w:start w:val="1"/>
    </w:lvl>
  </w:abstractNum>
  <w:abstractNum w:abstractNumId="155">
    <w:nsid w:val="65D2A137"/>
    <w:multiLevelType w:val="hybridMultilevel"/>
    <w:lvl w:ilvl="0">
      <w:lvlJc w:val="left"/>
      <w:lvlText w:val="(%1)"/>
      <w:numFmt w:val="upperLetter"/>
      <w:start w:val="1"/>
    </w:lvl>
  </w:abstractNum>
  <w:abstractNum w:abstractNumId="156">
    <w:nsid w:val="6EBB1F2A"/>
    <w:multiLevelType w:val="hybridMultilevel"/>
    <w:lvl w:ilvl="0">
      <w:lvlJc w:val="left"/>
      <w:lvlText w:val="(%1)"/>
      <w:numFmt w:val="upperLetter"/>
      <w:start w:val="4"/>
    </w:lvl>
  </w:abstractNum>
  <w:abstractNum w:abstractNumId="157">
    <w:nsid w:val="6FBF29CB"/>
    <w:multiLevelType w:val="hybridMultilevel"/>
    <w:lvl w:ilvl="0">
      <w:lvlJc w:val="left"/>
      <w:lvlText w:val="(%1)"/>
      <w:numFmt w:val="upperLetter"/>
      <w:start w:val="1"/>
    </w:lvl>
  </w:abstractNum>
  <w:abstractNum w:abstractNumId="158">
    <w:nsid w:val="550B8808"/>
    <w:multiLevelType w:val="hybridMultilevel"/>
    <w:lvl w:ilvl="0">
      <w:lvlJc w:val="left"/>
      <w:lvlText w:val="(%1)"/>
      <w:numFmt w:val="lowerRoman"/>
      <w:start w:val="2"/>
    </w:lvl>
  </w:abstractNum>
  <w:abstractNum w:abstractNumId="159">
    <w:nsid w:val="34CC3ACF"/>
    <w:multiLevelType w:val="hybridMultilevel"/>
    <w:lvl w:ilvl="0">
      <w:lvlJc w:val="left"/>
      <w:lvlText w:val="(%1)"/>
      <w:numFmt w:val="lowerLetter"/>
      <w:start w:val="1"/>
    </w:lvl>
  </w:abstractNum>
  <w:abstractNum w:abstractNumId="160">
    <w:nsid w:val="4E556261"/>
    <w:multiLevelType w:val="hybridMultilevel"/>
    <w:lvl w:ilvl="0">
      <w:lvlJc w:val="left"/>
      <w:lvlText w:val="(%1)"/>
      <w:numFmt w:val="lowerLetter"/>
      <w:start w:val="1"/>
    </w:lvl>
  </w:abstractNum>
  <w:abstractNum w:abstractNumId="161">
    <w:nsid w:val="4C672FC9"/>
    <w:multiLevelType w:val="hybridMultilevel"/>
    <w:lvl w:ilvl="0">
      <w:lvlJc w:val="left"/>
      <w:lvlText w:val="(%1)"/>
      <w:numFmt w:val="decimal"/>
      <w:start w:val="1"/>
    </w:lvl>
  </w:abstractNum>
  <w:abstractNum w:abstractNumId="162">
    <w:nsid w:val="52A311C3"/>
    <w:multiLevelType w:val="hybridMultilevel"/>
    <w:lvl w:ilvl="0">
      <w:lvlJc w:val="left"/>
      <w:lvlText w:val="(%1)"/>
      <w:numFmt w:val="upperLetter"/>
      <w:start w:val="1"/>
    </w:lvl>
  </w:abstractNum>
  <w:abstractNum w:abstractNumId="163">
    <w:nsid w:val="44EF6B80"/>
    <w:multiLevelType w:val="hybridMultilevel"/>
    <w:lvl w:ilvl="0">
      <w:lvlJc w:val="left"/>
      <w:lvlText w:val="%1."/>
      <w:numFmt w:val="decimal"/>
      <w:start w:val="1"/>
    </w:lvl>
  </w:abstractNum>
  <w:abstractNum w:abstractNumId="164">
    <w:nsid w:val="12FCDE5E"/>
    <w:multiLevelType w:val="hybridMultilevel"/>
    <w:lvl w:ilvl="0">
      <w:lvlJc w:val="left"/>
      <w:lvlText w:val="1.%1."/>
      <w:numFmt w:val="decimal"/>
      <w:start w:val="1"/>
    </w:lvl>
  </w:abstractNum>
  <w:abstractNum w:abstractNumId="165">
    <w:nsid w:val="4A1D606E"/>
    <w:multiLevelType w:val="hybridMultilevel"/>
    <w:lvl w:ilvl="0">
      <w:lvlJc w:val="left"/>
      <w:lvlText w:val="(%1)"/>
      <w:numFmt w:val="lowerLetter"/>
      <w:start w:val="1"/>
    </w:lvl>
    <w:lvl w:ilvl="1">
      <w:lvlJc w:val="left"/>
      <w:lvlText w:val="(%2)"/>
      <w:numFmt w:val="lowerRoman"/>
      <w:start w:val="1"/>
    </w:lvl>
  </w:abstractNum>
  <w:abstractNum w:abstractNumId="166">
    <w:nsid w:val="4382503"/>
    <w:multiLevelType w:val="hybridMultilevel"/>
    <w:lvl w:ilvl="0">
      <w:lvlJc w:val="left"/>
      <w:lvlText w:val="%1"/>
      <w:numFmt w:val="lowerLetter"/>
      <w:start w:val="1"/>
    </w:lvl>
    <w:lvl w:ilvl="1">
      <w:lvlJc w:val="left"/>
      <w:lvlText w:val="(%2)"/>
      <w:numFmt w:val="lowerRoman"/>
      <w:start w:val="8"/>
    </w:lvl>
  </w:abstractNum>
  <w:abstractNum w:abstractNumId="167">
    <w:nsid w:val="59B76E28"/>
    <w:multiLevelType w:val="hybridMultilevel"/>
    <w:lvl w:ilvl="0">
      <w:lvlJc w:val="left"/>
      <w:lvlText w:val="(%1)"/>
      <w:numFmt w:val="lowerLetter"/>
      <w:start w:val="2"/>
    </w:lvl>
    <w:lvl w:ilvl="1">
      <w:lvlJc w:val="left"/>
      <w:lvlText w:val="%2"/>
      <w:numFmt w:val="lowerRoman"/>
      <w:start w:val="1"/>
    </w:lvl>
  </w:abstractNum>
  <w:abstractNum w:abstractNumId="168">
    <w:nsid w:val="4252C2DA"/>
    <w:multiLevelType w:val="hybridMultilevel"/>
    <w:lvl w:ilvl="0">
      <w:lvlJc w:val="left"/>
      <w:lvlText w:val="%1."/>
      <w:numFmt w:val="decimal"/>
      <w:start w:val="2"/>
    </w:lvl>
    <w:lvl w:ilvl="1">
      <w:lvlJc w:val="left"/>
      <w:lvlText w:val="%2"/>
      <w:numFmt w:val="lowerLetter"/>
      <w:start w:val="1"/>
    </w:lvl>
  </w:abstractNum>
  <w:abstractNum w:abstractNumId="169">
    <w:nsid w:val="6A92EF4C"/>
    <w:multiLevelType w:val="hybridMultilevel"/>
    <w:lvl w:ilvl="0">
      <w:lvlJc w:val="left"/>
      <w:lvlText w:val="2.%1."/>
      <w:numFmt w:val="decimal"/>
      <w:start w:val="1"/>
    </w:lvl>
    <w:lvl w:ilvl="1">
      <w:lvlJc w:val="left"/>
      <w:lvlText w:val="(%2)"/>
      <w:numFmt w:val="lowerLetter"/>
      <w:start w:val="1"/>
    </w:lvl>
  </w:abstractNum>
  <w:abstractNum w:abstractNumId="170">
    <w:nsid w:val="41ED20D7"/>
    <w:multiLevelType w:val="hybridMultilevel"/>
    <w:lvl w:ilvl="0">
      <w:lvlJc w:val="left"/>
      <w:lvlText w:val="(%1)"/>
      <w:numFmt w:val="lowerLetter"/>
      <w:start w:val="1"/>
    </w:lvl>
  </w:abstractNum>
  <w:abstractNum w:abstractNumId="171">
    <w:nsid w:val="E6B3F6A"/>
    <w:multiLevelType w:val="hybridMultilevel"/>
    <w:lvl w:ilvl="0">
      <w:lvlJc w:val="left"/>
      <w:lvlText w:val="%1"/>
      <w:numFmt w:val="lowerLetter"/>
      <w:start w:val="1"/>
    </w:lvl>
    <w:lvl w:ilvl="1">
      <w:lvlJc w:val="left"/>
      <w:lvlText w:val="(%2)"/>
      <w:numFmt w:val="lowerRoman"/>
      <w:start w:val="1"/>
    </w:lvl>
  </w:abstractNum>
  <w:abstractNum w:abstractNumId="172">
    <w:nsid w:val="3EB21819"/>
    <w:multiLevelType w:val="hybridMultilevel"/>
    <w:lvl w:ilvl="0">
      <w:lvlJc w:val="left"/>
      <w:lvlText w:val="(%1)"/>
      <w:numFmt w:val="lowerLetter"/>
      <w:start w:val="3"/>
    </w:lvl>
    <w:lvl w:ilvl="1">
      <w:lvlJc w:val="left"/>
      <w:lvlText w:val="%2"/>
      <w:numFmt w:val="lowerRoman"/>
      <w:start w:val="1"/>
    </w:lvl>
  </w:abstractNum>
  <w:abstractNum w:abstractNumId="173">
    <w:nsid w:val="41531DED"/>
    <w:multiLevelType w:val="hybridMultilevel"/>
    <w:lvl w:ilvl="0">
      <w:lvlJc w:val="left"/>
      <w:lvlText w:val="(%1)"/>
      <w:numFmt w:val="lowerLetter"/>
      <w:start w:val="1"/>
    </w:lvl>
  </w:abstractNum>
  <w:abstractNum w:abstractNumId="174">
    <w:nsid w:val="6353CD2"/>
    <w:multiLevelType w:val="hybridMultilevel"/>
    <w:lvl w:ilvl="0">
      <w:lvlJc w:val="left"/>
      <w:lvlText w:val="(%1)"/>
      <w:numFmt w:val="lowerLetter"/>
      <w:start w:val="1"/>
    </w:lvl>
  </w:abstractNum>
  <w:abstractNum w:abstractNumId="175">
    <w:nsid w:val="683CAAD3"/>
    <w:multiLevelType w:val="hybridMultilevel"/>
    <w:lvl w:ilvl="0">
      <w:lvlJc w:val="left"/>
      <w:lvlText w:val="(%1)"/>
      <w:numFmt w:val="lowerLetter"/>
      <w:start w:val="2"/>
    </w:lvl>
  </w:abstractNum>
  <w:abstractNum w:abstractNumId="176">
    <w:nsid w:val="313C7C99"/>
    <w:multiLevelType w:val="hybridMultilevel"/>
    <w:lvl w:ilvl="0">
      <w:lvlJc w:val="left"/>
      <w:lvlText w:val="%1."/>
      <w:numFmt w:val="decimal"/>
      <w:start w:val="3"/>
    </w:lvl>
  </w:abstractNum>
  <w:abstractNum w:abstractNumId="177">
    <w:nsid w:val="519EB94C"/>
    <w:multiLevelType w:val="hybridMultilevel"/>
    <w:lvl w:ilvl="0">
      <w:lvlJc w:val="left"/>
      <w:lvlText w:val="3.%1."/>
      <w:numFmt w:val="decimal"/>
      <w:start w:val="1"/>
    </w:lvl>
  </w:abstractNum>
  <w:abstractNum w:abstractNumId="178">
    <w:nsid w:val="39DF2579"/>
    <w:multiLevelType w:val="hybridMultilevel"/>
    <w:lvl w:ilvl="0">
      <w:lvlJc w:val="left"/>
      <w:lvlText w:val="(%1)"/>
      <w:numFmt w:val="lowerLetter"/>
      <w:start w:val="1"/>
    </w:lvl>
    <w:lvl w:ilvl="1">
      <w:lvlJc w:val="left"/>
      <w:lvlText w:val="(%2)"/>
      <w:numFmt w:val="lowerRoman"/>
      <w:start w:val="1"/>
    </w:lvl>
  </w:abstractNum>
  <w:abstractNum w:abstractNumId="179">
    <w:nsid w:val="126E008B"/>
    <w:multiLevelType w:val="hybridMultilevel"/>
    <w:lvl w:ilvl="0">
      <w:lvlJc w:val="left"/>
      <w:lvlText w:val="(%1)"/>
      <w:numFmt w:val="lowerLetter"/>
      <w:start w:val="1"/>
    </w:lvl>
  </w:abstractNum>
  <w:abstractNum w:abstractNumId="180">
    <w:nsid w:val="34DFBC00"/>
    <w:multiLevelType w:val="hybridMultilevel"/>
    <w:lvl w:ilvl="0">
      <w:lvlJc w:val="left"/>
      <w:lvlText w:val="(%1)"/>
      <w:numFmt w:val="lowerLetter"/>
      <w:start w:val="1"/>
    </w:lvl>
    <w:lvl w:ilvl="1">
      <w:lvlJc w:val="left"/>
      <w:lvlText w:val="(%2)"/>
      <w:numFmt w:val="lowerRoman"/>
      <w:start w:val="1"/>
    </w:lvl>
  </w:abstractNum>
  <w:abstractNum w:abstractNumId="181">
    <w:nsid w:val="1F9EC322"/>
    <w:multiLevelType w:val="hybridMultilevel"/>
    <w:lvl w:ilvl="0">
      <w:lvlJc w:val="left"/>
      <w:lvlText w:val="(%1)"/>
      <w:numFmt w:val="lowerLetter"/>
      <w:start w:val="1"/>
    </w:lvl>
    <w:lvl w:ilvl="1">
      <w:lvlJc w:val="left"/>
      <w:lvlText w:val="(%2)"/>
      <w:numFmt w:val="lowerRoman"/>
      <w:start w:val="1"/>
    </w:lvl>
  </w:abstractNum>
  <w:abstractNum w:abstractNumId="182">
    <w:nsid w:val="3410ED56"/>
    <w:multiLevelType w:val="hybridMultilevel"/>
    <w:lvl w:ilvl="0">
      <w:lvlJc w:val="left"/>
      <w:lvlText w:val="(%1)"/>
      <w:numFmt w:val="lowerLetter"/>
      <w:start w:val="4"/>
    </w:lvl>
  </w:abstractNum>
  <w:abstractNum w:abstractNumId="183">
    <w:nsid w:val="23C049A"/>
    <w:multiLevelType w:val="hybridMultilevel"/>
    <w:lvl w:ilvl="0">
      <w:lvlJc w:val="left"/>
      <w:lvlText w:val="(%1)"/>
      <w:numFmt w:val="lowerLetter"/>
      <w:start w:val="1"/>
    </w:lvl>
  </w:abstractNum>
  <w:abstractNum w:abstractNumId="184">
    <w:nsid w:val="5BDA35D4"/>
    <w:multiLevelType w:val="hybridMultilevel"/>
    <w:lvl w:ilvl="0">
      <w:lvlJc w:val="left"/>
      <w:lvlText w:val="(%1)"/>
      <w:numFmt w:val="lowerLetter"/>
      <w:start w:val="5"/>
    </w:lvl>
  </w:abstractNum>
  <w:abstractNum w:abstractNumId="185">
    <w:nsid w:val="496FB218"/>
    <w:multiLevelType w:val="hybridMultilevel"/>
    <w:lvl w:ilvl="0">
      <w:lvlJc w:val="left"/>
      <w:lvlText w:val="(%1)"/>
      <w:numFmt w:val="lowerLetter"/>
      <w:start w:val="1"/>
    </w:lvl>
  </w:abstractNum>
  <w:abstractNum w:abstractNumId="186">
    <w:nsid w:val="680EA5D1"/>
    <w:multiLevelType w:val="hybridMultilevel"/>
    <w:lvl w:ilvl="0">
      <w:lvlJc w:val="left"/>
      <w:lvlText w:val="(%1)"/>
      <w:numFmt w:val="lowerLetter"/>
      <w:start w:val="2"/>
    </w:lvl>
  </w:abstractNum>
  <w:abstractNum w:abstractNumId="187">
    <w:nsid w:val="4A9554FE"/>
    <w:multiLevelType w:val="hybridMultilevel"/>
    <w:lvl w:ilvl="0">
      <w:lvlJc w:val="left"/>
      <w:lvlText w:val="(%1)"/>
      <w:numFmt w:val="lowerLetter"/>
      <w:start w:val="1"/>
    </w:lvl>
  </w:abstractNum>
  <w:abstractNum w:abstractNumId="188">
    <w:nsid w:val="392EDBE4"/>
    <w:multiLevelType w:val="hybridMultilevel"/>
    <w:lvl w:ilvl="0">
      <w:lvlJc w:val="left"/>
      <w:lvlText w:val="(%1)"/>
      <w:numFmt w:val="lowerLetter"/>
      <w:start w:val="1"/>
    </w:lvl>
  </w:abstractNum>
  <w:abstractNum w:abstractNumId="189">
    <w:nsid w:val="3D1A2DD9"/>
    <w:multiLevelType w:val="hybridMultilevel"/>
    <w:lvl w:ilvl="0">
      <w:lvlJc w:val="left"/>
      <w:lvlText w:val="(%1)"/>
      <w:numFmt w:val="lowerLetter"/>
      <w:start w:val="1"/>
    </w:lvl>
  </w:abstractNum>
  <w:abstractNum w:abstractNumId="190">
    <w:nsid w:val="7F618FCD"/>
    <w:multiLevelType w:val="hybridMultilevel"/>
    <w:lvl w:ilvl="0">
      <w:lvlJc w:val="left"/>
      <w:lvlText w:val="%1"/>
      <w:numFmt w:val="decimal"/>
      <w:start w:val="1"/>
    </w:lvl>
    <w:lvl w:ilvl="1">
      <w:lvlJc w:val="left"/>
      <w:lvlText w:val="(%2)"/>
      <w:numFmt w:val="lowerLetter"/>
      <w:start w:val="2"/>
    </w:lvl>
  </w:abstractNum>
  <w:abstractNum w:abstractNumId="191">
    <w:nsid w:val="7843E45"/>
    <w:multiLevelType w:val="hybridMultilevel"/>
    <w:lvl w:ilvl="0">
      <w:lvlJc w:val="left"/>
      <w:lvlText w:val="%1."/>
      <w:numFmt w:val="decimal"/>
      <w:start w:val="4"/>
    </w:lvl>
    <w:lvl w:ilvl="1">
      <w:lvlJc w:val="left"/>
      <w:lvlText w:val="%2"/>
      <w:numFmt w:val="lowerLetter"/>
      <w:start w:val="1"/>
    </w:lvl>
  </w:abstractNum>
  <w:abstractNum w:abstractNumId="192">
    <w:nsid w:val="9815DA3"/>
    <w:multiLevelType w:val="hybridMultilevel"/>
    <w:lvl w:ilvl="0">
      <w:lvlJc w:val="left"/>
      <w:lvlText w:val="(%1)"/>
      <w:numFmt w:val="lowerLetter"/>
      <w:start w:val="1"/>
    </w:lvl>
  </w:abstractNum>
  <w:abstractNum w:abstractNumId="193">
    <w:nsid w:val="5204A191"/>
    <w:multiLevelType w:val="hybridMultilevel"/>
    <w:lvl w:ilvl="0">
      <w:lvlJc w:val="left"/>
      <w:lvlText w:val="(%1)"/>
      <w:numFmt w:val="lowerLetter"/>
      <w:start w:val="1"/>
    </w:lvl>
  </w:abstractNum>
  <w:abstractNum w:abstractNumId="194">
    <w:nsid w:val="4C73A9C6"/>
    <w:multiLevelType w:val="hybridMultilevel"/>
    <w:lvl w:ilvl="0">
      <w:lvlJc w:val="left"/>
      <w:lvlText w:val="(%1)"/>
      <w:numFmt w:val="lowerLetter"/>
      <w:start w:val="5"/>
    </w:lvl>
    <w:lvl w:ilvl="1">
      <w:lvlJc w:val="left"/>
      <w:lvlText w:val="(%2)"/>
      <w:numFmt w:val="lowerLetter"/>
      <w:start w:val="61"/>
    </w:lvl>
  </w:abstractNum>
  <w:abstractNum w:abstractNumId="195">
    <w:nsid w:val="1C7E3C01"/>
    <w:multiLevelType w:val="hybridMultilevel"/>
    <w:lvl w:ilvl="0">
      <w:lvlJc w:val="left"/>
      <w:lvlText w:val="%1"/>
      <w:numFmt w:val="lowerLetter"/>
      <w:start w:val="1"/>
    </w:lvl>
    <w:lvl w:ilvl="1">
      <w:lvlJc w:val="left"/>
      <w:lvlText w:val="(%2)"/>
      <w:numFmt w:val="lowerLetter"/>
      <w:start w:val="9"/>
    </w:lvl>
  </w:abstractNum>
  <w:abstractNum w:abstractNumId="196">
    <w:nsid w:val="1C2201F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97">
    <w:nsid w:val="50ABCEC9"/>
    <w:multiLevelType w:val="hybridMultilevel"/>
    <w:lvl w:ilvl="0">
      <w:lvlJc w:val="left"/>
      <w:lvlText w:val="%1"/>
      <w:numFmt w:val="upperLetter"/>
      <w:start w:val="1"/>
    </w:lvl>
    <w:lvl w:ilvl="1">
      <w:lvlJc w:val="left"/>
      <w:lvlText w:val="(%2)"/>
      <w:numFmt w:val="decimal"/>
      <w:start w:val="4"/>
    </w:lvl>
  </w:abstractNum>
  <w:abstractNum w:abstractNumId="198">
    <w:nsid w:val="7635AA2A"/>
    <w:multiLevelType w:val="hybridMultilevel"/>
    <w:lvl w:ilvl="0">
      <w:lvlJc w:val="left"/>
      <w:lvlText w:val="(%1)"/>
      <w:numFmt w:val="upperLetter"/>
      <w:start w:val="3"/>
    </w:lvl>
    <w:lvl w:ilvl="1">
      <w:lvlJc w:val="left"/>
      <w:lvlText w:val="%2"/>
      <w:numFmt w:val="decimal"/>
      <w:start w:val="1"/>
    </w:lvl>
  </w:abstractNum>
  <w:abstractNum w:abstractNumId="199">
    <w:nsid w:val="5E74C4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00">
    <w:nsid w:val="3B3EBE15"/>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201">
    <w:nsid w:val="3822CB01"/>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202">
    <w:nsid w:val="6CE00443"/>
    <w:multiLevelType w:val="hybridMultilevel"/>
    <w:lvl w:ilvl="0">
      <w:lvlJc w:val="left"/>
      <w:lvlText w:val="%1"/>
      <w:numFmt w:val="decimal"/>
      <w:start w:val="1"/>
    </w:lvl>
    <w:lvl w:ilvl="1">
      <w:lvlJc w:val="left"/>
      <w:lvlText w:val="(%2)"/>
      <w:numFmt w:val="lowerLetter"/>
      <w:start w:val="10"/>
    </w:lvl>
  </w:abstractNum>
  <w:abstractNum w:abstractNumId="203">
    <w:nsid w:val="79F0D62F"/>
    <w:multiLevelType w:val="hybridMultilevel"/>
    <w:lvl w:ilvl="0">
      <w:lvlJc w:val="left"/>
      <w:lvlText w:val="%1."/>
      <w:numFmt w:val="decimal"/>
      <w:start w:val="5"/>
    </w:lvl>
    <w:lvl w:ilvl="1">
      <w:lvlJc w:val="left"/>
      <w:lvlText w:val="%2"/>
      <w:numFmt w:val="lowerLetter"/>
      <w:start w:val="1"/>
    </w:lvl>
  </w:abstractNum>
  <w:abstractNum w:abstractNumId="204">
    <w:nsid w:val="7975E8EE"/>
    <w:multiLevelType w:val="hybridMultilevel"/>
    <w:lvl w:ilvl="0">
      <w:lvlJc w:val="left"/>
      <w:lvlText w:val="(%1)"/>
      <w:numFmt w:val="lowerLetter"/>
      <w:start w:val="1"/>
    </w:lvl>
  </w:abstractNum>
  <w:abstractNum w:abstractNumId="205">
    <w:nsid w:val="73154115"/>
    <w:multiLevelType w:val="hybridMultilevel"/>
    <w:lvl w:ilvl="0">
      <w:lvlJc w:val="left"/>
      <w:lvlText w:val="(%1)"/>
      <w:numFmt w:val="lowerLetter"/>
      <w:start w:val="1"/>
    </w:lvl>
  </w:abstractNum>
  <w:abstractNum w:abstractNumId="206">
    <w:nsid w:val="622D8102"/>
    <w:multiLevelType w:val="hybridMultilevel"/>
    <w:lvl w:ilvl="0">
      <w:lvlJc w:val="left"/>
      <w:lvlText w:val="(%1)"/>
      <w:numFmt w:val="lowerLetter"/>
      <w:start w:val="1"/>
    </w:lvl>
  </w:abstractNum>
  <w:abstractNum w:abstractNumId="207">
    <w:nsid w:val="2AB26587"/>
    <w:multiLevelType w:val="hybridMultilevel"/>
    <w:lvl w:ilvl="0">
      <w:lvlJc w:val="left"/>
      <w:lvlText w:val="(%1)"/>
      <w:numFmt w:val="lowerLetter"/>
      <w:start w:val="1"/>
    </w:lvl>
    <w:lvl w:ilvl="1">
      <w:lvlJc w:val="left"/>
      <w:lvlText w:val="(%2)"/>
      <w:numFmt w:val="lowerLetter"/>
      <w:start w:val="35"/>
    </w:lvl>
  </w:abstractNum>
  <w:abstractNum w:abstractNumId="208">
    <w:nsid w:val="44B3FA61"/>
    <w:multiLevelType w:val="hybridMultilevel"/>
    <w:lvl w:ilvl="0">
      <w:lvlJc w:val="left"/>
      <w:lvlText w:val="(%1)"/>
      <w:numFmt w:val="lowerLetter"/>
      <w:start w:val="2"/>
    </w:lvl>
  </w:abstractNum>
  <w:abstractNum w:abstractNumId="209">
    <w:nsid w:val="1C0CA67C"/>
    <w:multiLevelType w:val="hybridMultilevel"/>
    <w:lvl w:ilvl="0">
      <w:lvlJc w:val="left"/>
      <w:lvlText w:val="(%1)"/>
      <w:numFmt w:val="lowerLetter"/>
      <w:start w:val="1"/>
    </w:lvl>
  </w:abstractNum>
  <w:abstractNum w:abstractNumId="210">
    <w:nsid w:val="3D206613"/>
    <w:multiLevelType w:val="hybridMultilevel"/>
    <w:lvl w:ilvl="0">
      <w:lvlJc w:val="left"/>
      <w:lvlText w:val="(%1)"/>
      <w:numFmt w:val="lowerLetter"/>
      <w:start w:val="1"/>
    </w:lvl>
  </w:abstractNum>
  <w:abstractNum w:abstractNumId="211">
    <w:nsid w:val="7993B662"/>
    <w:multiLevelType w:val="hybridMultilevel"/>
    <w:lvl w:ilvl="0">
      <w:lvlJc w:val="left"/>
      <w:lvlText w:val="(%1)"/>
      <w:numFmt w:val="lowerLetter"/>
      <w:start w:val="1"/>
    </w:lvl>
  </w:abstractNum>
  <w:abstractNum w:abstractNumId="212">
    <w:nsid w:val="3BAB699E"/>
    <w:multiLevelType w:val="hybridMultilevel"/>
    <w:lvl w:ilvl="0">
      <w:lvlJc w:val="left"/>
      <w:lvlText w:val="(%1)"/>
      <w:numFmt w:val="lowerRoman"/>
      <w:start w:val="2"/>
    </w:lvl>
  </w:abstractNum>
  <w:abstractNum w:abstractNumId="213">
    <w:nsid w:val="71315369"/>
    <w:multiLevelType w:val="hybridMultilevel"/>
    <w:lvl w:ilvl="0">
      <w:lvlJc w:val="left"/>
      <w:lvlText w:val="(%1)"/>
      <w:numFmt w:val="lowerLetter"/>
      <w:start w:val="1"/>
    </w:lvl>
  </w:abstractNum>
  <w:abstractNum w:abstractNumId="214">
    <w:nsid w:val="7BCFBAFC"/>
    <w:multiLevelType w:val="hybridMultilevel"/>
    <w:lvl w:ilvl="0">
      <w:lvlJc w:val="left"/>
      <w:lvlText w:val="(%1)"/>
      <w:numFmt w:val="lowerLetter"/>
      <w:start w:val="1"/>
    </w:lvl>
  </w:abstractNum>
  <w:abstractNum w:abstractNumId="215">
    <w:nsid w:val="17859F72"/>
    <w:multiLevelType w:val="hybridMultilevel"/>
    <w:lvl w:ilvl="0">
      <w:lvlJc w:val="left"/>
      <w:lvlText w:val="(%1)"/>
      <w:numFmt w:val="lowerLetter"/>
      <w:start w:val="2"/>
    </w:lvl>
  </w:abstractNum>
  <w:abstractNum w:abstractNumId="216">
    <w:nsid w:val="3AA10581"/>
    <w:multiLevelType w:val="hybridMultilevel"/>
    <w:lvl w:ilvl="0">
      <w:lvlJc w:val="left"/>
      <w:lvlText w:val="(%1)"/>
      <w:numFmt w:val="lowerLetter"/>
      <w:start w:val="1"/>
    </w:lvl>
  </w:abstractNum>
  <w:abstractNum w:abstractNumId="217">
    <w:nsid w:val="63DE60CD"/>
    <w:multiLevelType w:val="hybridMultilevel"/>
    <w:lvl w:ilvl="0">
      <w:lvlJc w:val="left"/>
      <w:lvlText w:val="(%1)"/>
      <w:numFmt w:val="lowerLetter"/>
      <w:start w:val="1"/>
    </w:lvl>
  </w:abstractNum>
  <w:abstractNum w:abstractNumId="218">
    <w:nsid w:val="621AF471"/>
    <w:multiLevelType w:val="hybridMultilevel"/>
    <w:lvl w:ilvl="0">
      <w:lvlJc w:val="left"/>
      <w:lvlText w:val="(%1)"/>
      <w:numFmt w:val="lowerLetter"/>
      <w:start w:val="1"/>
    </w:lvl>
  </w:abstractNum>
  <w:abstractNum w:abstractNumId="219">
    <w:nsid w:val="73CFE165"/>
    <w:multiLevelType w:val="hybridMultilevel"/>
    <w:lvl w:ilvl="0">
      <w:lvlJc w:val="left"/>
      <w:lvlText w:val="(%1)"/>
      <w:numFmt w:val="lowerLetter"/>
      <w:start w:val="1"/>
    </w:lvl>
  </w:abstractNum>
  <w:abstractNum w:abstractNumId="220">
    <w:nsid w:val="20F88EA6"/>
    <w:multiLevelType w:val="hybridMultilevel"/>
    <w:lvl w:ilvl="0">
      <w:lvlJc w:val="left"/>
      <w:lvlText w:val="(%1)"/>
      <w:numFmt w:val="lowerLetter"/>
      <w:start w:val="1"/>
    </w:lvl>
  </w:abstractNum>
  <w:abstractNum w:abstractNumId="221">
    <w:nsid w:val="617C843E"/>
    <w:multiLevelType w:val="hybridMultilevel"/>
    <w:lvl w:ilvl="0">
      <w:lvlJc w:val="left"/>
      <w:lvlText w:val="%1."/>
      <w:numFmt w:val="decimal"/>
      <w:start w:val="6"/>
    </w:lvl>
  </w:abstractNum>
  <w:abstractNum w:abstractNumId="222">
    <w:nsid w:val="7B541FAB"/>
    <w:multiLevelType w:val="hybridMultilevel"/>
    <w:lvl w:ilvl="0">
      <w:lvlJc w:val="left"/>
      <w:lvlText w:val="6.%1."/>
      <w:numFmt w:val="decimal"/>
      <w:start w:val="1"/>
    </w:lvl>
  </w:abstractNum>
  <w:abstractNum w:abstractNumId="223">
    <w:nsid w:val="2A79EC49"/>
    <w:multiLevelType w:val="hybridMultilevel"/>
    <w:lvl w:ilvl="0">
      <w:lvlJc w:val="left"/>
      <w:lvlText w:val="(%1)"/>
      <w:numFmt w:val="lowerLetter"/>
      <w:start w:val="1"/>
    </w:lvl>
    <w:lvl w:ilvl="1">
      <w:lvlJc w:val="left"/>
      <w:lvlText w:val="(%2)"/>
      <w:numFmt w:val="lowerRoman"/>
      <w:start w:val="1"/>
    </w:lvl>
  </w:abstractNum>
  <w:abstractNum w:abstractNumId="224">
    <w:nsid w:val="338125CF"/>
    <w:multiLevelType w:val="hybridMultilevel"/>
    <w:lvl w:ilvl="0">
      <w:lvlJc w:val="left"/>
      <w:lvlText w:val="%1"/>
      <w:numFmt w:val="lowerLetter"/>
      <w:start w:val="1"/>
    </w:lvl>
    <w:lvl w:ilvl="1">
      <w:lvlJc w:val="left"/>
      <w:lvlText w:val="(%2)"/>
      <w:numFmt w:val="lowerRoman"/>
      <w:start w:val="6"/>
    </w:lvl>
  </w:abstractNum>
  <w:abstractNum w:abstractNumId="225">
    <w:nsid w:val="47C7C971"/>
    <w:multiLevelType w:val="hybridMultilevel"/>
    <w:lvl w:ilvl="0">
      <w:lvlJc w:val="left"/>
      <w:lvlText w:val="(%1)"/>
      <w:numFmt w:val="lowerLetter"/>
      <w:start w:val="2"/>
    </w:lvl>
    <w:lvl w:ilvl="1">
      <w:lvlJc w:val="left"/>
      <w:lvlText w:val="%2"/>
      <w:numFmt w:val="lowerRoman"/>
      <w:start w:val="1"/>
    </w:lvl>
  </w:abstractNum>
  <w:abstractNum w:abstractNumId="226">
    <w:nsid w:val="46F8284B"/>
    <w:multiLevelType w:val="hybridMultilevel"/>
    <w:lvl w:ilvl="0">
      <w:lvlJc w:val="left"/>
      <w:lvlText w:val="%1"/>
      <w:numFmt w:val="lowerLetter"/>
      <w:start w:val="1"/>
    </w:lvl>
    <w:lvl w:ilvl="1">
      <w:lvlJc w:val="left"/>
      <w:lvlText w:val="(%2)"/>
      <w:numFmt w:val="lowerRoman"/>
      <w:start w:val="1"/>
    </w:lvl>
  </w:abstractNum>
  <w:abstractNum w:abstractNumId="227">
    <w:nsid w:val="4FA327CE"/>
    <w:multiLevelType w:val="hybridMultilevel"/>
    <w:lvl w:ilvl="0">
      <w:lvlJc w:val="left"/>
      <w:lvlText w:val="(%1)"/>
      <w:numFmt w:val="lowerLetter"/>
      <w:start w:val="7"/>
    </w:lvl>
    <w:lvl w:ilvl="1">
      <w:lvlJc w:val="left"/>
      <w:lvlText w:val="(%2)"/>
      <w:numFmt w:val="lowerRoman"/>
      <w:start w:val="1"/>
    </w:lvl>
  </w:abstractNum>
  <w:abstractNum w:abstractNumId="228">
    <w:nsid w:val="1873983A"/>
    <w:multiLevelType w:val="hybridMultilevel"/>
    <w:lvl w:ilvl="0">
      <w:lvlJc w:val="left"/>
      <w:lvlText w:val="%1"/>
      <w:numFmt w:val="lowerLetter"/>
      <w:start w:val="1"/>
    </w:lvl>
    <w:lvl w:ilvl="1">
      <w:lvlJc w:val="left"/>
      <w:lvlText w:val="(%2)"/>
      <w:numFmt w:val="lowerLetter"/>
      <w:start w:val="22"/>
    </w:lvl>
  </w:abstractNum>
  <w:abstractNum w:abstractNumId="229">
    <w:nsid w:val="3D2DD275"/>
    <w:multiLevelType w:val="hybridMultilevel"/>
    <w:lvl w:ilvl="0">
      <w:lvlJc w:val="left"/>
      <w:lvlText w:val="(%1)"/>
      <w:numFmt w:val="lowerLetter"/>
      <w:start w:val="8"/>
    </w:lvl>
    <w:lvl w:ilvl="1">
      <w:lvlJc w:val="left"/>
      <w:lvlText w:val="%2"/>
      <w:numFmt w:val="lowerLetter"/>
      <w:start w:val="1"/>
    </w:lvl>
  </w:abstractNum>
  <w:abstractNum w:abstractNumId="230">
    <w:nsid w:val="2E17ECA7"/>
    <w:multiLevelType w:val="hybridMultilevel"/>
    <w:lvl w:ilvl="0">
      <w:lvlJc w:val="left"/>
      <w:lvlText w:val="(%1)"/>
      <w:numFmt w:val="lowerLetter"/>
      <w:start w:val="13"/>
    </w:lvl>
    <w:lvl w:ilvl="1">
      <w:lvlJc w:val="left"/>
      <w:lvlText w:val="(%2)"/>
      <w:numFmt w:val="lowerRoman"/>
      <w:start w:val="1"/>
    </w:lvl>
  </w:abstractNum>
  <w:abstractNum w:abstractNumId="231">
    <w:nsid w:val="53B2564F"/>
    <w:multiLevelType w:val="hybridMultilevel"/>
    <w:lvl w:ilvl="0">
      <w:lvlJc w:val="left"/>
      <w:lvlText w:val="(%1)"/>
      <w:numFmt w:val="lowerLetter"/>
      <w:start w:val="1"/>
    </w:lvl>
  </w:abstractNum>
  <w:abstractNum w:abstractNumId="232">
    <w:nsid w:val="75509D76"/>
    <w:multiLevelType w:val="hybridMultilevel"/>
    <w:lvl w:ilvl="0">
      <w:lvlJc w:val="left"/>
      <w:lvlText w:val="%1."/>
      <w:numFmt w:val="decimal"/>
      <w:start w:val="7"/>
    </w:lvl>
  </w:abstractNum>
  <w:abstractNum w:abstractNumId="233">
    <w:nsid w:val="1AF7F0EA"/>
    <w:multiLevelType w:val="hybridMultilevel"/>
    <w:lvl w:ilvl="0">
      <w:lvlJc w:val="left"/>
      <w:lvlText w:val="(%1)"/>
      <w:numFmt w:val="lowerLetter"/>
      <w:start w:val="1"/>
    </w:lvl>
    <w:lvl w:ilvl="1">
      <w:lvlJc w:val="left"/>
      <w:lvlText w:val="(%2)"/>
      <w:numFmt w:val="lowerRoman"/>
      <w:start w:val="1"/>
    </w:lvl>
  </w:abstractNum>
  <w:abstractNum w:abstractNumId="234">
    <w:nsid w:val="4DA32C7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35">
    <w:nsid w:val="6EC6866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36">
    <w:nsid w:val="E0D31FF"/>
    <w:multiLevelType w:val="hybridMultilevel"/>
    <w:lvl w:ilvl="0">
      <w:lvlJc w:val="left"/>
      <w:lvlText w:val="(%1)"/>
      <w:numFmt w:val="lowerLetter"/>
      <w:start w:val="1"/>
    </w:lvl>
    <w:lvl w:ilvl="1">
      <w:lvlJc w:val="left"/>
      <w:lvlText w:val="(%2)"/>
      <w:numFmt w:val="lowerLetter"/>
      <w:start w:val="9"/>
    </w:lvl>
  </w:abstractNum>
  <w:abstractNum w:abstractNumId="237">
    <w:nsid w:val="2FD0AD81"/>
    <w:multiLevelType w:val="hybridMultilevel"/>
    <w:lvl w:ilvl="0">
      <w:lvlJc w:val="left"/>
      <w:lvlText w:val="(%1)"/>
      <w:numFmt w:val="lowerLetter"/>
      <w:start w:val="4"/>
    </w:lvl>
    <w:lvl w:ilvl="1">
      <w:lvlJc w:val="left"/>
      <w:lvlText w:val="(%2)"/>
      <w:numFmt w:val="lowerRoman"/>
      <w:start w:val="1"/>
    </w:lvl>
  </w:abstractNum>
  <w:abstractNum w:abstractNumId="238">
    <w:nsid w:val="1978EBEB"/>
    <w:multiLevelType w:val="hybridMultilevel"/>
    <w:lvl w:ilvl="0">
      <w:lvlJc w:val="left"/>
      <w:lvlText w:val="(%1)"/>
      <w:numFmt w:val="lowerLetter"/>
      <w:start w:val="1"/>
    </w:lvl>
    <w:lvl w:ilvl="1">
      <w:lvlJc w:val="left"/>
      <w:lvlText w:val="(%2)"/>
      <w:numFmt w:val="lowerLetter"/>
      <w:start w:val="9"/>
    </w:lvl>
  </w:abstractNum>
  <w:abstractNum w:abstractNumId="239">
    <w:nsid w:val="52C12C61"/>
    <w:multiLevelType w:val="hybridMultilevel"/>
    <w:lvl w:ilvl="0">
      <w:lvlJc w:val="left"/>
      <w:lvlText w:val="%1"/>
      <w:numFmt w:val="lowerLetter"/>
      <w:start w:val="1"/>
    </w:lvl>
    <w:lvl w:ilvl="1">
      <w:lvlJc w:val="left"/>
      <w:lvlText w:val="(%2)"/>
      <w:numFmt w:val="lowerRoman"/>
      <w:start w:val="2"/>
    </w:lvl>
  </w:abstractNum>
  <w:abstractNum w:abstractNumId="240">
    <w:nsid w:val="4BDD53FD"/>
    <w:multiLevelType w:val="hybridMultilevel"/>
    <w:lvl w:ilvl="0">
      <w:lvlJc w:val="left"/>
      <w:lvlText w:val="(%1)"/>
      <w:numFmt w:val="lowerLetter"/>
      <w:start w:val="3"/>
    </w:lvl>
    <w:lvl w:ilvl="1">
      <w:lvlJc w:val="left"/>
      <w:lvlText w:val="%2"/>
      <w:numFmt w:val="lowerRoman"/>
      <w:start w:val="1"/>
    </w:lvl>
  </w:abstractNum>
  <w:abstractNum w:abstractNumId="241">
    <w:nsid w:val="569951FE"/>
    <w:multiLevelType w:val="hybridMultilevel"/>
    <w:lvl w:ilvl="0">
      <w:lvlJc w:val="left"/>
      <w:lvlText w:val="(%1)"/>
      <w:numFmt w:val="lowerLetter"/>
      <w:start w:val="1"/>
    </w:lvl>
  </w:abstractNum>
  <w:abstractNum w:abstractNumId="242">
    <w:nsid w:val="4C54E2C3"/>
    <w:multiLevelType w:val="hybridMultilevel"/>
    <w:lvl w:ilvl="0">
      <w:lvlJc w:val="left"/>
      <w:lvlText w:val="(%1)"/>
      <w:numFmt w:val="lowerLetter"/>
      <w:start w:val="1"/>
    </w:lvl>
  </w:abstractNum>
  <w:abstractNum w:abstractNumId="243">
    <w:nsid w:val="788BD9B"/>
    <w:multiLevelType w:val="hybridMultilevel"/>
    <w:lvl w:ilvl="0">
      <w:lvlJc w:val="left"/>
      <w:lvlText w:val="(%1)"/>
      <w:numFmt w:val="lowerLetter"/>
      <w:start w:val="1"/>
    </w:lvl>
  </w:abstractNum>
  <w:abstractNum w:abstractNumId="244">
    <w:nsid w:val="47CAA567"/>
    <w:multiLevelType w:val="hybridMultilevel"/>
    <w:lvl w:ilvl="0">
      <w:lvlJc w:val="left"/>
      <w:lvlText w:val="(%1)"/>
      <w:numFmt w:val="lowerLetter"/>
      <w:start w:val="1"/>
    </w:lvl>
  </w:abstractNum>
  <w:abstractNum w:abstractNumId="245">
    <w:nsid w:val="48249DBF"/>
    <w:multiLevelType w:val="hybridMultilevel"/>
    <w:lvl w:ilvl="0">
      <w:lvlJc w:val="left"/>
      <w:lvlText w:val="%1."/>
      <w:numFmt w:val="decimal"/>
      <w:start w:val="8"/>
    </w:lvl>
  </w:abstractNum>
  <w:abstractNum w:abstractNumId="246">
    <w:nsid w:val="1F0E5D0D"/>
    <w:multiLevelType w:val="hybridMultilevel"/>
    <w:lvl w:ilvl="0">
      <w:lvlJc w:val="left"/>
      <w:lvlText w:val="(%1)"/>
      <w:numFmt w:val="lowerLetter"/>
      <w:start w:val="1"/>
    </w:lvl>
  </w:abstractNum>
  <w:abstractNum w:abstractNumId="247">
    <w:nsid w:val="26BAAE9"/>
    <w:multiLevelType w:val="hybridMultilevel"/>
    <w:lvl w:ilvl="0">
      <w:lvlJc w:val="left"/>
      <w:lvlText w:val="(%1)"/>
      <w:numFmt w:val="lowerLetter"/>
      <w:start w:val="4"/>
    </w:lvl>
    <w:lvl w:ilvl="1">
      <w:lvlJc w:val="left"/>
      <w:lvlText w:val="(%2)"/>
      <w:numFmt w:val="lowerLetter"/>
      <w:start w:val="9"/>
    </w:lvl>
  </w:abstractNum>
  <w:abstractNum w:abstractNumId="248">
    <w:nsid w:val="2C02FE8C"/>
    <w:multiLevelType w:val="hybridMultilevel"/>
    <w:lvl w:ilvl="0">
      <w:lvlJc w:val="left"/>
      <w:lvlText w:val="(%1)"/>
      <w:numFmt w:val="upperLetter"/>
      <w:start w:val="1"/>
    </w:lvl>
  </w:abstractNum>
  <w:abstractNum w:abstractNumId="249">
    <w:nsid w:val="129517E"/>
    <w:multiLevelType w:val="hybridMultilevel"/>
    <w:lvl w:ilvl="0">
      <w:lvlJc w:val="left"/>
      <w:lvlText w:val="%1"/>
      <w:numFmt w:val="lowerRoman"/>
      <w:start w:val="1"/>
    </w:lvl>
    <w:lvl w:ilvl="1">
      <w:lvlJc w:val="left"/>
      <w:lvlText w:val="(%2)"/>
      <w:numFmt w:val="upperLetter"/>
      <w:start w:val="9"/>
    </w:lvl>
  </w:abstractNum>
  <w:abstractNum w:abstractNumId="250">
    <w:nsid w:val="763B8C4E"/>
    <w:multiLevelType w:val="hybridMultilevel"/>
    <w:lvl w:ilvl="0">
      <w:lvlJc w:val="left"/>
      <w:lvlText w:val="(%1)"/>
      <w:numFmt w:val="lowerRoman"/>
      <w:start w:val="2"/>
    </w:lvl>
    <w:lvl w:ilvl="1">
      <w:lvlJc w:val="left"/>
      <w:lvlText w:val="%2"/>
      <w:numFmt w:val="upperLetter"/>
      <w:start w:val="1"/>
    </w:lvl>
  </w:abstractNum>
  <w:abstractNum w:abstractNumId="251">
    <w:nsid w:val="4CFB8D32"/>
    <w:multiLevelType w:val="hybridMultilevel"/>
    <w:lvl w:ilvl="0">
      <w:lvlJc w:val="left"/>
      <w:lvlText w:val="%1"/>
      <w:numFmt w:val="lowerRoman"/>
      <w:start w:val="1"/>
    </w:lvl>
    <w:lvl w:ilvl="1">
      <w:lvlJc w:val="left"/>
      <w:lvlText w:val="(%2)"/>
      <w:numFmt w:val="upperLetter"/>
      <w:start w:val="6"/>
    </w:lvl>
  </w:abstractNum>
  <w:abstractNum w:abstractNumId="252">
    <w:nsid w:val="62A5D5BD"/>
    <w:multiLevelType w:val="hybridMultilevel"/>
    <w:lvl w:ilvl="0">
      <w:lvlJc w:val="left"/>
      <w:lvlText w:val="(%1)"/>
      <w:numFmt w:val="lowerRoman"/>
      <w:start w:val="4"/>
    </w:lvl>
    <w:lvl w:ilvl="1">
      <w:lvlJc w:val="left"/>
      <w:lvlText w:val="(%2)"/>
      <w:numFmt w:val="upperLetter"/>
      <w:start w:val="1"/>
    </w:lvl>
  </w:abstractNum>
  <w:abstractNum w:abstractNumId="253">
    <w:nsid w:val="718FABF9"/>
    <w:multiLevelType w:val="hybridMultilevel"/>
    <w:lvl w:ilvl="0">
      <w:lvlJc w:val="left"/>
      <w:lvlText w:val="%1"/>
      <w:numFmt w:val="lowerRoman"/>
      <w:start w:val="1"/>
    </w:lvl>
    <w:lvl w:ilvl="1">
      <w:lvlJc w:val="left"/>
      <w:lvlText w:val="(%2)"/>
      <w:numFmt w:val="upperLetter"/>
      <w:start w:val="2"/>
    </w:lvl>
  </w:abstractNum>
  <w:abstractNum w:abstractNumId="254">
    <w:nsid w:val="7775797C"/>
    <w:multiLevelType w:val="hybridMultilevel"/>
    <w:lvl w:ilvl="0">
      <w:lvlJc w:val="left"/>
      <w:lvlText w:val="(%1)"/>
      <w:numFmt w:val="lowerRoman"/>
      <w:start w:val="9"/>
    </w:lvl>
    <w:lvl w:ilvl="1">
      <w:lvlJc w:val="left"/>
      <w:lvlText w:val="%2"/>
      <w:numFmt w:val="upperLetter"/>
      <w:start w:val="1"/>
    </w:lvl>
  </w:abstractNum>
  <w:abstractNum w:abstractNumId="255">
    <w:nsid w:val="1626FB8C"/>
    <w:multiLevelType w:val="hybridMultilevel"/>
    <w:lvl w:ilvl="0">
      <w:lvlJc w:val="left"/>
      <w:lvlText w:val="(%1)"/>
      <w:numFmt w:val="lowerRoman"/>
      <w:start w:val="10"/>
    </w:lvl>
  </w:abstractNum>
  <w:abstractNum w:abstractNumId="256">
    <w:nsid w:val="3957756A"/>
    <w:multiLevelType w:val="hybridMultilevel"/>
    <w:lvl w:ilvl="0">
      <w:lvlJc w:val="left"/>
      <w:lvlText w:val="(%1)"/>
      <w:numFmt w:val="lowerRoman"/>
      <w:start w:val="17"/>
    </w:lvl>
    <w:lvl w:ilvl="1">
      <w:lvlJc w:val="left"/>
      <w:lvlText w:val="(%2)"/>
      <w:numFmt w:val="upperLetter"/>
      <w:start w:val="1"/>
    </w:lvl>
  </w:abstractNum>
  <w:abstractNum w:abstractNumId="257">
    <w:nsid w:val="3E6DA1C7"/>
    <w:multiLevelType w:val="hybridMultilevel"/>
    <w:lvl w:ilvl="0">
      <w:lvlJc w:val="left"/>
      <w:lvlText w:val="%1"/>
      <w:numFmt w:val="lowerRoman"/>
      <w:start w:val="1"/>
    </w:lvl>
    <w:lvl w:ilvl="1">
      <w:lvlJc w:val="left"/>
      <w:lvlText w:val="(%2)"/>
      <w:numFmt w:val="upperLetter"/>
      <w:start w:val="3"/>
    </w:lvl>
  </w:abstractNum>
  <w:abstractNum w:abstractNumId="258">
    <w:nsid w:val="65CA235B"/>
    <w:multiLevelType w:val="hybridMultilevel"/>
    <w:lvl w:ilvl="0">
      <w:lvlJc w:val="left"/>
      <w:lvlText w:val="(%1)"/>
      <w:numFmt w:val="lowerRoman"/>
      <w:start w:val="20"/>
    </w:lvl>
    <w:lvl w:ilvl="1">
      <w:lvlJc w:val="left"/>
      <w:lvlText w:val="%2"/>
      <w:numFmt w:val="upperLetter"/>
      <w:start w:val="1"/>
    </w:lvl>
  </w:abstractNum>
  <w:abstractNum w:abstractNumId="259">
    <w:nsid w:val="51CB0DA4"/>
    <w:multiLevelType w:val="hybridMultilevel"/>
    <w:lvl w:ilvl="0">
      <w:lvlJc w:val="left"/>
      <w:lvlText w:val="(%1)"/>
      <w:numFmt w:val="lowerLetter"/>
      <w:start w:val="10"/>
    </w:lvl>
    <w:lvl w:ilvl="1">
      <w:lvlJc w:val="left"/>
      <w:lvlText w:val="(%2)"/>
      <w:numFmt w:val="lowerRoman"/>
      <w:start w:val="1"/>
    </w:lvl>
  </w:abstractNum>
  <w:abstractNum w:abstractNumId="260">
    <w:nsid w:val="7B9B743C"/>
    <w:multiLevelType w:val="hybridMultilevel"/>
    <w:lvl w:ilvl="0">
      <w:lvlJc w:val="left"/>
      <w:lvlText w:val="(%1)"/>
      <w:numFmt w:val="lowerLetter"/>
      <w:start w:val="1"/>
    </w:lvl>
  </w:abstractNum>
  <w:abstractNum w:abstractNumId="261">
    <w:nsid w:val="13E21002"/>
    <w:multiLevelType w:val="hybridMultilevel"/>
    <w:lvl w:ilvl="0">
      <w:lvlJc w:val="left"/>
      <w:lvlText w:val="%1"/>
      <w:numFmt w:val="decimal"/>
      <w:start w:val="1"/>
    </w:lvl>
    <w:lvl w:ilvl="1">
      <w:lvlJc w:val="left"/>
      <w:lvlText w:val="(%2)"/>
      <w:numFmt w:val="lowerLetter"/>
      <w:start w:val="2"/>
    </w:lvl>
  </w:abstractNum>
  <w:abstractNum w:abstractNumId="262">
    <w:nsid w:val="257D63F4"/>
    <w:multiLevelType w:val="hybridMultilevel"/>
    <w:lvl w:ilvl="0">
      <w:lvlJc w:val="left"/>
      <w:lvlText w:val="%1."/>
      <w:numFmt w:val="decimal"/>
      <w:start w:val="9"/>
    </w:lvl>
    <w:lvl w:ilvl="1">
      <w:lvlJc w:val="left"/>
      <w:lvlText w:val="%2"/>
      <w:numFmt w:val="lowerLetter"/>
      <w:start w:val="1"/>
    </w:lvl>
  </w:abstractNum>
  <w:abstractNum w:abstractNumId="263">
    <w:nsid w:val="70EC11B2"/>
    <w:multiLevelType w:val="hybridMultilevel"/>
    <w:lvl w:ilvl="0">
      <w:lvlJc w:val="left"/>
      <w:lvlText w:val="(%1)"/>
      <w:numFmt w:val="lowerLetter"/>
      <w:start w:val="1"/>
    </w:lvl>
  </w:abstractNum>
  <w:abstractNum w:abstractNumId="264">
    <w:nsid w:val="2EDA00ED"/>
    <w:multiLevelType w:val="hybridMultilevel"/>
    <w:lvl w:ilvl="0">
      <w:lvlJc w:val="left"/>
      <w:lvlText w:val="(%1)"/>
      <w:numFmt w:val="lowerLetter"/>
      <w:start w:val="4"/>
    </w:lvl>
  </w:abstractNum>
  <w:abstractNum w:abstractNumId="265">
    <w:nsid w:val="73209072"/>
    <w:multiLevelType w:val="hybridMultilevel"/>
    <w:lvl w:ilvl="0">
      <w:lvlJc w:val="left"/>
      <w:lvlText w:val="(%1)"/>
      <w:numFmt w:val="lowerLetter"/>
      <w:start w:val="1"/>
    </w:lvl>
  </w:abstractNum>
  <w:abstractNum w:abstractNumId="266">
    <w:nsid w:val="5FB29816"/>
    <w:multiLevelType w:val="hybridMultilevel"/>
    <w:lvl w:ilvl="0">
      <w:lvlJc w:val="left"/>
      <w:lvlText w:val="%1"/>
      <w:numFmt w:val="decimal"/>
      <w:start w:val="1"/>
    </w:lvl>
    <w:lvl w:ilvl="1">
      <w:lvlJc w:val="left"/>
      <w:lvlText w:val="(%2)"/>
      <w:numFmt w:val="lowerLetter"/>
      <w:start w:val="2"/>
    </w:lvl>
  </w:abstractNum>
  <w:abstractNum w:abstractNumId="267">
    <w:nsid w:val="3CE732EC"/>
    <w:multiLevelType w:val="hybridMultilevel"/>
    <w:lvl w:ilvl="0">
      <w:lvlJc w:val="left"/>
      <w:lvlText w:val="%1."/>
      <w:numFmt w:val="decimal"/>
      <w:start w:val="10"/>
    </w:lvl>
    <w:lvl w:ilvl="1">
      <w:lvlJc w:val="left"/>
      <w:lvlText w:val="%2"/>
      <w:numFmt w:val="lowerLetter"/>
      <w:start w:val="1"/>
    </w:lvl>
  </w:abstractNum>
  <w:abstractNum w:abstractNumId="268">
    <w:nsid w:val="22F13DF3"/>
    <w:multiLevelType w:val="hybridMultilevel"/>
    <w:lvl w:ilvl="0">
      <w:lvlJc w:val="left"/>
      <w:lvlText w:val="(%1)"/>
      <w:numFmt w:val="lowerLetter"/>
      <w:start w:val="1"/>
    </w:lvl>
  </w:abstractNum>
  <w:abstractNum w:abstractNumId="269">
    <w:nsid w:val="792B8401"/>
    <w:multiLevelType w:val="hybridMultilevel"/>
    <w:lvl w:ilvl="0">
      <w:lvlJc w:val="left"/>
      <w:lvlText w:val="(%1)"/>
      <w:numFmt w:val="lowerLetter"/>
      <w:start w:val="1"/>
    </w:lvl>
  </w:abstractNum>
  <w:abstractNum w:abstractNumId="270">
    <w:nsid w:val="FA85F4D"/>
    <w:multiLevelType w:val="hybridMultilevel"/>
    <w:lvl w:ilvl="0">
      <w:lvlJc w:val="left"/>
      <w:lvlText w:val="(%1)"/>
      <w:numFmt w:val="lowerLetter"/>
      <w:start w:val="1"/>
    </w:lvl>
  </w:abstractNum>
  <w:abstractNum w:abstractNumId="271">
    <w:nsid w:val="6ECE91F0"/>
    <w:multiLevelType w:val="hybridMultilevel"/>
    <w:lvl w:ilvl="0">
      <w:lvlJc w:val="left"/>
      <w:lvlText w:val="%1."/>
      <w:numFmt w:val="decimal"/>
      <w:start w:val="11"/>
    </w:lvl>
    <w:lvl w:ilvl="1">
      <w:lvlJc w:val="left"/>
      <w:lvlText w:val="%2"/>
      <w:numFmt w:val="lowerLetter"/>
      <w:start w:val="1"/>
    </w:lvl>
  </w:abstractNum>
  <w:abstractNum w:abstractNumId="272">
    <w:nsid w:val="4FC4D600"/>
    <w:multiLevelType w:val="hybridMultilevel"/>
    <w:lvl w:ilvl="0">
      <w:lvlJc w:val="left"/>
      <w:lvlText w:val="11.%1."/>
      <w:numFmt w:val="decimal"/>
      <w:start w:val="1"/>
    </w:lvl>
    <w:lvl w:ilvl="1">
      <w:lvlJc w:val="left"/>
      <w:lvlText w:val="(%2)"/>
      <w:numFmt w:val="lowerLetter"/>
      <w:start w:val="1"/>
    </w:lvl>
  </w:abstractNum>
  <w:abstractNum w:abstractNumId="273">
    <w:nsid w:val="5BFD4210"/>
    <w:multiLevelType w:val="hybridMultilevel"/>
    <w:lvl w:ilvl="0">
      <w:lvlJc w:val="left"/>
      <w:lvlText w:val="(%1)"/>
      <w:numFmt w:val="lowerLetter"/>
      <w:start w:val="2"/>
    </w:lvl>
  </w:abstractNum>
  <w:abstractNum w:abstractNumId="274">
    <w:nsid w:val="76574F8B"/>
    <w:multiLevelType w:val="hybridMultilevel"/>
    <w:lvl w:ilvl="0">
      <w:lvlJc w:val="left"/>
      <w:lvlText w:val="(%1)"/>
      <w:numFmt w:val="lowerLetter"/>
      <w:start w:val="1"/>
    </w:lvl>
    <w:lvl w:ilvl="1">
      <w:lvlJc w:val="left"/>
      <w:lvlText w:val="(%2)"/>
      <w:numFmt w:val="lowerRoman"/>
      <w:start w:val="1"/>
    </w:lvl>
  </w:abstractNum>
  <w:abstractNum w:abstractNumId="275">
    <w:nsid w:val="178F7B67"/>
    <w:multiLevelType w:val="hybridMultilevel"/>
    <w:lvl w:ilvl="0">
      <w:lvlJc w:val="left"/>
      <w:lvlText w:val="(%1)"/>
      <w:numFmt w:val="lowerLetter"/>
      <w:start w:val="3"/>
    </w:lvl>
  </w:abstractNum>
  <w:abstractNum w:abstractNumId="276">
    <w:nsid w:val="2421DFCF"/>
    <w:multiLevelType w:val="hybridMultilevel"/>
    <w:lvl w:ilvl="0">
      <w:lvlJc w:val="left"/>
      <w:lvlText w:val="(%1)"/>
      <w:numFmt w:val="lowerLetter"/>
      <w:start w:val="1"/>
    </w:lvl>
  </w:abstractNum>
  <w:abstractNum w:abstractNumId="277">
    <w:nsid w:val="1565AC99"/>
    <w:multiLevelType w:val="hybridMultilevel"/>
    <w:lvl w:ilvl="0">
      <w:lvlJc w:val="left"/>
      <w:lvlText w:val="(%1)"/>
      <w:numFmt w:val="lowerLetter"/>
      <w:start w:val="4"/>
    </w:lvl>
  </w:abstractNum>
  <w:abstractNum w:abstractNumId="278">
    <w:nsid w:val="19FB2650"/>
    <w:multiLevelType w:val="hybridMultilevel"/>
    <w:lvl w:ilvl="0">
      <w:lvlJc w:val="left"/>
      <w:lvlText w:val="(%1)"/>
      <w:numFmt w:val="lowerLetter"/>
      <w:start w:val="1"/>
    </w:lvl>
  </w:abstractNum>
  <w:abstractNum w:abstractNumId="279">
    <w:nsid w:val="5024DE5B"/>
    <w:multiLevelType w:val="hybridMultilevel"/>
    <w:lvl w:ilvl="0">
      <w:lvlJc w:val="left"/>
      <w:lvlText w:val="%1"/>
      <w:numFmt w:val="lowerLetter"/>
      <w:start w:val="1"/>
    </w:lvl>
    <w:lvl w:ilvl="1">
      <w:lvlJc w:val="left"/>
      <w:lvlText w:val="(%2)"/>
      <w:numFmt w:val="lowerLetter"/>
      <w:start w:val="35"/>
    </w:lvl>
  </w:abstractNum>
  <w:abstractNum w:abstractNumId="280">
    <w:nsid w:val="168EFE17"/>
    <w:multiLevelType w:val="hybridMultilevel"/>
    <w:lvl w:ilvl="0">
      <w:lvlJc w:val="left"/>
      <w:lvlText w:val="(%1)"/>
      <w:numFmt w:val="lowerLetter"/>
      <w:start w:val="2"/>
    </w:lvl>
    <w:lvl w:ilvl="1">
      <w:lvlJc w:val="left"/>
      <w:lvlText w:val="(%2)"/>
      <w:numFmt w:val="lowerLetter"/>
      <w:start w:val="9"/>
    </w:lvl>
  </w:abstractNum>
  <w:abstractNum w:abstractNumId="281">
    <w:nsid w:val="1036B29F"/>
    <w:multiLevelType w:val="hybridMultilevel"/>
    <w:lvl w:ilvl="0">
      <w:lvlJc w:val="left"/>
      <w:lvlText w:val="(%1)"/>
      <w:numFmt w:val="lowerRoman"/>
      <w:start w:val="2"/>
    </w:lvl>
  </w:abstractNum>
  <w:abstractNum w:abstractNumId="282">
    <w:nsid w:val="1D206B8E"/>
    <w:multiLevelType w:val="hybridMultilevel"/>
    <w:lvl w:ilvl="0">
      <w:lvlJc w:val="left"/>
      <w:lvlText w:val="(%1)"/>
      <w:numFmt w:val="lowerLetter"/>
      <w:start w:val="3"/>
    </w:lvl>
  </w:abstractNum>
  <w:abstractNum w:abstractNumId="283">
    <w:nsid w:val="7934D3D4"/>
    <w:multiLevelType w:val="hybridMultilevel"/>
    <w:lvl w:ilvl="0">
      <w:lvlJc w:val="left"/>
      <w:lvlText w:val="(%1)"/>
      <w:numFmt w:val="lowerLetter"/>
      <w:start w:val="5"/>
    </w:lvl>
  </w:abstractNum>
  <w:abstractNum w:abstractNumId="284">
    <w:nsid w:val="1C65E98"/>
    <w:multiLevelType w:val="hybridMultilevel"/>
    <w:lvl w:ilvl="0">
      <w:lvlJc w:val="left"/>
      <w:lvlText w:val="(%1)"/>
      <w:numFmt w:val="lowerLetter"/>
      <w:start w:val="6"/>
    </w:lvl>
  </w:abstractNum>
  <w:abstractNum w:abstractNumId="285">
    <w:nsid w:val="1495E50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6">
    <w:nsid w:val="F5BCF61"/>
    <w:multiLevelType w:val="hybridMultilevel"/>
    <w:lvl w:ilvl="0">
      <w:lvlJc w:val="left"/>
      <w:lvlText w:val="12.%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7">
    <w:nsid w:val="3B1DD403"/>
    <w:multiLevelType w:val="hybridMultilevel"/>
    <w:lvl w:ilvl="0">
      <w:lvlJc w:val="left"/>
      <w:lvlText w:val="(%1)"/>
      <w:numFmt w:val="upperLetter"/>
      <w:start w:val="1"/>
    </w:lvl>
    <w:lvl w:ilvl="1">
      <w:lvlJc w:val="left"/>
      <w:lvlText w:val="(%2)"/>
      <w:numFmt w:val="decimal"/>
      <w:start w:val="1"/>
    </w:lvl>
  </w:abstractNum>
  <w:abstractNum w:abstractNumId="288">
    <w:nsid w:val="530386D1"/>
    <w:multiLevelType w:val="hybridMultilevel"/>
    <w:lvl w:ilvl="0">
      <w:lvlJc w:val="left"/>
      <w:lvlText w:val="(%1)"/>
      <w:numFmt w:val="lowerRoman"/>
      <w:start w:val="1"/>
    </w:lvl>
  </w:abstractNum>
  <w:abstractNum w:abstractNumId="289">
    <w:nsid w:val="7525F2B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lvl w:ilvl="3">
      <w:lvlJc w:val="left"/>
      <w:lvlText w:val="(%4)"/>
      <w:numFmt w:val="lowerRoman"/>
      <w:start w:val="2"/>
    </w:lvl>
  </w:abstractNum>
  <w:abstractNum w:abstractNumId="290">
    <w:nsid w:val="CE8E1A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291">
    <w:nsid w:val="4E9EFB0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92">
    <w:nsid w:val="90802B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93">
    <w:nsid w:val="3266459B"/>
    <w:multiLevelType w:val="hybridMultilevel"/>
    <w:lvl w:ilvl="0">
      <w:lvlJc w:val="left"/>
      <w:lvlText w:val="(%1)"/>
      <w:numFmt w:val="upperLetter"/>
      <w:start w:val="3"/>
    </w:lvl>
  </w:abstractNum>
  <w:abstractNum w:abstractNumId="294">
    <w:nsid w:val="3F8B0CBF"/>
    <w:multiLevelType w:val="hybridMultilevel"/>
    <w:lvl w:ilvl="0">
      <w:lvlJc w:val="left"/>
      <w:lvlText w:val="%1"/>
      <w:numFmt w:val="lowerLetter"/>
      <w:start w:val="1"/>
    </w:lvl>
    <w:lvl w:ilvl="1">
      <w:lvlJc w:val="left"/>
      <w:lvlText w:val="(%2)"/>
      <w:numFmt w:val="lowerRoman"/>
      <w:start w:val="2"/>
    </w:lvl>
  </w:abstractNum>
  <w:abstractNum w:abstractNumId="295">
    <w:nsid w:val="37E203AB"/>
    <w:multiLevelType w:val="hybridMultilevel"/>
    <w:lvl w:ilvl="0">
      <w:lvlJc w:val="left"/>
      <w:lvlText w:val="(%1)"/>
      <w:numFmt w:val="lowerLetter"/>
      <w:start w:val="4"/>
    </w:lvl>
    <w:lvl w:ilvl="1">
      <w:lvlJc w:val="left"/>
      <w:lvlText w:val="%2"/>
      <w:numFmt w:val="lowerRoman"/>
      <w:start w:val="1"/>
    </w:lvl>
  </w:abstractNum>
  <w:abstractNum w:abstractNumId="296">
    <w:nsid w:val="2586D60E"/>
    <w:multiLevelType w:val="hybridMultilevel"/>
    <w:lvl w:ilvl="0">
      <w:lvlJc w:val="left"/>
      <w:lvlText w:val="(%1)"/>
      <w:numFmt w:val="lowerLetter"/>
      <w:start w:val="1"/>
    </w:lvl>
  </w:abstractNum>
  <w:abstractNum w:abstractNumId="297">
    <w:nsid w:val="1F3DA4D5"/>
    <w:multiLevelType w:val="hybridMultilevel"/>
    <w:lvl w:ilvl="0">
      <w:lvlJc w:val="left"/>
      <w:lvlText w:val="(%1)"/>
      <w:numFmt w:val="lowerLetter"/>
      <w:start w:val="1"/>
    </w:lvl>
  </w:abstractNum>
  <w:abstractNum w:abstractNumId="298">
    <w:nsid w:val="74C93698"/>
    <w:multiLevelType w:val="hybridMultilevel"/>
    <w:lvl w:ilvl="0">
      <w:lvlJc w:val="left"/>
      <w:lvlText w:val="(%1)"/>
      <w:numFmt w:val="lowerLetter"/>
      <w:start w:val="3"/>
    </w:lvl>
  </w:abstractNum>
  <w:abstractNum w:abstractNumId="299">
    <w:nsid w:val="48781401"/>
    <w:multiLevelType w:val="hybridMultilevel"/>
    <w:lvl w:ilvl="0">
      <w:lvlJc w:val="left"/>
      <w:lvlText w:val="(%1)"/>
      <w:numFmt w:val="lowerLetter"/>
      <w:start w:val="1"/>
    </w:lvl>
  </w:abstractNum>
  <w:abstractNum w:abstractNumId="300">
    <w:nsid w:val="186928D6"/>
    <w:multiLevelType w:val="hybridMultilevel"/>
    <w:lvl w:ilvl="0">
      <w:lvlJc w:val="left"/>
      <w:lvlText w:val="(%1)"/>
      <w:numFmt w:val="lowerRoman"/>
      <w:start w:val="1"/>
    </w:lvl>
  </w:abstractNum>
  <w:abstractNum w:abstractNumId="301">
    <w:nsid w:val="47195E5"/>
    <w:multiLevelType w:val="hybridMultilevel"/>
    <w:lvl w:ilvl="0">
      <w:lvlJc w:val="left"/>
      <w:lvlText w:val="%1"/>
      <w:numFmt w:val="lowerLetter"/>
      <w:start w:val="1"/>
    </w:lvl>
    <w:lvl w:ilvl="1">
      <w:lvlJc w:val="left"/>
      <w:lvlText w:val="(%2)"/>
      <w:numFmt w:val="lowerRoman"/>
      <w:start w:val="4"/>
    </w:lvl>
  </w:abstractNum>
  <w:abstractNum w:abstractNumId="302">
    <w:nsid w:val="3746A5F2"/>
    <w:multiLevelType w:val="hybridMultilevel"/>
    <w:lvl w:ilvl="0">
      <w:lvlJc w:val="left"/>
      <w:lvlText w:val="(%1)"/>
      <w:numFmt w:val="lowerLetter"/>
      <w:start w:val="3"/>
    </w:lvl>
    <w:lvl w:ilvl="1">
      <w:lvlJc w:val="left"/>
      <w:lvlText w:val="%2"/>
      <w:numFmt w:val="lowerRoman"/>
      <w:start w:val="1"/>
    </w:lvl>
  </w:abstractNum>
  <w:abstractNum w:abstractNumId="303">
    <w:nsid w:val="682DFED6"/>
    <w:multiLevelType w:val="hybridMultilevel"/>
    <w:lvl w:ilvl="0">
      <w:lvlJc w:val="left"/>
      <w:lvlText w:val="(%1)"/>
      <w:numFmt w:val="lowerLetter"/>
      <w:start w:val="5"/>
    </w:lvl>
    <w:lvl w:ilvl="1">
      <w:lvlJc w:val="left"/>
      <w:lvlText w:val="(%2)"/>
      <w:numFmt w:val="upperLetter"/>
      <w:start w:val="1"/>
    </w:lvl>
  </w:abstractNum>
  <w:abstractNum w:abstractNumId="304">
    <w:nsid w:val="606ED7F6"/>
    <w:multiLevelType w:val="hybridMultilevel"/>
    <w:lvl w:ilvl="0">
      <w:lvlJc w:val="left"/>
      <w:lvlText w:val="%1"/>
      <w:numFmt w:val="lowerLetter"/>
      <w:start w:val="1"/>
    </w:lvl>
    <w:lvl w:ilvl="1">
      <w:lvlJc w:val="left"/>
      <w:lvlText w:val="(%2)"/>
      <w:numFmt w:val="upperLetter"/>
      <w:start w:val="3"/>
    </w:lvl>
  </w:abstractNum>
  <w:abstractNum w:abstractNumId="305">
    <w:nsid w:val="2D9DF57D"/>
    <w:multiLevelType w:val="hybridMultilevel"/>
    <w:lvl w:ilvl="0">
      <w:lvlJc w:val="left"/>
      <w:lvlText w:val="(%1)"/>
      <w:numFmt w:val="lowerLetter"/>
      <w:start w:val="7"/>
    </w:lvl>
    <w:lvl w:ilvl="1">
      <w:lvlJc w:val="left"/>
      <w:lvlText w:val="%2"/>
      <w:numFmt w:val="upperLetter"/>
      <w:start w:val="1"/>
    </w:lvl>
  </w:abstractNum>
  <w:abstractNum w:abstractNumId="306">
    <w:nsid w:val="7FBD7A3E"/>
    <w:multiLevelType w:val="hybridMultilevel"/>
    <w:lvl w:ilvl="0">
      <w:lvlJc w:val="left"/>
      <w:lvlText w:val="(%1)"/>
      <w:numFmt w:val="lowerLetter"/>
      <w:start w:val="1"/>
    </w:lvl>
    <w:lvl w:ilvl="1">
      <w:lvlJc w:val="left"/>
      <w:lvlText w:val="(%2)"/>
      <w:numFmt w:val="lowerRoman"/>
      <w:start w:val="1"/>
    </w:lvl>
  </w:abstractNum>
  <w:abstractNum w:abstractNumId="307">
    <w:nsid w:val="490B7C5"/>
    <w:multiLevelType w:val="hybridMultilevel"/>
    <w:lvl w:ilvl="0">
      <w:lvlJc w:val="left"/>
      <w:lvlText w:val="(%1)"/>
      <w:numFmt w:val="lowerLetter"/>
      <w:start w:val="2"/>
    </w:lvl>
  </w:abstractNum>
  <w:abstractNum w:abstractNumId="308">
    <w:nsid w:val="4303A216"/>
    <w:multiLevelType w:val="hybridMultilevel"/>
    <w:lvl w:ilvl="0">
      <w:lvlJc w:val="left"/>
      <w:lvlText w:val="(%1)"/>
      <w:numFmt w:val="lowerLetter"/>
      <w:start w:val="4"/>
    </w:lvl>
  </w:abstractNum>
  <w:abstractNum w:abstractNumId="309">
    <w:nsid w:val="19B8A08E"/>
    <w:multiLevelType w:val="hybridMultilevel"/>
    <w:lvl w:ilvl="0">
      <w:lvlJc w:val="left"/>
      <w:lvlText w:val="(%1)"/>
      <w:numFmt w:val="lowerLetter"/>
      <w:start w:val="6"/>
    </w:lvl>
  </w:abstractNum>
  <w:abstractNum w:abstractNumId="310">
    <w:nsid w:val="54B59621"/>
    <w:multiLevelType w:val="hybridMultilevel"/>
    <w:lvl w:ilvl="0">
      <w:lvlJc w:val="left"/>
      <w:lvlText w:val="(%1)"/>
      <w:numFmt w:val="lowerLetter"/>
      <w:start w:val="1"/>
    </w:lvl>
  </w:abstractNum>
  <w:abstractNum w:abstractNumId="311">
    <w:nsid w:val="5992A02E"/>
    <w:multiLevelType w:val="hybridMultilevel"/>
    <w:lvl w:ilvl="0">
      <w:lvlJc w:val="left"/>
      <w:lvlText w:val="(%1)"/>
      <w:numFmt w:val="lowerLetter"/>
      <w:start w:val="2"/>
    </w:lvl>
  </w:abstractNum>
  <w:abstractNum w:abstractNumId="312">
    <w:nsid w:val="29EF532D"/>
    <w:multiLevelType w:val="hybridMultilevel"/>
    <w:lvl w:ilvl="0">
      <w:lvlJc w:val="left"/>
      <w:lvlText w:val="(%1)"/>
      <w:numFmt w:val="lowerLetter"/>
      <w:start w:val="6"/>
    </w:lvl>
  </w:abstractNum>
  <w:abstractNum w:abstractNumId="313">
    <w:nsid w:val="71D601AF"/>
    <w:multiLevelType w:val="hybridMultilevel"/>
    <w:lvl w:ilvl="0">
      <w:lvlJc w:val="left"/>
      <w:lvlText w:val="(%1)"/>
      <w:numFmt w:val="lowerLetter"/>
      <w:start w:val="1"/>
    </w:lvl>
    <w:lvl w:ilvl="1">
      <w:lvlJc w:val="left"/>
      <w:lvlText w:val="(%2)"/>
      <w:numFmt w:val="lowerRoman"/>
      <w:start w:val="1"/>
    </w:lvl>
  </w:abstractNum>
  <w:abstractNum w:abstractNumId="314">
    <w:nsid w:val="52C77402"/>
    <w:multiLevelType w:val="hybridMultilevel"/>
    <w:lvl w:ilvl="0">
      <w:lvlJc w:val="left"/>
      <w:lvlText w:val="(%1)"/>
      <w:numFmt w:val="lowerRoman"/>
      <w:start w:val="3"/>
    </w:lvl>
  </w:abstractNum>
  <w:abstractNum w:abstractNumId="315">
    <w:nsid w:val="2BB5B1C6"/>
    <w:multiLevelType w:val="hybridMultilevel"/>
    <w:lvl w:ilvl="0">
      <w:lvlJc w:val="left"/>
      <w:lvlText w:val="(%1)"/>
      <w:numFmt w:val="lowerLetter"/>
      <w:start w:val="2"/>
    </w:lvl>
  </w:abstractNum>
  <w:abstractNum w:abstractNumId="316">
    <w:nsid w:val="66BE6B9"/>
    <w:multiLevelType w:val="hybridMultilevel"/>
    <w:lvl w:ilvl="0">
      <w:lvlJc w:val="left"/>
      <w:lvlText w:val="(%1)"/>
      <w:numFmt w:val="lowerLetter"/>
      <w:start w:val="8"/>
    </w:lvl>
  </w:abstractNum>
  <w:abstractNum w:abstractNumId="317">
    <w:nsid w:val="62234363"/>
    <w:multiLevelType w:val="hybridMultilevel"/>
    <w:lvl w:ilvl="0">
      <w:lvlJc w:val="left"/>
      <w:lvlText w:val="(%1)"/>
      <w:numFmt w:val="lowerLetter"/>
      <w:start w:val="1"/>
    </w:lvl>
  </w:abstractNum>
  <w:abstractNum w:abstractNumId="318">
    <w:nsid w:val="66D385C9"/>
    <w:multiLevelType w:val="hybridMultilevel"/>
    <w:lvl w:ilvl="0">
      <w:lvlJc w:val="left"/>
      <w:lvlText w:val="(%1)"/>
      <w:numFmt w:val="lowerLetter"/>
      <w:start w:val="3"/>
    </w:lvl>
  </w:abstractNum>
  <w:abstractNum w:abstractNumId="319">
    <w:nsid w:val="596F6D8A"/>
    <w:multiLevelType w:val="hybridMultilevel"/>
    <w:lvl w:ilvl="0">
      <w:lvlJc w:val="left"/>
      <w:lvlText w:val="(%1)"/>
      <w:numFmt w:val="lowerRoman"/>
      <w:start w:val="1"/>
    </w:lvl>
  </w:abstractNum>
  <w:abstractNum w:abstractNumId="320">
    <w:nsid w:val="5749361F"/>
    <w:multiLevelType w:val="hybridMultilevel"/>
    <w:lvl w:ilvl="0">
      <w:lvlJc w:val="left"/>
      <w:lvlText w:val="(%1)"/>
      <w:numFmt w:val="lowerLetter"/>
      <w:start w:val="7"/>
    </w:lvl>
  </w:abstractNum>
  <w:abstractNum w:abstractNumId="321">
    <w:nsid w:val="73BC6770"/>
    <w:multiLevelType w:val="hybridMultilevel"/>
    <w:lvl w:ilvl="0">
      <w:lvlJc w:val="left"/>
      <w:lvlText w:val="(%1)"/>
      <w:numFmt w:val="lowerLetter"/>
      <w:start w:val="1"/>
    </w:lvl>
  </w:abstractNum>
  <w:abstractNum w:abstractNumId="322">
    <w:nsid w:val="280E6897"/>
    <w:multiLevelType w:val="hybridMultilevel"/>
    <w:lvl w:ilvl="0">
      <w:lvlJc w:val="left"/>
      <w:lvlText w:val="(%1)"/>
      <w:numFmt w:val="lowerLetter"/>
      <w:start w:val="9"/>
    </w:lvl>
  </w:abstractNum>
  <w:abstractNum w:abstractNumId="323">
    <w:nsid w:val="605138DE"/>
    <w:multiLevelType w:val="hybridMultilevel"/>
    <w:lvl w:ilvl="0">
      <w:lvlJc w:val="left"/>
      <w:lvlText w:val="(%1)"/>
      <w:numFmt w:val="lowerLetter"/>
      <w:start w:val="13"/>
    </w:lvl>
  </w:abstractNum>
  <w:abstractNum w:abstractNumId="324">
    <w:nsid w:val="2622AD0C"/>
    <w:multiLevelType w:val="hybridMultilevel"/>
    <w:lvl w:ilvl="0">
      <w:lvlJc w:val="left"/>
      <w:lvlText w:val="(%1)"/>
      <w:numFmt w:val="lowerRoman"/>
      <w:start w:val="1"/>
    </w:lvl>
  </w:abstractNum>
  <w:abstractNum w:abstractNumId="325">
    <w:nsid w:val="67997556"/>
    <w:multiLevelType w:val="hybridMultilevel"/>
    <w:lvl w:ilvl="0">
      <w:lvlJc w:val="left"/>
      <w:lvlText w:val="(%1)"/>
      <w:numFmt w:val="lowerLetter"/>
      <w:start w:val="23"/>
    </w:lvl>
  </w:abstractNum>
  <w:abstractNum w:abstractNumId="326">
    <w:nsid w:val="18333C89"/>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2"/>
    </w:lvl>
  </w:abstractNum>
  <w:abstractNum w:abstractNumId="327">
    <w:nsid w:val="4BA9831A"/>
    <w:multiLevelType w:val="hybridMultilevel"/>
    <w:lvl w:ilvl="0">
      <w:lvlJc w:val="left"/>
      <w:lvlText w:val="(%1)"/>
      <w:numFmt w:val="lowerLetter"/>
      <w:start w:val="1"/>
    </w:lvl>
  </w:abstractNum>
  <w:abstractNum w:abstractNumId="328">
    <w:nsid w:val="6D71A2B"/>
    <w:multiLevelType w:val="hybridMultilevel"/>
    <w:lvl w:ilvl="0">
      <w:lvlJc w:val="left"/>
      <w:lvlText w:val="(%1)"/>
      <w:numFmt w:val="lowerLetter"/>
      <w:start w:val="11"/>
    </w:lvl>
  </w:abstractNum>
  <w:abstractNum w:abstractNumId="329">
    <w:nsid w:val="CFC7321"/>
    <w:multiLevelType w:val="hybridMultilevel"/>
    <w:lvl w:ilvl="0">
      <w:lvlJc w:val="left"/>
      <w:lvlText w:val="(%1)"/>
      <w:numFmt w:val="lowerLetter"/>
      <w:start w:val="12"/>
    </w:lvl>
  </w:abstractNum>
  <w:abstractNum w:abstractNumId="330">
    <w:nsid w:val="1421971B"/>
    <w:multiLevelType w:val="hybridMultilevel"/>
    <w:lvl w:ilvl="0">
      <w:lvlJc w:val="left"/>
      <w:lvlText w:val="(%1)"/>
      <w:numFmt w:val="lowerLetter"/>
      <w:start w:val="13"/>
    </w:lvl>
  </w:abstractNum>
  <w:abstractNum w:abstractNumId="331">
    <w:nsid w:val="1F404301"/>
    <w:multiLevelType w:val="hybridMultilevel"/>
    <w:lvl w:ilvl="0">
      <w:lvlJc w:val="left"/>
      <w:lvlText w:val="(%1)"/>
      <w:numFmt w:val="lowerLetter"/>
      <w:start w:val="14"/>
    </w:lvl>
  </w:abstractNum>
  <w:abstractNum w:abstractNumId="332">
    <w:nsid w:val="116E0907"/>
    <w:multiLevelType w:val="hybridMultilevel"/>
    <w:lvl w:ilvl="0">
      <w:lvlJc w:val="left"/>
      <w:lvlText w:val="(%1)"/>
      <w:numFmt w:val="lowerLetter"/>
      <w:start w:val="17"/>
    </w:lvl>
  </w:abstractNum>
  <w:abstractNum w:abstractNumId="333">
    <w:nsid w:val="4B683D0D"/>
    <w:multiLevelType w:val="hybridMultilevel"/>
    <w:lvl w:ilvl="0">
      <w:lvlJc w:val="left"/>
      <w:lvlText w:val="%1"/>
      <w:numFmt w:val="lowerLetter"/>
      <w:start w:val="1"/>
    </w:lvl>
    <w:lvl w:ilvl="1">
      <w:lvlJc w:val="left"/>
      <w:lvlText w:val="(%2)"/>
      <w:numFmt w:val="upperLetter"/>
      <w:start w:val="2"/>
    </w:lvl>
  </w:abstractNum>
  <w:abstractNum w:abstractNumId="334">
    <w:nsid w:val="76E41D8"/>
    <w:multiLevelType w:val="hybridMultilevel"/>
    <w:lvl w:ilvl="0">
      <w:lvlJc w:val="left"/>
      <w:lvlText w:val="(%1)"/>
      <w:numFmt w:val="lowerLetter"/>
      <w:start w:val="18"/>
    </w:lvl>
    <w:lvl w:ilvl="1">
      <w:lvlJc w:val="left"/>
      <w:lvlText w:val="%2"/>
      <w:numFmt w:val="upperLetter"/>
      <w:start w:val="1"/>
    </w:lvl>
  </w:abstractNum>
  <w:abstractNum w:abstractNumId="335">
    <w:nsid w:val="71DCE0FD"/>
    <w:multiLevelType w:val="hybridMultilevel"/>
    <w:lvl w:ilvl="0">
      <w:lvlJc w:val="left"/>
      <w:lvlText w:val="(%1)"/>
      <w:numFmt w:val="lowerLetter"/>
      <w:start w:val="2"/>
    </w:lvl>
  </w:abstractNum>
  <w:abstractNum w:abstractNumId="336">
    <w:nsid w:val="7906328B"/>
    <w:multiLevelType w:val="hybridMultilevel"/>
    <w:lvl w:ilvl="0">
      <w:lvlJc w:val="left"/>
      <w:lvlText w:val="(%1)"/>
      <w:numFmt w:val="lowerLetter"/>
      <w:start w:val="19"/>
    </w:lvl>
  </w:abstractNum>
  <w:abstractNum w:abstractNumId="337">
    <w:nsid w:val="72BBC16"/>
    <w:multiLevelType w:val="hybridMultilevel"/>
    <w:lvl w:ilvl="0">
      <w:lvlJc w:val="left"/>
      <w:lvlText w:val="(%1)"/>
      <w:numFmt w:val="lowerLetter"/>
      <w:start w:val="20"/>
    </w:lvl>
    <w:lvl w:ilvl="1">
      <w:lvlJc w:val="left"/>
      <w:lvlText w:val="(%2)"/>
      <w:numFmt w:val="lowerRoman"/>
      <w:start w:val="1"/>
    </w:lvl>
  </w:abstractNum>
  <w:abstractNum w:abstractNumId="338">
    <w:nsid w:val="766D98C2"/>
    <w:multiLevelType w:val="hybridMultilevel"/>
    <w:lvl w:ilvl="0">
      <w:lvlJc w:val="left"/>
      <w:lvlText w:val="(%1)"/>
      <w:numFmt w:val="lowerRoman"/>
      <w:start w:val="1"/>
    </w:lvl>
  </w:abstractNum>
  <w:abstractNum w:abstractNumId="339">
    <w:nsid w:val="3C09D4A1"/>
    <w:multiLevelType w:val="hybridMultilevel"/>
    <w:lvl w:ilvl="0">
      <w:lvlJc w:val="left"/>
      <w:lvlText w:val="(%1)"/>
      <w:numFmt w:val="lowerRoman"/>
      <w:start w:val="6"/>
    </w:lvl>
  </w:abstractNum>
  <w:abstractNum w:abstractNumId="340">
    <w:nsid w:val="20E45CA4"/>
    <w:multiLevelType w:val="hybridMultilevel"/>
    <w:lvl w:ilvl="0">
      <w:lvlJc w:val="left"/>
      <w:lvlText w:val="(%1)"/>
      <w:numFmt w:val="upperLetter"/>
      <w:start w:val="2"/>
    </w:lvl>
  </w:abstractNum>
  <w:abstractNum w:abstractNumId="341">
    <w:nsid w:val="4B232EE3"/>
    <w:multiLevelType w:val="hybridMultilevel"/>
    <w:lvl w:ilvl="0">
      <w:lvlJc w:val="left"/>
      <w:lvlText w:val="%1."/>
      <w:numFmt w:val="decimal"/>
      <w:start w:val="1"/>
    </w:lvl>
  </w:abstractNum>
  <w:abstractNum w:abstractNumId="342">
    <w:nsid w:val="159C74CF"/>
    <w:multiLevelType w:val="hybridMultilevel"/>
    <w:lvl w:ilvl="0">
      <w:lvlJc w:val="left"/>
      <w:lvlText w:val="•"/>
      <w:numFmt w:val="bullet"/>
      <w:start w:val="1"/>
    </w:lvl>
  </w:abstractNum>
  <w:abstractNum w:abstractNumId="343">
    <w:nsid w:val="4AD3AFD2"/>
    <w:multiLevelType w:val="hybridMultilevel"/>
    <w:lvl w:ilvl="0">
      <w:lvlJc w:val="left"/>
      <w:lvlText w:val="[%1]"/>
      <w:numFmt w:val="upperLetter"/>
      <w:start w:val="1"/>
    </w:lvl>
  </w:abstractNum>
  <w:abstractNum w:abstractNumId="344">
    <w:nsid w:val="3CF93092"/>
    <w:multiLevelType w:val="hybridMultilevel"/>
    <w:lvl w:ilvl="0">
      <w:lvlJc w:val="left"/>
      <w:lvlText w:val="%1."/>
      <w:numFmt w:val="decimal"/>
      <w:start w:val="1"/>
    </w:lvl>
  </w:abstractNum>
  <w:abstractNum w:abstractNumId="345">
    <w:nsid w:val="6863E8D2"/>
    <w:multiLevelType w:val="hybridMultilevel"/>
    <w:lvl w:ilvl="0">
      <w:lvlJc w:val="left"/>
      <w:lvlText w:val="•"/>
      <w:numFmt w:val="bullet"/>
      <w:start w:val="1"/>
    </w:lvl>
  </w:abstractNum>
  <w:abstractNum w:abstractNumId="346">
    <w:nsid w:val="76896198"/>
    <w:multiLevelType w:val="hybridMultilevel"/>
    <w:lvl w:ilvl="0">
      <w:lvlJc w:val="left"/>
      <w:lvlText w:val="[%1]"/>
      <w:numFmt w:val="upperLetter"/>
      <w:start w:val="1"/>
    </w:lvl>
  </w:abstractNum>
  <w:abstractNum w:abstractNumId="347">
    <w:nsid w:val="4365174B"/>
    <w:multiLevelType w:val="hybridMultilevel"/>
    <w:lvl w:ilvl="0">
      <w:lvlJc w:val="left"/>
      <w:lvlText w:val="%1."/>
      <w:numFmt w:val="decimal"/>
      <w:start w:val="1"/>
    </w:lvl>
  </w:abstractNum>
  <w:abstractNum w:abstractNumId="348">
    <w:nsid w:val="4A872C35"/>
    <w:multiLevelType w:val="hybridMultilevel"/>
    <w:lvl w:ilvl="0">
      <w:lvlJc w:val="left"/>
      <w:lvlText w:val="•"/>
      <w:numFmt w:val="bullet"/>
      <w:start w:val="1"/>
    </w:lvl>
  </w:abstractNum>
  <w:abstractNum w:abstractNumId="349">
    <w:nsid w:val="5D5CE761"/>
    <w:multiLevelType w:val="hybridMultilevel"/>
    <w:lvl w:ilvl="0">
      <w:lvlJc w:val="left"/>
      <w:lvlText w:val="[%1]"/>
      <w:numFmt w:val="upperLetter"/>
      <w:start w:val="1"/>
    </w:lvl>
  </w:abstractNum>
  <w:abstractNum w:abstractNumId="350">
    <w:nsid w:val="1CD484D5"/>
    <w:multiLevelType w:val="hybridMultilevel"/>
    <w:lvl w:ilvl="0">
      <w:lvlJc w:val="left"/>
      <w:lvlText w:val="%1."/>
      <w:numFmt w:val="decimal"/>
      <w:start w:val="1"/>
    </w:lvl>
  </w:abstractNum>
  <w:abstractNum w:abstractNumId="351">
    <w:nsid w:val="21D06255"/>
    <w:multiLevelType w:val="hybridMultilevel"/>
    <w:lvl w:ilvl="0">
      <w:lvlJc w:val="left"/>
      <w:lvlText w:val="%1."/>
      <w:numFmt w:val="decimal"/>
      <w:start w:val="1"/>
    </w:lvl>
  </w:abstractNum>
  <w:abstractNum w:abstractNumId="352">
    <w:nsid w:val="51194ED1"/>
    <w:multiLevelType w:val="hybridMultilevel"/>
    <w:lvl w:ilvl="0">
      <w:lvlJc w:val="left"/>
      <w:lvlText w:val="•"/>
      <w:numFmt w:val="bullet"/>
      <w:start w:val="1"/>
    </w:lvl>
  </w:abstractNum>
  <w:abstractNum w:abstractNumId="353">
    <w:nsid w:val="44E2ED6C"/>
    <w:multiLevelType w:val="hybridMultilevel"/>
    <w:lvl w:ilvl="0">
      <w:lvlJc w:val="left"/>
      <w:lvlText w:val="[%1]"/>
      <w:numFmt w:val="upperLetter"/>
      <w:start w:val="1"/>
    </w:lvl>
  </w:abstractNum>
  <w:abstractNum w:abstractNumId="354">
    <w:nsid w:val="2219B33"/>
    <w:multiLevelType w:val="hybridMultilevel"/>
    <w:lvl w:ilvl="0">
      <w:lvlJc w:val="left"/>
      <w:lvlText w:val="%1."/>
      <w:numFmt w:val="decimal"/>
      <w:start w:val="1"/>
    </w:lvl>
  </w:abstractNum>
  <w:abstractNum w:abstractNumId="355">
    <w:nsid w:val="773BFBDD"/>
    <w:multiLevelType w:val="hybridMultilevel"/>
    <w:lvl w:ilvl="0">
      <w:lvlJc w:val="left"/>
      <w:lvlText w:val="•"/>
      <w:numFmt w:val="bullet"/>
      <w:start w:val="1"/>
    </w:lvl>
  </w:abstractNum>
  <w:abstractNum w:abstractNumId="356">
    <w:nsid w:val="2C7C62C2"/>
    <w:multiLevelType w:val="hybridMultilevel"/>
    <w:lvl w:ilvl="0">
      <w:lvlJc w:val="left"/>
      <w:lvlText w:val="[%1]"/>
      <w:numFmt w:val="upperLetter"/>
      <w:start w:val="1"/>
    </w:lvl>
  </w:abstractNum>
  <w:abstractNum w:abstractNumId="357">
    <w:nsid w:val="1A54D7BC"/>
    <w:multiLevelType w:val="hybridMultilevel"/>
    <w:lvl w:ilvl="0">
      <w:lvlJc w:val="left"/>
      <w:lvlText w:val="%1."/>
      <w:numFmt w:val="decimal"/>
      <w:start w:val="1"/>
    </w:lvl>
    <w:lvl w:ilvl="1">
      <w:lvlJc w:val="left"/>
      <w:lvlText w:val="%2."/>
      <w:numFmt w:val="lowerLetter"/>
      <w:start w:val="1"/>
    </w:lvl>
  </w:abstractNum>
  <w:abstractNum w:abstractNumId="358">
    <w:nsid w:val="42E57EF7"/>
    <w:multiLevelType w:val="hybridMultilevel"/>
    <w:lvl w:ilvl="0">
      <w:lvlJc w:val="left"/>
      <w:lvlText w:val="•"/>
      <w:numFmt w:val="bullet"/>
      <w:start w:val="1"/>
    </w:lvl>
  </w:abstractNum>
  <w:abstractNum w:abstractNumId="359">
    <w:nsid w:val="33537CED"/>
    <w:multiLevelType w:val="hybridMultilevel"/>
    <w:lvl w:ilvl="0">
      <w:lvlJc w:val="left"/>
      <w:lvlText w:val="[%1]"/>
      <w:numFmt w:val="upperLetter"/>
      <w:start w:val="1"/>
    </w:lvl>
  </w:abstractNum>
  <w:abstractNum w:abstractNumId="360">
    <w:nsid w:val="27514ADE"/>
    <w:multiLevelType w:val="hybridMultilevel"/>
    <w:lvl w:ilvl="0">
      <w:lvlJc w:val="left"/>
      <w:lvlText w:val="%1."/>
      <w:numFmt w:val="decimal"/>
      <w:start w:val="1"/>
    </w:lvl>
  </w:abstractNum>
  <w:abstractNum w:abstractNumId="361">
    <w:nsid w:val="57071613"/>
    <w:multiLevelType w:val="hybridMultilevel"/>
    <w:lvl w:ilvl="0">
      <w:lvlJc w:val="left"/>
      <w:lvlText w:val="•"/>
      <w:numFmt w:val="bullet"/>
      <w:start w:val="1"/>
    </w:lvl>
  </w:abstractNum>
  <w:abstractNum w:abstractNumId="362">
    <w:nsid w:val="5293BFEF"/>
    <w:multiLevelType w:val="hybridMultilevel"/>
    <w:lvl w:ilvl="0">
      <w:lvlJc w:val="left"/>
      <w:lvlText w:val="[%1]"/>
      <w:numFmt w:val="upperLetter"/>
      <w:start w:val="1"/>
    </w:lvl>
  </w:abstractNum>
  <w:abstractNum w:abstractNumId="363">
    <w:nsid w:val="38BF53E5"/>
    <w:multiLevelType w:val="hybridMultilevel"/>
    <w:lvl w:ilvl="0">
      <w:lvlJc w:val="left"/>
      <w:lvlText w:val="%1."/>
      <w:numFmt w:val="decimal"/>
      <w:start w:val="1"/>
    </w:lvl>
    <w:lvl w:ilvl="1">
      <w:lvlJc w:val="left"/>
      <w:lvlText w:val="%2."/>
      <w:numFmt w:val="decimal"/>
      <w:start w:val="1"/>
    </w:lvl>
  </w:abstractNum>
  <w:abstractNum w:abstractNumId="364">
    <w:nsid w:val="226F5320"/>
    <w:multiLevelType w:val="hybridMultilevel"/>
    <w:lvl w:ilvl="0">
      <w:lvlJc w:val="left"/>
      <w:lvlText w:val="%1"/>
      <w:numFmt w:val="decimal"/>
      <w:start w:val="1"/>
    </w:lvl>
    <w:lvl w:ilvl="1">
      <w:lvlJc w:val="left"/>
      <w:lvlText w:val="%2."/>
      <w:numFmt w:val="decimal"/>
      <w:start w:val="3"/>
    </w:lvl>
  </w:abstractNum>
  <w:abstractNum w:abstractNumId="365">
    <w:nsid w:val="5A0201C7"/>
    <w:multiLevelType w:val="hybridMultilevel"/>
    <w:lvl w:ilvl="0">
      <w:lvlJc w:val="left"/>
      <w:lvlText w:val="%1."/>
      <w:numFmt w:val="decimal"/>
      <w:start w:val="1"/>
    </w:lvl>
  </w:abstractNum>
  <w:abstractNum w:abstractNumId="366">
    <w:nsid w:val="2A9C34E2"/>
    <w:multiLevelType w:val="hybridMultilevel"/>
    <w:lvl w:ilvl="0">
      <w:lvlJc w:val="left"/>
      <w:lvlText w:val="%1."/>
      <w:numFmt w:val="decimal"/>
      <w:start w:val="2"/>
    </w:lvl>
  </w:abstractNum>
  <w:abstractNum w:abstractNumId="367">
    <w:nsid w:val="1B7585AB"/>
    <w:multiLevelType w:val="hybridMultilevel"/>
    <w:lvl w:ilvl="0">
      <w:lvlJc w:val="left"/>
      <w:lvlText w:val="•"/>
      <w:numFmt w:val="bullet"/>
      <w:start w:val="1"/>
    </w:lvl>
  </w:abstractNum>
  <w:abstractNum w:abstractNumId="368">
    <w:nsid w:val="612DBDDD"/>
    <w:multiLevelType w:val="hybridMultilevel"/>
    <w:lvl w:ilvl="0">
      <w:lvlJc w:val="left"/>
      <w:lvlText w:val="[%1]"/>
      <w:numFmt w:val="upperLetter"/>
      <w:start w:val="1"/>
    </w:lvl>
  </w:abstractNum>
  <w:abstractNum w:abstractNumId="369">
    <w:nsid w:val="2109CDA4"/>
    <w:multiLevelType w:val="hybridMultilevel"/>
    <w:lvl w:ilvl="0">
      <w:lvlJc w:val="left"/>
      <w:lvlText w:val="%1."/>
      <w:numFmt w:val="decimal"/>
      <w:start w:val="1"/>
    </w:lvl>
  </w:abstractNum>
  <w:abstractNum w:abstractNumId="370">
    <w:nsid w:val="577F5A4D"/>
    <w:multiLevelType w:val="hybridMultilevel"/>
    <w:lvl w:ilvl="0">
      <w:lvlJc w:val="left"/>
      <w:lvlText w:val="•"/>
      <w:numFmt w:val="bullet"/>
      <w:start w:val="1"/>
    </w:lvl>
  </w:abstractNum>
  <w:abstractNum w:abstractNumId="371">
    <w:nsid w:val="2121A81"/>
    <w:multiLevelType w:val="hybridMultilevel"/>
    <w:lvl w:ilvl="0">
      <w:lvlJc w:val="left"/>
      <w:lvlText w:val="[%1]"/>
      <w:numFmt w:val="upperLetter"/>
      <w:start w:val="1"/>
    </w:lvl>
  </w:abstractNum>
  <w:abstractNum w:abstractNumId="372">
    <w:nsid w:val="6C2CFC88"/>
    <w:multiLevelType w:val="hybridMultilevel"/>
    <w:lvl w:ilvl="0">
      <w:lvlJc w:val="left"/>
      <w:lvlText w:val="%1."/>
      <w:numFmt w:val="decimal"/>
      <w:start w:val="1"/>
    </w:lvl>
    <w:lvl w:ilvl="1">
      <w:lvlJc w:val="left"/>
      <w:lvlText w:val="%2."/>
      <w:numFmt w:val="lowerLetter"/>
      <w:start w:val="1"/>
    </w:lvl>
  </w:abstractNum>
  <w:abstractNum w:abstractNumId="373">
    <w:nsid w:val="6D1BCF1C"/>
    <w:multiLevelType w:val="hybridMultilevel"/>
    <w:lvl w:ilvl="0">
      <w:lvlJc w:val="left"/>
      <w:lvlText w:val="•"/>
      <w:numFmt w:val="bullet"/>
      <w:start w:val="1"/>
    </w:lvl>
  </w:abstractNum>
  <w:abstractNum w:abstractNumId="374">
    <w:nsid w:val="4CE5CA53"/>
    <w:multiLevelType w:val="hybridMultilevel"/>
    <w:lvl w:ilvl="0">
      <w:lvlJc w:val="left"/>
      <w:lvlText w:val="[%1]"/>
      <w:numFmt w:val="upperLetter"/>
      <w:start w:val="1"/>
    </w:lvl>
  </w:abstractNum>
  <w:abstractNum w:abstractNumId="375">
    <w:nsid w:val="29262D1A"/>
    <w:multiLevelType w:val="hybridMultilevel"/>
    <w:lvl w:ilvl="0">
      <w:lvlJc w:val="left"/>
      <w:lvlText w:val="%1."/>
      <w:numFmt w:val="decimal"/>
      <w:start w:val="1"/>
    </w:lvl>
    <w:lvl w:ilvl="1">
      <w:lvlJc w:val="left"/>
      <w:lvlText w:val="%2)"/>
      <w:numFmt w:val="lowerLetter"/>
      <w:start w:val="1"/>
    </w:lvl>
  </w:abstractNum>
  <w:abstractNum w:abstractNumId="376">
    <w:nsid w:val="557FB7EE"/>
    <w:multiLevelType w:val="hybridMultilevel"/>
    <w:lvl w:ilvl="0">
      <w:lvlJc w:val="left"/>
      <w:lvlText w:val="%1."/>
      <w:numFmt w:val="decimal"/>
      <w:start w:val="1"/>
    </w:lvl>
    <w:lvl w:ilvl="1">
      <w:lvlJc w:val="left"/>
      <w:lvlText w:val="%2)"/>
      <w:numFmt w:val="lowerLetter"/>
      <w:start w:val="1"/>
    </w:lvl>
  </w:abstractNum>
  <w:abstractNum w:abstractNumId="377">
    <w:nsid w:val="436F2BEB"/>
    <w:multiLevelType w:val="hybridMultilevel"/>
    <w:lvl w:ilvl="0">
      <w:lvlJc w:val="left"/>
      <w:lvlText w:val="(%1)"/>
      <w:numFmt w:val="decimal"/>
      <w:start w:val="1"/>
    </w:lvl>
  </w:abstractNum>
  <w:abstractNum w:abstractNumId="378">
    <w:nsid w:val="6C8B44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45" Type="http://schemas.openxmlformats.org/officeDocument/2006/relationships/hyperlink" Target="https://www.sec.gov/Archives/edgar/data/1612720/000121390017008018/f8k072417ex3i_nextdecade.htm" TargetMode="External"/><Relationship Id="rId46" Type="http://schemas.openxmlformats.org/officeDocument/2006/relationships/hyperlink" Target="https://www.sec.gov/Archives/edgar/data/1612720/000143774922015895/ex_389213.htm" TargetMode="External"/><Relationship Id="rId47" Type="http://schemas.openxmlformats.org/officeDocument/2006/relationships/hyperlink" Target="https://www.sec.gov/Archives/edgar/data/1612720/000155837018009764/ex-4d3.htm" TargetMode="External"/><Relationship Id="rId48" Type="http://schemas.openxmlformats.org/officeDocument/2006/relationships/hyperlink" Target="https://www.sec.gov/Archives/edgar/data/1612720/000155837018009175/next-20180930ex346f6b8bc.htm" TargetMode="External"/><Relationship Id="rId49" Type="http://schemas.openxmlformats.org/officeDocument/2006/relationships/hyperlink" Target="https://www.sec.gov/Archives/edgar/data/1612720/000143774921006394/ex_234721.htm" TargetMode="External"/><Relationship Id="rId50" Type="http://schemas.openxmlformats.org/officeDocument/2006/relationships/hyperlink" Target="https://www.sec.gov/Archives/edgar/data/1612720/000161272019000027/next-20190712ex31ef147fc.htm" TargetMode="External"/><Relationship Id="rId51" Type="http://schemas.openxmlformats.org/officeDocument/2006/relationships/hyperlink" Target="https://www.sec.gov/Archives/edgar/data/1612720/000161272019000027/next-20190712ex329d611d6.htm" TargetMode="External"/><Relationship Id="rId52" Type="http://schemas.openxmlformats.org/officeDocument/2006/relationships/hyperlink" Target="https://www.sec.gov/Archives/edgar/data/1612720/000155837019007245/next-20190630ex373d0be0b.htm" TargetMode="External"/><Relationship Id="rId53" Type="http://schemas.openxmlformats.org/officeDocument/2006/relationships/hyperlink" Target="https://www.sec.gov/Archives/edgar/data/1612720/000155837019007245/next-20190630ex38be48415.htm" TargetMode="External"/><Relationship Id="rId54" Type="http://schemas.openxmlformats.org/officeDocument/2006/relationships/hyperlink" Target="https://www.sec.gov/Archives/edgar/data/1612720/000162828024026373/next-202406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2024-08-14T16:24:51Z</dcterms:created>
  <dcterms:modified xsi:type="dcterms:W3CDTF">2024-08-14T16:24:51Z</dcterms:modified>
</cp:coreProperties>
</file>