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22860</wp:posOffset>
            </wp:positionV>
            <wp:extent cx="15773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1"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19685</wp:posOffset>
            </wp:positionV>
            <wp:extent cx="1577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16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3331210</wp:posOffset>
            </wp:positionH>
            <wp:positionV relativeFrom="paragraph">
              <wp:posOffset>74295</wp:posOffset>
            </wp:positionV>
            <wp:extent cx="48895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895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17, 2026</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NEXTDECADE CORPORATION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34" w:lineRule="exact"/>
        <w:rPr>
          <w:sz w:val="24"/>
          <w:szCs w:val="24"/>
          <w:color w:val="auto"/>
        </w:rPr>
      </w:pPr>
    </w:p>
    <w:tbl>
      <w:tblPr>
        <w:tblLayout w:type="fixed"/>
        <w:tblInd w:w="580" w:type="dxa"/>
        <w:tblCellMar>
          <w:top w:w="0" w:type="dxa"/>
          <w:left w:w="0" w:type="dxa"/>
          <w:bottom w:w="0" w:type="dxa"/>
          <w:right w:w="0" w:type="dxa"/>
        </w:tblCellMar>
      </w:tblPr>
      <w:tr>
        <w:trPr>
          <w:trHeight w:val="233"/>
        </w:trPr>
        <w:tc>
          <w:tcPr>
            <w:tcW w:w="4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001-36842</w:t>
            </w:r>
          </w:p>
        </w:tc>
        <w:tc>
          <w:tcPr>
            <w:tcW w:w="29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46-5723951</w:t>
            </w: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7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9"/>
        </w:trPr>
        <w:tc>
          <w:tcPr>
            <w:tcW w:w="4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1000 Louisiana Street, Suite 3300</w:t>
            </w:r>
          </w:p>
        </w:tc>
        <w:tc>
          <w:tcPr>
            <w:tcW w:w="27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2700" w:type="dxa"/>
            <w:vAlign w:val="bottom"/>
          </w:tcPr>
          <w:p>
            <w:pPr>
              <w:spacing w:after="0"/>
              <w:rPr>
                <w:sz w:val="20"/>
                <w:szCs w:val="20"/>
                <w:color w:val="auto"/>
              </w:rPr>
            </w:pPr>
          </w:p>
        </w:tc>
        <w:tc>
          <w:tcPr>
            <w:tcW w:w="290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77002</w:t>
            </w:r>
          </w:p>
        </w:tc>
      </w:tr>
      <w:tr>
        <w:trPr>
          <w:trHeight w:val="234"/>
        </w:trPr>
        <w:tc>
          <w:tcPr>
            <w:tcW w:w="4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700" w:type="dxa"/>
            <w:vAlign w:val="bottom"/>
          </w:tcPr>
          <w:p>
            <w:pPr>
              <w:spacing w:after="0"/>
              <w:rPr>
                <w:sz w:val="20"/>
                <w:szCs w:val="20"/>
                <w:color w:val="auto"/>
              </w:rPr>
            </w:pPr>
          </w:p>
        </w:tc>
        <w:tc>
          <w:tcPr>
            <w:tcW w:w="29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574-1880</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860" w:type="dxa"/>
            <w:vAlign w:val="bottom"/>
            <w:gridSpan w:val="5"/>
          </w:tcPr>
          <w:p>
            <w:pPr>
              <w:ind w:left="2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r>
      <w:tr>
        <w:trPr>
          <w:trHeight w:val="385"/>
        </w:trPr>
        <w:tc>
          <w:tcPr>
            <w:tcW w:w="33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100" w:type="dxa"/>
            <w:vAlign w:val="bottom"/>
          </w:tcPr>
          <w:p>
            <w:pPr>
              <w:spacing w:after="0"/>
              <w:rPr>
                <w:sz w:val="24"/>
                <w:szCs w:val="24"/>
                <w:color w:val="auto"/>
              </w:rPr>
            </w:pPr>
          </w:p>
        </w:tc>
        <w:tc>
          <w:tcPr>
            <w:tcW w:w="4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NEXT</w:t>
            </w: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June 17, 2026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Rio Grande LNG Intermediate HoldCo Borrower, LLC, a Delaware limited liability company (“</w:t>
      </w:r>
      <w:r>
        <w:rPr>
          <w:rFonts w:ascii="Times New Roman" w:cs="Times New Roman" w:eastAsia="Times New Roman" w:hAnsi="Times New Roman"/>
          <w:sz w:val="18"/>
          <w:szCs w:val="18"/>
          <w:u w:val="single" w:color="auto"/>
          <w:color w:val="auto"/>
        </w:rPr>
        <w:t>RGLNG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HoldCo Borrower</w:t>
      </w:r>
      <w:r>
        <w:rPr>
          <w:rFonts w:ascii="Times New Roman" w:cs="Times New Roman" w:eastAsia="Times New Roman" w:hAnsi="Times New Roman"/>
          <w:sz w:val="18"/>
          <w:szCs w:val="18"/>
          <w:color w:val="auto"/>
        </w:rPr>
        <w:t>”) and an indirect subsidiary of NextDecade Corporation (“</w:t>
      </w:r>
      <w:r>
        <w:rPr>
          <w:rFonts w:ascii="Times New Roman" w:cs="Times New Roman" w:eastAsia="Times New Roman" w:hAnsi="Times New Roman"/>
          <w:sz w:val="18"/>
          <w:szCs w:val="18"/>
          <w:u w:val="single" w:color="auto"/>
          <w:color w:val="auto"/>
        </w:rPr>
        <w:t>NextDecade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Credit Agreement (the “</w:t>
      </w:r>
      <w:r>
        <w:rPr>
          <w:rFonts w:ascii="Times New Roman" w:cs="Times New Roman" w:eastAsia="Times New Roman" w:hAnsi="Times New Roman"/>
          <w:sz w:val="18"/>
          <w:szCs w:val="18"/>
          <w:u w:val="single" w:color="auto"/>
          <w:color w:val="auto"/>
        </w:rPr>
        <w:t>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among RGLNG HoldCo Borrower, as borrower, Wilmington Trust, National Association, as the administrative agent and the collateral agent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as applicable), and the lenders party thereto (the “</w:t>
      </w:r>
      <w:r>
        <w:rPr>
          <w:rFonts w:ascii="Times New Roman" w:cs="Times New Roman" w:eastAsia="Times New Roman" w:hAnsi="Times New Roman"/>
          <w:sz w:val="18"/>
          <w:szCs w:val="18"/>
          <w:u w:val="single" w:color="auto"/>
          <w:color w:val="auto"/>
        </w:rPr>
        <w:t>HoldCo Lenders</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RGLNG HoldCo Borrower is the direct parent of Rio Grande LNG Holdings, LLC, which is the direct parent of Rio Grande LNG, LLC (“</w:t>
      </w:r>
      <w:r>
        <w:rPr>
          <w:rFonts w:ascii="Times New Roman" w:cs="Times New Roman" w:eastAsia="Times New Roman" w:hAnsi="Times New Roman"/>
          <w:sz w:val="18"/>
          <w:szCs w:val="18"/>
          <w:u w:val="single" w:color="auto"/>
          <w:color w:val="auto"/>
        </w:rPr>
        <w:t>RGLNG</w:t>
      </w:r>
      <w:r>
        <w:rPr>
          <w:rFonts w:ascii="Times New Roman" w:cs="Times New Roman" w:eastAsia="Times New Roman" w:hAnsi="Times New Roman"/>
          <w:sz w:val="18"/>
          <w:szCs w:val="18"/>
          <w:color w:val="auto"/>
        </w:rPr>
        <w:t>”), the entity that owns the first three trains of the Rio Grande LNG Facility. RGLNG HoldCo Borrower is an indirect, wholly owned subsidiary of Rio Grande LNG Intermediate Holdings, LLC, the joint venture entity formed to indirectly own the equity interest in RGLNG and an indirect subsidiary of the Company.</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provides for a term loan facility (the “</w:t>
      </w:r>
      <w:r>
        <w:rPr>
          <w:rFonts w:ascii="Times New Roman" w:cs="Times New Roman" w:eastAsia="Times New Roman" w:hAnsi="Times New Roman"/>
          <w:sz w:val="18"/>
          <w:szCs w:val="18"/>
          <w:u w:val="single" w:color="auto"/>
          <w:color w:val="auto"/>
        </w:rPr>
        <w:t>RGLNG HoldCo Loans</w:t>
      </w:r>
      <w:r>
        <w:rPr>
          <w:rFonts w:ascii="Times New Roman" w:cs="Times New Roman" w:eastAsia="Times New Roman" w:hAnsi="Times New Roman"/>
          <w:sz w:val="18"/>
          <w:szCs w:val="18"/>
          <w:color w:val="auto"/>
        </w:rPr>
        <w:t>”) in an amount of $1.0 billion, the proceeds of which RGLNG HoldCo Borrower will use (i) primarily to make an equity contribution to RGLNG, which contribution RGLNG will use to reduce outstanding borrowings under its credit facilities, (ii) to pay certain fees and expenses associated with the Credit Agreement and the RGLNG HoldCo Loans made thereunder and (iii) to pay general and administrative expenses of RGLNG HoldCo Borrower.</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RGLNG HoldCo Loans will mature on June 17, 2033. Interest will accrue on the RGLNG HoldCo Loans at a rate equal to 7.05% per annum, with such interest payable semi-annually on March 30 and September 30 of each year, beginning on September 30, 2026 (or the next succeeding business day). Interest on the RGLNG HoldCo Loans will be paid in-kind until the first interest payment date after the third anniversary of the Closing Date unless elected by RGLNG HoldCo Borrower to pay in cash.</w:t>
      </w:r>
    </w:p>
    <w:p>
      <w:pPr>
        <w:spacing w:after="0" w:line="18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At any time or from time to time prior to June 17, 2029, RGLNG HoldCo Borrower may prepay all or a part of the RGLNG HoldCo Loans by paying the principal of the RGLNG HoldCo Loans to be prepaid plus the “call protection amount” set forth in the Credit Agreement, plus accrued and unpaid interest. At any time or from time to time between June 17, 2029 and June 17, 2030, RGLNG HoldCo Borrower may prepay all or a part of the RGLNG HoldCo Loans by paying 101% of the principal of the RGLNG HoldCo Loans to be prepaid plus accrued and unpaid interest, and any time on or after June 17, 2030, prepay the RGLNG HoldCo Loans by paying the principal of the RGLNG HoldCo Loans to be prepaid plus accrued and unpaid interest.</w:t>
      </w:r>
    </w:p>
    <w:p>
      <w:pPr>
        <w:spacing w:after="0" w:line="18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The Credit Agreement contains customary terms and events of default and certain covenants that, among other things, limit RGLNG HoldCo Borrower’s ability to incur additional indebtedness, make certain investments or pay dividends or distributions on equity interests or subordinated indebtedness or purchase, redeem, or retire equity interests, sell or transfer assets, incur liens, dissolve, liquidate, consolidate, merge, or sell or lease all or substantially all of its assets. The Credit Agreement further requires RGLNG HoldCo Borrower to submit certain reports and information to the Administrative Agent and the HoldCo Lenders and maintain a debt service coverage ratio of at least 1.05:1.00 at the end of each fiscal quarter starting from the first quarterly payment date for RGLNG’s project indebtedness to occur on or after the date that is ninety days following the project completion date. With respect to certain events, including a change of control event and receipt of certain proceeds from asset sales, events of loss or liquidated damages, the Credit Agreement requires RGLNG HoldCo Borrower to mandatorily prepay the HoldCo Lenders (a) with respect to a change of control event, all outstanding RGLNG HoldCo Loans at 101% or (b) with respect to each other event, the proceeds of the applicable event at par, in each case, on the terms specified in the Credit Agreement. The Credit Agreement covenants are subject to a number of important limitations and exceptions contained in the Credit Agreement, which will be filed as an exhibit to the Company’s Quarterly Report on Form 10-Q for the fiscal quarter ended June 30, 2026.</w:t>
      </w:r>
    </w:p>
    <w:p>
      <w:pPr>
        <w:spacing w:after="0" w:line="19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Credit Agreement, under a pledge agreement dated as of the Closing Date, by and among Rio Grande LNG Intermediate HoldCo Pledgor, LLC, a Delaware limited liability company (the “</w:t>
      </w:r>
      <w:r>
        <w:rPr>
          <w:rFonts w:ascii="Times New Roman" w:cs="Times New Roman" w:eastAsia="Times New Roman" w:hAnsi="Times New Roman"/>
          <w:sz w:val="18"/>
          <w:szCs w:val="18"/>
          <w:u w:val="single" w:color="auto"/>
          <w:color w:val="auto"/>
        </w:rPr>
        <w:t>RGLNG HoldCo Pledgor</w:t>
      </w:r>
      <w:r>
        <w:rPr>
          <w:rFonts w:ascii="Times New Roman" w:cs="Times New Roman" w:eastAsia="Times New Roman" w:hAnsi="Times New Roman"/>
          <w:sz w:val="18"/>
          <w:szCs w:val="18"/>
          <w:color w:val="auto"/>
        </w:rPr>
        <w:t>”), and the Collateral Agent, RGLNG HoldCo Pledgor granted a security interest in favor of the Collateral Agent, for the benefit of the HoldCo Lenders, in the limited liability company interests of the RGLNG HoldCo Borrower held by the RGLNG HoldCo Pledgor.</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the Closing Date, RGLNG HoldCo Borrower also granted a security interest in favor of the Collateral Agent, for the benefit of the HoldCo Lenders, in substantially all of RGLNG HoldCo Borrower’s real and personal property, including its membership interest in Rio Grande LNG Holdings, LLC, pursuant to a security agreement by and between RGLNG HoldCo Borrower and the Collateral Agent.</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Closing Date, RGLNG HoldCo Borrower entered into a Collateral and Intercreditor Agreement (the “</w:t>
      </w:r>
      <w:r>
        <w:rPr>
          <w:rFonts w:ascii="Times New Roman" w:cs="Times New Roman" w:eastAsia="Times New Roman" w:hAnsi="Times New Roman"/>
          <w:sz w:val="18"/>
          <w:szCs w:val="18"/>
          <w:u w:val="single" w:color="auto"/>
          <w:color w:val="auto"/>
        </w:rPr>
        <w:t>RGLNG HoldCo Collateral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with Wilmington Trust, National Association, as Intercreditor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both"/>
        <w:spacing w:after="0"/>
        <w:rPr>
          <w:sz w:val="20"/>
          <w:szCs w:val="20"/>
          <w:color w:val="auto"/>
        </w:rPr>
      </w:pPr>
      <w:r>
        <w:rPr>
          <w:rFonts w:ascii="Times New Roman" w:cs="Times New Roman" w:eastAsia="Times New Roman" w:hAnsi="Times New Roman"/>
          <w:sz w:val="18"/>
          <w:szCs w:val="18"/>
          <w:color w:val="auto"/>
        </w:rPr>
        <w:t>Agent and as Collateral Agent. The RGLNG HoldCo Collateral and Intercreditor Agreement sets forth the intercreditor arrangements that govern the relationships among the HoldCo Lenders and the holders of any other classes of indebtedness issued on a pari passu basis by RGLNG HoldCo Borrower (together with the RGLNG HoldCo Loans, the “</w:t>
      </w:r>
      <w:r>
        <w:rPr>
          <w:rFonts w:ascii="Times New Roman" w:cs="Times New Roman" w:eastAsia="Times New Roman" w:hAnsi="Times New Roman"/>
          <w:sz w:val="18"/>
          <w:szCs w:val="18"/>
          <w:u w:val="single" w:color="auto"/>
          <w:color w:val="auto"/>
        </w:rPr>
        <w:t>RGLNG HoldCo Secured Debt</w:t>
      </w:r>
      <w:r>
        <w:rPr>
          <w:rFonts w:ascii="Times New Roman" w:cs="Times New Roman" w:eastAsia="Times New Roman" w:hAnsi="Times New Roman"/>
          <w:sz w:val="18"/>
          <w:szCs w:val="18"/>
          <w:color w:val="auto"/>
        </w:rPr>
        <w:t>”). In addition, each class of RGLNG HoldCo Secured Debt generally is subject to voting arrangements with respect to amendments, supplements, and waivers by such class. The RGLNG HoldCo Collateral and Intercreditor Agreement also includes various provisions regarding the collateral granted to all holders of RGLNG HoldCo Secured Debt and the application of proceeds thereof prior to and upon the exercise of remedies by the holders of RGLNG HoldCo Secured Debt. Any future representative of the holders of such RGLNG HoldCo Secured Debt will be required to accede to the RGLNG HoldCo Collateral and Intercreditor Agreement.</w:t>
      </w:r>
    </w:p>
    <w:p>
      <w:pPr>
        <w:spacing w:after="0" w:line="16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of this Current Report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18, 2026</w:t>
      </w:r>
    </w:p>
    <w:p>
      <w:pPr>
        <w:spacing w:after="0" w:line="1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NEXTDECADE CORPORATION</w:t>
      </w:r>
    </w:p>
    <w:p>
      <w:pPr>
        <w:spacing w:after="0" w:line="252" w:lineRule="exact"/>
        <w:rPr>
          <w:sz w:val="20"/>
          <w:szCs w:val="20"/>
          <w:color w:val="auto"/>
        </w:rPr>
      </w:pPr>
    </w:p>
    <w:p>
      <w:pPr>
        <w:ind w:left="3420"/>
        <w:spacing w:after="0"/>
        <w:tabs>
          <w:tab w:leader="none" w:pos="3860" w:val="left"/>
        </w:tabs>
        <w:rPr>
          <w:sz w:val="20"/>
          <w:szCs w:val="20"/>
          <w:color w:val="auto"/>
        </w:rPr>
      </w:pPr>
      <w:r>
        <w:rPr>
          <w:rFonts w:ascii="Times New Roman" w:cs="Times New Roman" w:eastAsia="Times New Roman" w:hAnsi="Times New Roman"/>
          <w:sz w:val="18"/>
          <w:szCs w:val="18"/>
          <w:color w:val="auto"/>
        </w:rPr>
        <w:t>By:</w:t>
        <w:tab/>
        <w:t>/s/ Vera de Gyarfas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26035</wp:posOffset>
            </wp:positionV>
            <wp:extent cx="2451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4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Name: Vera de Gyarfas</w:t>
      </w:r>
    </w:p>
    <w:p>
      <w:pPr>
        <w:spacing w:after="0" w:line="5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 General Counsel</w:t>
      </w: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2026-06-18T15:57:41Z</dcterms:created>
  <dcterms:modified xsi:type="dcterms:W3CDTF">2026-06-18T15:57:41Z</dcterms:modified>
</cp:coreProperties>
</file>