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0002091576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1"/>
        <w:gridCol w:w="3724"/>
      </w:tblGrid>
      <w:tr>
        <w:trPr/>
        <w:tc>
          <w:tcPr>
            <w:tcW w:w="6481" w:type="dxa"/>
            <w:tcBorders/>
            <w:vAlign w:val="center"/>
          </w:tcPr>
          <w:p>
            <w:pPr>
              <w:pStyle w:val="TableContents"/>
              <w:bidi w:val="0"/>
              <w:spacing w:before="0" w:after="283"/>
              <w:jc w:val="left"/>
              <w:rPr/>
            </w:pPr>
            <w:r>
              <w:rPr/>
              <w:t>Name of Issuer</w:t>
            </w:r>
          </w:p>
        </w:tc>
        <w:tc>
          <w:tcPr>
            <w:tcW w:w="3724" w:type="dxa"/>
            <w:tcBorders/>
            <w:vAlign w:val="center"/>
          </w:tcPr>
          <w:p>
            <w:pPr>
              <w:pStyle w:val="TableContents"/>
              <w:bidi w:val="0"/>
              <w:spacing w:before="0" w:after="0"/>
              <w:jc w:val="left"/>
              <w:rPr/>
            </w:pPr>
            <w:r>
              <w:rPr/>
              <w:t>NextDecade Corp</w:t>
            </w:r>
          </w:p>
        </w:tc>
      </w:tr>
      <w:tr>
        <w:trPr/>
        <w:tc>
          <w:tcPr>
            <w:tcW w:w="6481" w:type="dxa"/>
            <w:tcBorders/>
            <w:vAlign w:val="center"/>
          </w:tcPr>
          <w:p>
            <w:pPr>
              <w:pStyle w:val="TableContents"/>
              <w:bidi w:val="0"/>
              <w:spacing w:before="0" w:after="283"/>
              <w:jc w:val="left"/>
              <w:rPr/>
            </w:pPr>
            <w:r>
              <w:rPr/>
              <w:t>SEC File Number</w:t>
            </w:r>
          </w:p>
        </w:tc>
        <w:tc>
          <w:tcPr>
            <w:tcW w:w="3724" w:type="dxa"/>
            <w:tcBorders/>
            <w:vAlign w:val="center"/>
          </w:tcPr>
          <w:p>
            <w:pPr>
              <w:pStyle w:val="TableContents"/>
              <w:bidi w:val="0"/>
              <w:spacing w:before="0" w:after="0"/>
              <w:jc w:val="left"/>
              <w:rPr/>
            </w:pPr>
            <w:r>
              <w:rPr/>
              <w:t>001-36842</w:t>
            </w:r>
          </w:p>
        </w:tc>
      </w:tr>
      <w:tr>
        <w:trPr/>
        <w:tc>
          <w:tcPr>
            <w:tcW w:w="6481" w:type="dxa"/>
            <w:tcBorders/>
            <w:vAlign w:val="center"/>
          </w:tcPr>
          <w:p>
            <w:pPr>
              <w:pStyle w:val="TableContents"/>
              <w:bidi w:val="0"/>
              <w:spacing w:before="0" w:after="283"/>
              <w:jc w:val="left"/>
              <w:rPr/>
            </w:pPr>
            <w:r>
              <w:rPr/>
              <w:t>Address of Issuer</w:t>
            </w:r>
          </w:p>
        </w:tc>
        <w:tc>
          <w:tcPr>
            <w:tcW w:w="3724" w:type="dxa"/>
            <w:tcBorders/>
            <w:vAlign w:val="center"/>
          </w:tcPr>
          <w:p>
            <w:pPr>
              <w:pStyle w:val="TableContents"/>
              <w:bidi w:val="0"/>
              <w:spacing w:before="0" w:after="0"/>
              <w:jc w:val="left"/>
              <w:rPr/>
            </w:pPr>
            <w:r>
              <w:rPr/>
              <w:t>1000 LOUISIANA STREET</w:t>
              <w:br/>
              <w:t>SUITE 3300</w:t>
              <w:br/>
              <w:t>HOUSTON</w:t>
              <w:br/>
              <w:t xml:space="preserve">TEXAS </w:t>
              <w:br/>
              <w:t>77002</w:t>
            </w:r>
          </w:p>
        </w:tc>
      </w:tr>
      <w:tr>
        <w:trPr/>
        <w:tc>
          <w:tcPr>
            <w:tcW w:w="6481" w:type="dxa"/>
            <w:tcBorders/>
            <w:vAlign w:val="center"/>
          </w:tcPr>
          <w:p>
            <w:pPr>
              <w:pStyle w:val="TableContents"/>
              <w:bidi w:val="0"/>
              <w:spacing w:before="0" w:after="283"/>
              <w:jc w:val="left"/>
              <w:rPr/>
            </w:pPr>
            <w:r>
              <w:rPr/>
              <w:t>Phone</w:t>
            </w:r>
          </w:p>
        </w:tc>
        <w:tc>
          <w:tcPr>
            <w:tcW w:w="3724" w:type="dxa"/>
            <w:tcBorders/>
            <w:vAlign w:val="center"/>
          </w:tcPr>
          <w:p>
            <w:pPr>
              <w:pStyle w:val="TableContents"/>
              <w:bidi w:val="0"/>
              <w:spacing w:before="0" w:after="0"/>
              <w:jc w:val="left"/>
              <w:rPr/>
            </w:pPr>
            <w:r>
              <w:rPr/>
              <w:t>7135741880</w:t>
            </w:r>
          </w:p>
        </w:tc>
      </w:tr>
      <w:tr>
        <w:trPr/>
        <w:tc>
          <w:tcPr>
            <w:tcW w:w="6481" w:type="dxa"/>
            <w:tcBorders/>
            <w:vAlign w:val="center"/>
          </w:tcPr>
          <w:p>
            <w:pPr>
              <w:pStyle w:val="TableContents"/>
              <w:bidi w:val="0"/>
              <w:spacing w:before="0" w:after="283"/>
              <w:jc w:val="left"/>
              <w:rPr/>
            </w:pPr>
            <w:r>
              <w:rPr/>
              <w:t>Name of Person for Whose Account the Securities are To Be Sold</w:t>
            </w:r>
          </w:p>
        </w:tc>
        <w:tc>
          <w:tcPr>
            <w:tcW w:w="3724" w:type="dxa"/>
            <w:tcBorders/>
            <w:vAlign w:val="center"/>
          </w:tcPr>
          <w:p>
            <w:pPr>
              <w:pStyle w:val="TableContents"/>
              <w:bidi w:val="0"/>
              <w:spacing w:before="0" w:after="0"/>
              <w:jc w:val="left"/>
              <w:rPr/>
            </w:pPr>
            <w:r>
              <w:rPr/>
              <w:t>Mott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1" w:type="dxa"/>
            <w:tcBorders/>
            <w:vAlign w:val="center"/>
          </w:tcPr>
          <w:p>
            <w:pPr>
              <w:pStyle w:val="TableContents"/>
              <w:bidi w:val="0"/>
              <w:spacing w:before="0" w:after="283"/>
              <w:jc w:val="left"/>
              <w:rPr/>
            </w:pPr>
            <w:r>
              <w:rPr/>
              <w:t>Relationship to Issuer</w:t>
            </w:r>
          </w:p>
        </w:tc>
        <w:tc>
          <w:tcPr>
            <w:tcW w:w="37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4209</w:t>
            </w:r>
          </w:p>
        </w:tc>
        <w:tc>
          <w:tcPr>
            <w:tcW w:w="1377" w:type="dxa"/>
            <w:tcBorders/>
            <w:vAlign w:val="center"/>
          </w:tcPr>
          <w:p>
            <w:pPr>
              <w:pStyle w:val="TableContents"/>
              <w:bidi w:val="0"/>
              <w:spacing w:before="0" w:after="283"/>
              <w:jc w:val="left"/>
              <w:rPr/>
            </w:pPr>
            <w:r>
              <w:rPr/>
              <w:t>25866.41</w:t>
            </w:r>
          </w:p>
        </w:tc>
        <w:tc>
          <w:tcPr>
            <w:tcW w:w="1552" w:type="dxa"/>
            <w:tcBorders/>
            <w:vAlign w:val="center"/>
          </w:tcPr>
          <w:p>
            <w:pPr>
              <w:pStyle w:val="TableContents"/>
              <w:bidi w:val="0"/>
              <w:spacing w:before="0" w:after="283"/>
              <w:jc w:val="left"/>
              <w:rPr/>
            </w:pPr>
            <w:r>
              <w:rPr/>
              <w:t>266185433</w:t>
            </w:r>
          </w:p>
        </w:tc>
        <w:tc>
          <w:tcPr>
            <w:tcW w:w="1567" w:type="dxa"/>
            <w:tcBorders/>
            <w:vAlign w:val="center"/>
          </w:tcPr>
          <w:p>
            <w:pPr>
              <w:pStyle w:val="TableContents"/>
              <w:bidi w:val="0"/>
              <w:spacing w:before="0" w:after="283"/>
              <w:jc w:val="left"/>
              <w:rPr/>
            </w:pPr>
            <w:r>
              <w:rPr/>
              <w:t>10/21/2026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4209</w:t>
            </w:r>
          </w:p>
        </w:tc>
        <w:tc>
          <w:tcPr>
            <w:tcW w:w="1046" w:type="dxa"/>
            <w:tcBorders/>
            <w:vAlign w:val="center"/>
          </w:tcPr>
          <w:p>
            <w:pPr>
              <w:pStyle w:val="TableContents"/>
              <w:bidi w:val="0"/>
              <w:spacing w:before="0" w:after="283"/>
              <w:jc w:val="left"/>
              <w:rPr/>
            </w:pPr>
            <w:r>
              <w:rPr/>
              <w:t>10/16/2026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10/21/2026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Joshua Schmitt, as a duly authorized representative of Fidelity Brokerage Services LLC, as attorney-in-fact for Michael R. Mott.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3088</Characters>
  <CharactersWithSpaces>3638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