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highlight w:val="black"/>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63"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3760" w:type="dxa"/>
        <w:tblCellMar>
          <w:top w:w="0" w:type="dxa"/>
          <w:left w:w="0" w:type="dxa"/>
          <w:bottom w:w="0" w:type="dxa"/>
          <w:right w:w="0" w:type="dxa"/>
        </w:tblCellMar>
      </w:tblPr>
      <w:tr>
        <w:trPr>
          <w:trHeight w:val="23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79"/>
              </w:rPr>
              <w:t>to</w:t>
            </w:r>
          </w:p>
        </w:tc>
      </w:tr>
      <w:tr>
        <w:trPr>
          <w:trHeight w:val="229"/>
        </w:trPr>
        <w:tc>
          <w:tcPr>
            <w:tcW w:w="30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Commission File No. 001-36842</w:t>
            </w:r>
          </w:p>
        </w:tc>
        <w:tc>
          <w:tcPr>
            <w:tcW w:w="24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85725</wp:posOffset>
            </wp:positionV>
            <wp:extent cx="48895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895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40" w:type="dxa"/>
            <w:vAlign w:val="bottom"/>
            <w:gridSpan w:val="3"/>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NEXTDECADE CORPORATION</w:t>
            </w:r>
          </w:p>
        </w:tc>
        <w:tc>
          <w:tcPr>
            <w:tcW w:w="3600" w:type="dxa"/>
            <w:vAlign w:val="bottom"/>
          </w:tcPr>
          <w:p>
            <w:pPr>
              <w:spacing w:after="0"/>
              <w:rPr>
                <w:sz w:val="20"/>
                <w:szCs w:val="20"/>
                <w:color w:val="auto"/>
              </w:rPr>
            </w:pPr>
          </w:p>
        </w:tc>
      </w:tr>
      <w:tr>
        <w:trPr>
          <w:trHeight w:val="270"/>
        </w:trPr>
        <w:tc>
          <w:tcPr>
            <w:tcW w:w="764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3"/>
                <w:szCs w:val="23"/>
                <w:color w:val="auto"/>
              </w:rPr>
            </w:pPr>
          </w:p>
        </w:tc>
      </w:tr>
      <w:tr>
        <w:trPr>
          <w:trHeight w:val="324"/>
        </w:trPr>
        <w:tc>
          <w:tcPr>
            <w:tcW w:w="764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8"/>
              </w:rPr>
              <w:t>46-5723951</w:t>
            </w:r>
          </w:p>
        </w:tc>
      </w:tr>
      <w:tr>
        <w:trPr>
          <w:trHeight w:val="27"/>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60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70"/>
        </w:trPr>
        <w:tc>
          <w:tcPr>
            <w:tcW w:w="764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60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Louisiana Street, Suite 3300, Houston, Texas 77002</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20" w:type="dxa"/>
            <w:vAlign w:val="bottom"/>
          </w:tcPr>
          <w:p>
            <w:pPr>
              <w:spacing w:after="0"/>
              <w:rPr>
                <w:sz w:val="20"/>
                <w:szCs w:val="20"/>
                <w:color w:val="auto"/>
              </w:rPr>
            </w:pPr>
          </w:p>
        </w:tc>
      </w:tr>
      <w:tr>
        <w:trPr>
          <w:trHeight w:val="270"/>
        </w:trPr>
        <w:tc>
          <w:tcPr>
            <w:tcW w:w="3320" w:type="dxa"/>
            <w:vAlign w:val="bottom"/>
          </w:tcPr>
          <w:p>
            <w:pPr>
              <w:spacing w:after="0"/>
              <w:rPr>
                <w:sz w:val="23"/>
                <w:szCs w:val="23"/>
                <w:color w:val="auto"/>
              </w:rPr>
            </w:pPr>
          </w:p>
        </w:tc>
        <w:tc>
          <w:tcPr>
            <w:tcW w:w="41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(713) 574-1880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270"/>
        </w:trPr>
        <w:tc>
          <w:tcPr>
            <w:tcW w:w="3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9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20" w:type="dxa"/>
            <w:vAlign w:val="bottom"/>
          </w:tcPr>
          <w:p>
            <w:pPr>
              <w:spacing w:after="0"/>
              <w:rPr>
                <w:sz w:val="23"/>
                <w:szCs w:val="23"/>
                <w:color w:val="auto"/>
              </w:rPr>
            </w:pPr>
          </w:p>
        </w:tc>
      </w:tr>
      <w:tr>
        <w:trPr>
          <w:trHeight w:val="270"/>
        </w:trPr>
        <w:tc>
          <w:tcPr>
            <w:tcW w:w="3320" w:type="dxa"/>
            <w:vAlign w:val="bottom"/>
          </w:tcPr>
          <w:p>
            <w:pPr>
              <w:spacing w:after="0"/>
              <w:rPr>
                <w:sz w:val="23"/>
                <w:szCs w:val="23"/>
                <w:color w:val="auto"/>
              </w:rPr>
            </w:pPr>
          </w:p>
        </w:tc>
        <w:tc>
          <w:tcPr>
            <w:tcW w:w="7900" w:type="dxa"/>
            <w:vAlign w:val="bottom"/>
            <w:gridSpan w:val="6"/>
          </w:tcPr>
          <w:p>
            <w:pPr>
              <w:jc w:val="center"/>
              <w:ind w:right="31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24"/>
        </w:trPr>
        <w:tc>
          <w:tcPr>
            <w:tcW w:w="33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NEXT</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5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54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380"/>
              <w:spacing w:after="0"/>
              <w:rPr>
                <w:sz w:val="20"/>
                <w:szCs w:val="20"/>
                <w:color w:val="auto"/>
              </w:rPr>
            </w:pPr>
            <w:r>
              <w:rPr>
                <w:rFonts w:ascii="Wingdings" w:cs="Wingdings" w:eastAsia="Wingdings" w:hAnsi="Wingdings"/>
                <w:sz w:val="18"/>
                <w:szCs w:val="18"/>
                <w:b w:val="1"/>
                <w:bCs w:val="1"/>
                <w:color w:val="auto"/>
                <w:w w:val="99"/>
              </w:rPr>
              <w:t>o</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540"/>
              <w:spacing w:after="0"/>
              <w:rPr>
                <w:sz w:val="20"/>
                <w:szCs w:val="20"/>
                <w:color w:val="auto"/>
              </w:rPr>
            </w:pPr>
            <w:r>
              <w:rPr>
                <w:rFonts w:ascii="Wingdings" w:cs="Wingdings" w:eastAsia="Wingdings" w:hAnsi="Wingdings"/>
                <w:sz w:val="18"/>
                <w:szCs w:val="18"/>
                <w:b w:val="1"/>
                <w:bCs w:val="1"/>
                <w:color w:val="auto"/>
              </w:rPr>
              <w:t>x</w:t>
            </w:r>
          </w:p>
        </w:tc>
        <w:tc>
          <w:tcPr>
            <w:tcW w:w="45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380"/>
              <w:spacing w:after="0"/>
              <w:rPr>
                <w:sz w:val="20"/>
                <w:szCs w:val="20"/>
                <w:color w:val="auto"/>
              </w:rPr>
            </w:pPr>
            <w:r>
              <w:rPr>
                <w:rFonts w:ascii="Wingdings" w:cs="Wingdings" w:eastAsia="Wingdings" w:hAnsi="Wingdings"/>
                <w:sz w:val="18"/>
                <w:szCs w:val="18"/>
                <w:b w:val="1"/>
                <w:bCs w:val="1"/>
                <w:color w:val="auto"/>
                <w:w w:val="83"/>
              </w:rPr>
              <w:t>x</w:t>
            </w:r>
          </w:p>
        </w:tc>
      </w:tr>
      <w:tr>
        <w:trPr>
          <w:trHeight w:val="270"/>
        </w:trPr>
        <w:tc>
          <w:tcPr>
            <w:tcW w:w="21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5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38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157"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2040"/>
        <w:spacing w:after="0" w:line="34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May 3, 2024, the issuer had 257,994,156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20" w:type="dxa"/>
            <w:vAlign w:val="bottom"/>
            <w:gridSpan w:val="5"/>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NEXTDECADE CORPORATION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40" w:type="dxa"/>
            <w:vAlign w:val="bottom"/>
            <w:gridSpan w:val="8"/>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MARCH 31, 2024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20" w:type="dxa"/>
            <w:vAlign w:val="bottom"/>
            <w:gridSpan w:val="5"/>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3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Organizational Structure</w:t>
            </w: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320" w:type="dxa"/>
            <w:vAlign w:val="bottom"/>
            <w:gridSpan w:val="22"/>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03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90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gridSpan w:val="22"/>
          </w:tcPr>
          <w:p>
            <w:pPr>
              <w:ind w:left="120"/>
              <w:spacing w:after="0" w:line="202" w:lineRule="exact"/>
              <w:rPr>
                <w:sz w:val="20"/>
                <w:szCs w:val="20"/>
                <w:color w:val="auto"/>
              </w:rPr>
            </w:pPr>
            <w:r>
              <w:rPr>
                <w:rFonts w:ascii="Times New Roman" w:cs="Times New Roman" w:eastAsia="Times New Roman" w:hAnsi="Times New Roman"/>
                <w:sz w:val="18"/>
                <w:szCs w:val="18"/>
                <w:color w:val="0000FF"/>
              </w:rPr>
              <w:t>Item 1. Consolidated Financial Statements</w:t>
            </w:r>
          </w:p>
        </w:tc>
        <w:tc>
          <w:tcPr>
            <w:tcW w:w="90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0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7780" w:type="dxa"/>
            <w:vAlign w:val="bottom"/>
            <w:gridSpan w:val="10"/>
            <w:shd w:val="clear" w:color="auto" w:fill="CCEEFF"/>
          </w:tcPr>
          <w:p>
            <w:pPr>
              <w:spacing w:after="0"/>
              <w:rPr>
                <w:sz w:val="17"/>
                <w:szCs w:val="17"/>
                <w:color w:val="auto"/>
              </w:rPr>
            </w:pPr>
          </w:p>
        </w:tc>
        <w:tc>
          <w:tcPr>
            <w:tcW w:w="90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90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Stockholders’ Equity and Convertible Preferred Stock</w:t>
            </w:r>
          </w:p>
        </w:tc>
        <w:tc>
          <w:tcPr>
            <w:tcW w:w="90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2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3960" w:type="dxa"/>
            <w:vAlign w:val="bottom"/>
            <w:gridSpan w:val="2"/>
          </w:tcPr>
          <w:p>
            <w:pPr>
              <w:spacing w:after="0"/>
              <w:rPr>
                <w:sz w:val="17"/>
                <w:szCs w:val="17"/>
                <w:color w:val="auto"/>
              </w:rPr>
            </w:pPr>
          </w:p>
        </w:tc>
        <w:tc>
          <w:tcPr>
            <w:tcW w:w="90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16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720" w:type="dxa"/>
            <w:vAlign w:val="bottom"/>
            <w:gridSpan w:val="5"/>
            <w:shd w:val="clear" w:color="auto" w:fill="CCEEFF"/>
          </w:tcPr>
          <w:p>
            <w:pPr>
              <w:spacing w:after="0"/>
              <w:rPr>
                <w:sz w:val="17"/>
                <w:szCs w:val="17"/>
                <w:color w:val="auto"/>
              </w:rPr>
            </w:pPr>
          </w:p>
        </w:tc>
        <w:tc>
          <w:tcPr>
            <w:tcW w:w="90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gridSpan w:val="22"/>
          </w:tcPr>
          <w:p>
            <w:pPr>
              <w:ind w:left="120"/>
              <w:spacing w:after="0" w:line="202"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0000FF"/>
            </w:tcBorders>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280" w:type="dxa"/>
            <w:vAlign w:val="bottom"/>
            <w:tcBorders>
              <w:bottom w:val="single" w:sz="8" w:color="CCEEFF"/>
            </w:tcBorders>
            <w:gridSpan w:val="3"/>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gridSpan w:val="22"/>
          </w:tcPr>
          <w:p>
            <w:pPr>
              <w:ind w:left="120"/>
              <w:spacing w:after="0" w:line="202"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03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gridSpan w:val="22"/>
          </w:tcPr>
          <w:p>
            <w:pPr>
              <w:ind w:left="120"/>
              <w:spacing w:after="0" w:line="202" w:lineRule="exact"/>
              <w:rPr>
                <w:sz w:val="20"/>
                <w:szCs w:val="20"/>
                <w:color w:val="auto"/>
              </w:rPr>
            </w:pPr>
            <w:r>
              <w:rPr>
                <w:rFonts w:ascii="Times New Roman" w:cs="Times New Roman" w:eastAsia="Times New Roman" w:hAnsi="Times New Roman"/>
                <w:sz w:val="18"/>
                <w:szCs w:val="18"/>
                <w:color w:val="0000FF"/>
              </w:rPr>
              <w:t>Item 1. Legal Proceedings</w:t>
            </w:r>
          </w:p>
        </w:tc>
        <w:tc>
          <w:tcPr>
            <w:tcW w:w="8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0" w:type="dxa"/>
            <w:vAlign w:val="bottom"/>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1A. Risk Factors</w:t>
            </w:r>
          </w:p>
        </w:tc>
        <w:tc>
          <w:tcPr>
            <w:tcW w:w="8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1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0000FF"/>
            </w:tcBorders>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7320" w:type="dxa"/>
            <w:vAlign w:val="bottom"/>
            <w:tcBorders>
              <w:bottom w:val="single" w:sz="8" w:color="CCEEFF"/>
            </w:tcBorders>
            <w:gridSpan w:val="9"/>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gridSpan w:val="22"/>
          </w:tcPr>
          <w:p>
            <w:pPr>
              <w:ind w:left="120"/>
              <w:spacing w:after="0" w:line="202"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8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0" w:type="dxa"/>
            <w:vAlign w:val="bottom"/>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 Other Information</w:t>
            </w:r>
          </w:p>
        </w:tc>
        <w:tc>
          <w:tcPr>
            <w:tcW w:w="8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60" w:type="dxa"/>
            <w:vAlign w:val="bottom"/>
            <w:tcBorders>
              <w:top w:val="single" w:sz="8" w:color="0000FF"/>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Item 6. Exhibits</w:t>
            </w:r>
          </w:p>
        </w:tc>
        <w:tc>
          <w:tcPr>
            <w:tcW w:w="8340" w:type="dxa"/>
            <w:vAlign w:val="bottom"/>
            <w:tcBorders>
              <w:top w:val="single" w:sz="8" w:color="CCEEFF"/>
            </w:tcBorders>
            <w:gridSpan w:val="14"/>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03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8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20"/>
        </w:trPr>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4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32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318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depicts our abbreviated organizational structure with references to the names of certain entities discussed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45720</wp:posOffset>
            </wp:positionV>
            <wp:extent cx="5589270" cy="3943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927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“NextDecade,” the “Company,” “we,” “us” and “our” refer to NextDecade Corporation (NASDAQ: NEXT) and its consolidated subsidiaries, and references to “Rio Grande” refer to Rio Grande LNG, LLC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3"/>
        </w:trPr>
        <w:tc>
          <w:tcPr>
            <w:tcW w:w="7960" w:type="dxa"/>
            <w:vAlign w:val="bottom"/>
            <w:vMerge w:val="restart"/>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9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38,241</w:t>
            </w:r>
          </w:p>
        </w:tc>
        <w:tc>
          <w:tcPr>
            <w:tcW w:w="0" w:type="dxa"/>
            <w:vAlign w:val="bottom"/>
          </w:tcPr>
          <w:p>
            <w:pPr>
              <w:spacing w:after="0"/>
              <w:rPr>
                <w:sz w:val="1"/>
                <w:szCs w:val="1"/>
                <w:color w:val="auto"/>
              </w:rPr>
            </w:pPr>
          </w:p>
        </w:tc>
      </w:tr>
      <w:tr>
        <w:trPr>
          <w:trHeight w:val="233"/>
        </w:trPr>
        <w:tc>
          <w:tcPr>
            <w:tcW w:w="7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205,645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256,237</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17,958</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283,918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314,525</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3,158,242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2,437,733</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169,504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170,827</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389,695</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175,699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11,021</w:t>
            </w:r>
          </w:p>
        </w:tc>
        <w:tc>
          <w:tcPr>
            <w:tcW w:w="0" w:type="dxa"/>
            <w:vAlign w:val="bottom"/>
          </w:tcPr>
          <w:p>
            <w:pPr>
              <w:spacing w:after="0"/>
              <w:rPr>
                <w:sz w:val="1"/>
                <w:szCs w:val="1"/>
                <w:color w:val="auto"/>
              </w:rPr>
            </w:pPr>
          </w:p>
        </w:tc>
      </w:tr>
      <w:tr>
        <w:trPr>
          <w:trHeight w:val="268"/>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4,175,883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3,323,801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175,384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243,129</w:t>
            </w:r>
          </w:p>
        </w:tc>
        <w:tc>
          <w:tcPr>
            <w:tcW w:w="0" w:type="dxa"/>
            <w:vAlign w:val="bottom"/>
          </w:tcPr>
          <w:p>
            <w:pPr>
              <w:spacing w:after="0"/>
              <w:rPr>
                <w:sz w:val="1"/>
                <w:szCs w:val="1"/>
                <w:color w:val="auto"/>
              </w:rPr>
            </w:pPr>
          </w:p>
        </w:tc>
      </w:tr>
      <w:tr>
        <w:trPr>
          <w:trHeight w:val="233"/>
        </w:trPr>
        <w:tc>
          <w:tcPr>
            <w:tcW w:w="7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299,264</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stock warrants</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6,851</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505,650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552,387</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warrants</w:t>
            </w:r>
          </w:p>
        </w:tc>
        <w:tc>
          <w:tcPr>
            <w:tcW w:w="2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145,466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145,962</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liability</w:t>
            </w:r>
          </w:p>
        </w:tc>
        <w:tc>
          <w:tcPr>
            <w:tcW w:w="2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66,899</w:t>
            </w:r>
          </w:p>
        </w:tc>
        <w:tc>
          <w:tcPr>
            <w:tcW w:w="0" w:type="dxa"/>
            <w:vAlign w:val="bottom"/>
          </w:tcPr>
          <w:p>
            <w:pPr>
              <w:spacing w:after="0"/>
              <w:rPr>
                <w:sz w:val="1"/>
                <w:szCs w:val="1"/>
                <w:color w:val="auto"/>
              </w:rPr>
            </w:pPr>
          </w:p>
        </w:tc>
      </w:tr>
      <w:tr>
        <w:trPr>
          <w:trHeight w:val="24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2,393,730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1,816,301</w:t>
            </w:r>
          </w:p>
        </w:tc>
        <w:tc>
          <w:tcPr>
            <w:tcW w:w="0" w:type="dxa"/>
            <w:vAlign w:val="bottom"/>
          </w:tcPr>
          <w:p>
            <w:pPr>
              <w:spacing w:after="0"/>
              <w:rPr>
                <w:sz w:val="1"/>
                <w:szCs w:val="1"/>
                <w:color w:val="auto"/>
              </w:rPr>
            </w:pPr>
          </w:p>
        </w:tc>
      </w:tr>
      <w:tr>
        <w:trPr>
          <w:trHeight w:val="233"/>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3,044,846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2,583,367</w:t>
            </w: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480.0 million authorized: 257.5 million and 256.5 million outstanding, respectively</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2.2 million shares and 2.2 million respectively, at cost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0.5 million authorized after designation of the convertible preferred stock: none</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w:t>
            </w: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897,805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693,883</w:t>
            </w:r>
          </w:p>
        </w:tc>
        <w:tc>
          <w:tcPr>
            <w:tcW w:w="0" w:type="dxa"/>
            <w:vAlign w:val="bottom"/>
          </w:tcPr>
          <w:p>
            <w:pPr>
              <w:spacing w:after="0"/>
              <w:rPr>
                <w:sz w:val="1"/>
                <w:szCs w:val="1"/>
                <w:color w:val="auto"/>
              </w:rPr>
            </w:pPr>
          </w:p>
        </w:tc>
      </w:tr>
      <w:tr>
        <w:trPr>
          <w:trHeight w:val="24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(363,426)</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(391,772)</w:t>
            </w:r>
          </w:p>
        </w:tc>
        <w:tc>
          <w:tcPr>
            <w:tcW w:w="0" w:type="dxa"/>
            <w:vAlign w:val="bottom"/>
          </w:tcPr>
          <w:p>
            <w:pPr>
              <w:spacing w:after="0"/>
              <w:rPr>
                <w:sz w:val="1"/>
                <w:szCs w:val="1"/>
                <w:color w:val="auto"/>
              </w:rPr>
            </w:pP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287,923</w:t>
            </w:r>
          </w:p>
        </w:tc>
        <w:tc>
          <w:tcPr>
            <w:tcW w:w="0" w:type="dxa"/>
            <w:vAlign w:val="bottom"/>
          </w:tcPr>
          <w:p>
            <w:pPr>
              <w:spacing w:after="0"/>
              <w:rPr>
                <w:sz w:val="1"/>
                <w:szCs w:val="1"/>
                <w:color w:val="auto"/>
              </w:rPr>
            </w:pPr>
          </w:p>
        </w:tc>
      </w:tr>
      <w:tr>
        <w:trPr>
          <w:trHeight w:val="24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610,940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452,511</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1,131,037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740,434</w:t>
            </w:r>
          </w:p>
        </w:tc>
        <w:tc>
          <w:tcPr>
            <w:tcW w:w="0" w:type="dxa"/>
            <w:vAlign w:val="bottom"/>
          </w:tcPr>
          <w:p>
            <w:pPr>
              <w:spacing w:after="0"/>
              <w:rPr>
                <w:sz w:val="1"/>
                <w:szCs w:val="1"/>
                <w:color w:val="auto"/>
              </w:rPr>
            </w:pPr>
          </w:p>
        </w:tc>
      </w:tr>
      <w:tr>
        <w:trPr>
          <w:trHeight w:val="268"/>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4,175,883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3,323,801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57"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22860</wp:posOffset>
            </wp:positionV>
            <wp:extent cx="1791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26,271</w:t>
            </w: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Development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27,110</w:t>
            </w:r>
          </w:p>
        </w:tc>
      </w:tr>
      <w:tr>
        <w:trPr>
          <w:trHeight w:val="237"/>
        </w:trPr>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(27,110)</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common stock warrant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gain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NextDecade Corporation</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(27,347)</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(34,047)</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basic and 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70"/>
        </w:trPr>
        <w:tc>
          <w:tcPr>
            <w:tcW w:w="8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146,931</w:t>
            </w:r>
          </w:p>
        </w:tc>
      </w:tr>
      <w:tr>
        <w:trPr>
          <w:trHeight w:val="270"/>
        </w:trPr>
        <w:tc>
          <w:tcPr>
            <w:tcW w:w="8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266,886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146,931</w:t>
            </w:r>
          </w:p>
        </w:tc>
      </w:tr>
      <w:tr>
        <w:trPr>
          <w:trHeight w:val="27"/>
        </w:trPr>
        <w:tc>
          <w:tcPr>
            <w:tcW w:w="8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3300" w:type="dxa"/>
            <w:vAlign w:val="bottom"/>
          </w:tcPr>
          <w:p>
            <w:pPr>
              <w:spacing w:after="0"/>
              <w:rPr>
                <w:sz w:val="24"/>
                <w:szCs w:val="24"/>
                <w:color w:val="auto"/>
              </w:rPr>
            </w:pPr>
          </w:p>
        </w:tc>
        <w:tc>
          <w:tcPr>
            <w:tcW w:w="3980" w:type="dxa"/>
            <w:vAlign w:val="bottom"/>
            <w:gridSpan w:val="2"/>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NextDecade Corporation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6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 and Convertible Preferred Stock</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980" w:type="dxa"/>
            <w:vAlign w:val="bottom"/>
            <w:gridSpan w:val="2"/>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(in thousands, unaudited)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580" w:type="dxa"/>
            <w:vAlign w:val="bottom"/>
            <w:tcBorders>
              <w:bottom w:val="single" w:sz="8" w:color="CCEEFF"/>
            </w:tcBorders>
            <w:gridSpan w:val="2"/>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beginning balances</w:t>
            </w:r>
          </w:p>
        </w:tc>
        <w:tc>
          <w:tcPr>
            <w:tcW w:w="3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54,371</w:t>
            </w:r>
          </w:p>
        </w:tc>
      </w:tr>
      <w:tr>
        <w:trPr>
          <w:trHeight w:val="216"/>
        </w:trPr>
        <w:tc>
          <w:tcPr>
            <w:tcW w:w="4580" w:type="dxa"/>
            <w:vAlign w:val="bottom"/>
            <w:gridSpan w:val="2"/>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58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8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38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58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4580" w:type="dxa"/>
            <w:vAlign w:val="bottom"/>
            <w:gridSpan w:val="2"/>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58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r>
      <w:tr>
        <w:trPr>
          <w:trHeight w:val="243"/>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Shares repurchased related to share-based compensation</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4580" w:type="dxa"/>
            <w:vAlign w:val="bottom"/>
            <w:tcBorders>
              <w:bottom w:val="single" w:sz="8" w:color="CCEEFF"/>
            </w:tcBorders>
            <w:gridSpan w:val="2"/>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r>
      <w:tr>
        <w:trPr>
          <w:trHeight w:val="216"/>
        </w:trPr>
        <w:tc>
          <w:tcPr>
            <w:tcW w:w="4580" w:type="dxa"/>
            <w:vAlign w:val="bottom"/>
            <w:gridSpan w:val="2"/>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289,084</w:t>
            </w:r>
          </w:p>
        </w:tc>
      </w:tr>
      <w:tr>
        <w:trPr>
          <w:trHeight w:val="27"/>
        </w:trPr>
        <w:tc>
          <w:tcPr>
            <w:tcW w:w="458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43"/>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34,999</w:t>
            </w:r>
          </w:p>
        </w:tc>
      </w:tr>
      <w:tr>
        <w:trPr>
          <w:trHeight w:val="27"/>
        </w:trPr>
        <w:tc>
          <w:tcPr>
            <w:tcW w:w="458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Receipt of equity commitments</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8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r>
      <w:tr>
        <w:trPr>
          <w:trHeight w:val="237"/>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38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897,805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318,942</w:t>
            </w:r>
          </w:p>
        </w:tc>
      </w:tr>
      <w:tr>
        <w:trPr>
          <w:trHeight w:val="27"/>
        </w:trPr>
        <w:tc>
          <w:tcPr>
            <w:tcW w:w="458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4580" w:type="dxa"/>
            <w:vAlign w:val="bottom"/>
            <w:gridSpan w:val="2"/>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58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(230,140)</w:t>
            </w:r>
          </w:p>
        </w:tc>
      </w:tr>
      <w:tr>
        <w:trPr>
          <w:trHeight w:val="243"/>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income (loss)</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(27,347)</w:t>
            </w:r>
          </w:p>
        </w:tc>
      </w:tr>
      <w:tr>
        <w:trPr>
          <w:trHeight w:val="27"/>
        </w:trPr>
        <w:tc>
          <w:tcPr>
            <w:tcW w:w="4580" w:type="dxa"/>
            <w:vAlign w:val="bottom"/>
            <w:tcBorders>
              <w:bottom w:val="single" w:sz="8" w:color="CCEEFF"/>
            </w:tcBorders>
            <w:gridSpan w:val="2"/>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(257,487)</w:t>
            </w:r>
          </w:p>
        </w:tc>
      </w:tr>
      <w:tr>
        <w:trPr>
          <w:trHeight w:val="216"/>
        </w:trPr>
        <w:tc>
          <w:tcPr>
            <w:tcW w:w="4580" w:type="dxa"/>
            <w:vAlign w:val="bottom"/>
            <w:tcBorders>
              <w:bottom w:val="single" w:sz="8" w:color="CCEEFF"/>
            </w:tcBorders>
            <w:gridSpan w:val="2"/>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6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56,836</w:t>
            </w:r>
          </w:p>
        </w:tc>
      </w:tr>
      <w:tr>
        <w:trPr>
          <w:trHeight w:val="196"/>
        </w:trPr>
        <w:tc>
          <w:tcPr>
            <w:tcW w:w="12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3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38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38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4580" w:type="dxa"/>
            <w:vAlign w:val="bottom"/>
            <w:gridSpan w:val="2"/>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64"/>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 ending balances</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1,131,037</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54,371</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1280" w:type="dxa"/>
            <w:vAlign w:val="bottom"/>
            <w:tcBorders>
              <w:bottom w:val="single" w:sz="8" w:color="auto"/>
            </w:tcBorders>
            <w:shd w:val="clear" w:color="auto" w:fill="CCEEFF"/>
          </w:tcPr>
          <w:p>
            <w:pPr>
              <w:spacing w:after="0"/>
              <w:rPr>
                <w:sz w:val="15"/>
                <w:szCs w:val="15"/>
                <w:color w:val="auto"/>
              </w:rPr>
            </w:pPr>
          </w:p>
        </w:tc>
        <w:tc>
          <w:tcPr>
            <w:tcW w:w="3300" w:type="dxa"/>
            <w:vAlign w:val="bottom"/>
            <w:tcBorders>
              <w:bottom w:val="single" w:sz="8" w:color="auto"/>
            </w:tcBorders>
            <w:shd w:val="clear" w:color="auto" w:fill="CCEEFF"/>
          </w:tcPr>
          <w:p>
            <w:pPr>
              <w:spacing w:after="0"/>
              <w:rPr>
                <w:sz w:val="15"/>
                <w:szCs w:val="15"/>
                <w:color w:val="auto"/>
              </w:rPr>
            </w:pPr>
          </w:p>
        </w:tc>
        <w:tc>
          <w:tcPr>
            <w:tcW w:w="38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Series A-C:</w:t>
            </w:r>
          </w:p>
        </w:tc>
        <w:tc>
          <w:tcPr>
            <w:tcW w:w="3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202,443</w:t>
            </w:r>
          </w:p>
        </w:tc>
      </w:tr>
      <w:tr>
        <w:trPr>
          <w:trHeight w:val="27"/>
        </w:trPr>
        <w:tc>
          <w:tcPr>
            <w:tcW w:w="458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8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r>
      <w:tr>
        <w:trPr>
          <w:trHeight w:val="264"/>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38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209,129</w:t>
            </w: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5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NextDecade Corporation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reconcile net income (loss) to net cash used in operating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common stock warrant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gain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settlements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other non-current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issuance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Receipt of equity commitments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repayment of debt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and equity issuance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repurchased related to share-based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782,110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34,940</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294,478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62,789</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251,398</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per Consolidated Balance Sheets: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205,645</w:t>
            </w:r>
          </w:p>
        </w:tc>
        <w:tc>
          <w:tcPr>
            <w:tcW w:w="0" w:type="dxa"/>
            <w:vAlign w:val="bottom"/>
          </w:tcPr>
          <w:p>
            <w:pPr>
              <w:spacing w:after="0"/>
              <w:rPr>
                <w:sz w:val="1"/>
                <w:szCs w:val="1"/>
                <w:color w:val="auto"/>
              </w:rPr>
            </w:pPr>
          </w:p>
        </w:tc>
      </w:tr>
      <w:tr>
        <w:trPr>
          <w:trHeight w:val="264"/>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251,398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97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NextDecade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2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NextDecade Corporation, a Delaware corporation, is a Houston-based energy company primarily engaged in construction and development activities related to the liquefaction of natural gas and sale of LNG and the capture and storage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We are constructing a natural gas liquefaction and export facility located in the Rio Grande Valley in Brownsville, Texas (the “Rio Grande LNG Facility”), which currently has three liquefaction trains and related infrastructure under construction. The Rio Grande LNG Facility has received Federal Energy Regulatory Commission ("FERC") approval and Department of Energy ("DOE") FTA and non-FTA authorizations for the construction of five liquefaction trains and LNG exports totaling 27 million tonnes per annum ("MTPA"). Liquefaction trains 1 through 3 and related infrastructure are currently under construction and liquefaction trains 4 and 5 at the Rio Grande LNG Facility are currently in development. We are also developing a planned carbon capture and storage ("CCS") project at the Rio Grande LNG Facility and other potential CCS projects that would be located at third-party industrial facilities.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for interim financial information and with Rule 10-01 of Regulation S-X. Accordingly, they do not include all the information and disclosures required by GAAP for complete financial statements and should be read in conjunction with the consolidated financial statements and accompanying notes included in our Annual Report on Form 10-K for the year ended December 31, 2023. In our opinion, all adjustments, consisting only of normal recurring items, which are considered necessary for a fair presentation of the unaudited consolidated financial statements, have been included. The results of operations for the three months ended March 31, 2024 are not necessarily indicative of the operating results for the full year.</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conform prior period information to the current presentation. The reclassifications did not have a material effect on the Company's financial position, results of operations or cash flows.</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management expects operating losses and negative cash flows to continue until the commencement of operations at the Rio Grande LNG Facility and, as a result, the Company will require additional capital to fund its operations and execute its business plan. As of March 31, 2024, the Company had $45.8 million in cash and cash equivalents and available commitments of $26.2 million under a revolving loan facility, which may not be sufficient to fund the Company's planned operations and development activities for future phases of the Rio Grande LNG Facility, including expected pre-FID spending for Train 4, and CCS projects through one year after the date the consolidated financial statements are issued. Accordingly, there is substantial doubt about the Company's ability to continue as a going concern. The analysis used to determine the Company's ability to continue as a going concern does not include cash sources outside of the Company's direct control that management expects to be available within the next twelve months.</w:t>
      </w:r>
    </w:p>
    <w:p>
      <w:pPr>
        <w:spacing w:after="0" w:line="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plans to alleviate the going concern issue by obtaining sufficient funding through additional equity, equity-based or debt instruments or any other means and by managing certain operating and overhead costs. The Company's ability to raise additional capital in the equity and debt markets, should the Company choose to do so, is dependent on a number of factors, including, but not limited to, the market demand for the Company's equity or debt securities, which itself is subject to a number of business risks and uncertainties, as well as the uncertainty that the Company would be able to raise such additional capital at a price or on terms that are satisfactory to the Company. In the event the Company is unable to obtain sufficient additional funding, there can be no assurance that it will be able to continue as a going concern.</w:t>
      </w:r>
    </w:p>
    <w:p>
      <w:pPr>
        <w:spacing w:after="0" w:line="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and do not include any adjustments to the amounts and classification of assets and liabilities that may be necessary in the event the Company can no longer continue as a going concern.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93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 — Property, Plant and Equipment</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7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9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Rio Grande LNG Facility under construction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3,150,790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2,431,389</w:t>
            </w:r>
          </w:p>
        </w:tc>
      </w:tr>
      <w:tr>
        <w:trPr>
          <w:trHeight w:val="24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w:t>
            </w:r>
          </w:p>
        </w:tc>
      </w:tr>
      <w:tr>
        <w:trPr>
          <w:trHeight w:val="27"/>
        </w:trPr>
        <w:tc>
          <w:tcPr>
            <w:tcW w:w="79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3,158,501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2,438,907</w:t>
            </w:r>
          </w:p>
        </w:tc>
      </w:tr>
      <w:tr>
        <w:trPr>
          <w:trHeight w:val="24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7"/>
        </w:trPr>
        <w:tc>
          <w:tcPr>
            <w:tcW w:w="79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3,158,242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2,437,733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Derivatives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July 2023, Rio Grande entered into interest rate swaps agreements (the “Swaps”) to protect against interest rate volatility by hedging a portion of the floating-rate interest payments associated with the credit facilities described in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As of March 31, 2024, Rio Grande has the following Swaps outstanding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 Notional</w:t>
            </w:r>
          </w:p>
        </w:tc>
        <w:tc>
          <w:tcPr>
            <w:tcW w:w="2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3"/>
              </w:rPr>
              <w:t xml:space="preserve">Maturity </w:t>
            </w:r>
            <w:r>
              <w:rPr>
                <w:rFonts w:ascii="Times New Roman" w:cs="Times New Roman" w:eastAsia="Times New Roman" w:hAnsi="Times New Roman"/>
                <w:sz w:val="23"/>
                <w:szCs w:val="23"/>
                <w:b w:val="1"/>
                <w:bCs w:val="1"/>
                <w:color w:val="auto"/>
                <w:w w:val="93"/>
                <w:vertAlign w:val="superscript"/>
              </w:rPr>
              <w:t>(1)</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 Fixed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Variable Interest Rate</w:t>
            </w: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Initial Notional Amount</w:t>
            </w:r>
          </w:p>
        </w:tc>
        <w:tc>
          <w:tcPr>
            <w:tcW w:w="220" w:type="dxa"/>
            <w:vAlign w:val="bottom"/>
          </w:tcPr>
          <w:p>
            <w:pPr>
              <w:spacing w:after="0"/>
              <w:rPr>
                <w:sz w:val="23"/>
                <w:szCs w:val="23"/>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20" w:type="dxa"/>
            <w:vAlign w:val="bottom"/>
            <w:gridSpan w:val="2"/>
            <w:vMerge w:val="continue"/>
          </w:tcPr>
          <w:p>
            <w:pPr>
              <w:spacing w:after="0"/>
              <w:rPr>
                <w:sz w:val="23"/>
                <w:szCs w:val="23"/>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 Paid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Received</w:t>
            </w:r>
          </w:p>
        </w:tc>
        <w:tc>
          <w:tcPr>
            <w:tcW w:w="0" w:type="dxa"/>
            <w:vAlign w:val="bottom"/>
          </w:tcPr>
          <w:p>
            <w:pPr>
              <w:spacing w:after="0"/>
              <w:rPr>
                <w:sz w:val="1"/>
                <w:szCs w:val="1"/>
                <w:color w:val="auto"/>
              </w:rPr>
            </w:pPr>
          </w:p>
        </w:tc>
      </w:tr>
      <w:tr>
        <w:trPr>
          <w:trHeight w:val="237"/>
        </w:trPr>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0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top w:val="single" w:sz="8" w:color="CCEEFF"/>
            </w:tcBorders>
            <w:shd w:val="clear" w:color="auto" w:fill="CCEEFF"/>
          </w:tcPr>
          <w:p>
            <w:pPr>
              <w:spacing w:after="0"/>
              <w:rPr>
                <w:sz w:val="20"/>
                <w:szCs w:val="20"/>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USD - SOFR</w:t>
            </w:r>
          </w:p>
        </w:tc>
        <w:tc>
          <w:tcPr>
            <w:tcW w:w="0" w:type="dxa"/>
            <w:vAlign w:val="bottom"/>
          </w:tcPr>
          <w:p>
            <w:pPr>
              <w:spacing w:after="0"/>
              <w:rPr>
                <w:sz w:val="1"/>
                <w:szCs w:val="1"/>
                <w:color w:val="auto"/>
              </w:rPr>
            </w:pPr>
          </w:p>
        </w:tc>
      </w:tr>
      <w:tr>
        <w:trPr>
          <w:trHeight w:val="27"/>
        </w:trPr>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Swaps have an early mandatory termination date in July 2030.</w:t>
      </w:r>
    </w:p>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values the Swaps using an income-based approach based on observable inputs to the valuation model including interest rate curves, risk adjusted discount rates, credit spreads and other relevant data. The fair value of the Swaps is approximately $205.0 million as of March 31, 2024, and is classified as Level 2 in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commenced the Rio Grande LNG Facility site lease on July 12, 2023 and it has an initial term of 30 years. The Company has the option to renew and extend the term of the lease for up to two consecutive renewal periods of ten years each, but as the Company is not reasonably certain that those options will be exercised, none are recognized as part of our right of use assets and lease liabilities. The Company has also entered into an office space lease which expires on December 31, 2035, and does not include any options for renewal.</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2024 and 2023, our operating lease costs were $3.0 million and $0.3 million, respectively.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Maturity of operating lease liabilities as of March 31, 2024 are as follows (in thousands, except lease term and discount rate):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5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w:t>
            </w:r>
          </w:p>
        </w:tc>
      </w:tr>
      <w:tr>
        <w:trPr>
          <w:trHeight w:val="27"/>
        </w:trPr>
        <w:tc>
          <w:tcPr>
            <w:tcW w:w="44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w:t>
            </w:r>
          </w:p>
        </w:tc>
      </w:tr>
      <w:tr>
        <w:trPr>
          <w:trHeight w:val="27"/>
        </w:trPr>
        <w:tc>
          <w:tcPr>
            <w:tcW w:w="44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199,241</w:t>
            </w:r>
          </w:p>
        </w:tc>
      </w:tr>
      <w:tr>
        <w:trPr>
          <w:trHeight w:val="27"/>
        </w:trPr>
        <w:tc>
          <w:tcPr>
            <w:tcW w:w="448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241,115</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to present value</w:t>
            </w:r>
          </w:p>
        </w:tc>
        <w:tc>
          <w:tcPr>
            <w:tcW w:w="5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(92,676)</w:t>
            </w:r>
          </w:p>
        </w:tc>
      </w:tr>
      <w:tr>
        <w:trPr>
          <w:trHeight w:val="27"/>
        </w:trPr>
        <w:tc>
          <w:tcPr>
            <w:tcW w:w="448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4"/>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148,438</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years</w:t>
            </w:r>
          </w:p>
        </w:tc>
        <w:tc>
          <w:tcPr>
            <w:tcW w:w="5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percent</w:t>
            </w:r>
          </w:p>
        </w:tc>
        <w:tc>
          <w:tcPr>
            <w:tcW w:w="5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931"/>
        </w:trPr>
        <w:tc>
          <w:tcPr>
            <w:tcW w:w="4480" w:type="dxa"/>
            <w:vAlign w:val="bottom"/>
          </w:tcPr>
          <w:p>
            <w:pPr>
              <w:spacing w:after="0"/>
              <w:rPr>
                <w:sz w:val="24"/>
                <w:szCs w:val="24"/>
                <w:color w:val="auto"/>
              </w:rPr>
            </w:pPr>
          </w:p>
        </w:tc>
        <w:tc>
          <w:tcPr>
            <w:tcW w:w="5280" w:type="dxa"/>
            <w:vAlign w:val="bottom"/>
          </w:tcPr>
          <w:p>
            <w:pPr>
              <w:jc w:val="right"/>
              <w:ind w:right="4010"/>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our operating leases is as follows (in thousands):</w:t>
      </w:r>
    </w:p>
    <w:p>
      <w:pPr>
        <w:spacing w:after="0" w:line="167"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36830</wp:posOffset>
            </wp:positionV>
            <wp:extent cx="1637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57" w:lineRule="exact"/>
        <w:rPr>
          <w:sz w:val="20"/>
          <w:szCs w:val="20"/>
          <w:color w:val="auto"/>
        </w:rPr>
      </w:pPr>
    </w:p>
    <w:p>
      <w:pPr>
        <w:ind w:left="9100"/>
        <w:spacing w:after="0"/>
        <w:tabs>
          <w:tab w:leader="none" w:pos="104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1" w:lineRule="exact"/>
        <w:rPr>
          <w:sz w:val="20"/>
          <w:szCs w:val="20"/>
          <w:color w:val="auto"/>
        </w:rPr>
      </w:pPr>
    </w:p>
    <w:p>
      <w:pPr>
        <w:ind w:left="20"/>
        <w:spacing w:after="0"/>
        <w:tabs>
          <w:tab w:leader="none" w:pos="8660" w:val="left"/>
          <w:tab w:leader="none" w:pos="9400" w:val="left"/>
          <w:tab w:leader="none" w:pos="10000" w:val="left"/>
          <w:tab w:leader="none" w:pos="10880" w:val="left"/>
        </w:tabs>
        <w:rPr>
          <w:sz w:val="20"/>
          <w:szCs w:val="20"/>
          <w:color w:val="auto"/>
        </w:rPr>
      </w:pPr>
      <w:r>
        <w:rPr>
          <w:rFonts w:ascii="Times New Roman" w:cs="Times New Roman" w:eastAsia="Times New Roman" w:hAnsi="Times New Roman"/>
          <w:sz w:val="18"/>
          <w:szCs w:val="18"/>
          <w:color w:val="auto"/>
        </w:rPr>
        <w:t>Operating cash flows for amounts paid included in the measurement of operating lease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2,143</w:t>
        <w:tab/>
        <w:t>$</w:t>
      </w:r>
      <w:r>
        <w:rPr>
          <w:sz w:val="20"/>
          <w:szCs w:val="20"/>
          <w:color w:val="auto"/>
        </w:rPr>
        <w:tab/>
      </w:r>
      <w:r>
        <w:rPr>
          <w:rFonts w:ascii="Times New Roman" w:cs="Times New Roman" w:eastAsia="Times New Roman" w:hAnsi="Times New Roman"/>
          <w:sz w:val="17"/>
          <w:szCs w:val="17"/>
          <w:color w:val="auto"/>
        </w:rPr>
        <w:t>290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Accrued Liabilities and Other Current Liabilities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24"/>
                <w:szCs w:val="24"/>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Rio Grande LNG Facility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268,821</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321,997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299,264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Debt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Senior Secured Notes and Loans: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6.67% Senior Secured Notes due 2033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4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6.72% Senior Secured Loans due 2033</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7.11% Senior Secured Loans due 2047</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251,000</w:t>
            </w:r>
          </w:p>
        </w:tc>
        <w:tc>
          <w:tcPr>
            <w:tcW w:w="0" w:type="dxa"/>
            <w:vAlign w:val="bottom"/>
          </w:tcPr>
          <w:p>
            <w:pPr>
              <w:spacing w:after="0"/>
              <w:rPr>
                <w:sz w:val="1"/>
                <w:szCs w:val="1"/>
                <w:color w:val="auto"/>
              </w:rPr>
            </w:pPr>
          </w:p>
        </w:tc>
      </w:tr>
      <w:tr>
        <w:trPr>
          <w:trHeight w:val="24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6.85% Senior Secured Notes due 2047</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Senior Secured Notes and Loans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1,307,000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CD Senior Working Capital Facility</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CD Credit Facility</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484,000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TCF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0" w:type="dxa"/>
            <w:vAlign w:val="bottom"/>
          </w:tcPr>
          <w:p>
            <w:pPr>
              <w:spacing w:after="0"/>
              <w:rPr>
                <w:sz w:val="1"/>
                <w:szCs w:val="1"/>
                <w:color w:val="auto"/>
              </w:rPr>
            </w:pPr>
          </w:p>
        </w:tc>
      </w:tr>
      <w:tr>
        <w:trPr>
          <w:trHeight w:val="24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Credit Facility</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2,442,881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2,393,730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1,816,301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Notes and Loans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6.67% Senior Secured Notes and 6.85% Senior Secured Notes (collectively, the “Senior Secured Notes”) as well as the 6.72% Senior Secured Loans and 7.11% Senior Secured Loans (collectively, the “Senior Secured Loans”) are senior secured obligations of Rio Grande, ranking senior in right of payment to any and all of Rio Grande’s future indebtedness that is subordinated to the Senior Secured Notes and the Senior Secured Loans, and equal in right of payment with Rio Grande’s other existing and future indebtedness that is senior and secured by the same collateral securing the Senior Secured Notes and Senior Secured Loans. The Senior Secured Notes and Senior Secured Loans are secured on a first-priority basis by a security interest in all of the</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membership interests in Rio Grande and substantially all of Rio Grande’s assets, on a pari passu basis with the CD Credit Agreement and the TCF Credit Facility.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938"/>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818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Below is a summary of our committed credit facilities outstanding as of March 31, 2024 (in thousands):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CD Senior Working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 Credit</w:t>
            </w:r>
          </w:p>
        </w:tc>
      </w:tr>
      <w:tr>
        <w:trPr>
          <w:trHeight w:val="238"/>
        </w:trPr>
        <w:tc>
          <w:tcPr>
            <w:tcW w:w="1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 Facility</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CD Credit Facility</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TCF Credit Facility</w:t>
            </w:r>
          </w:p>
        </w:tc>
        <w:tc>
          <w:tcPr>
            <w:tcW w:w="18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Facility</w:t>
            </w:r>
          </w:p>
        </w:tc>
      </w:tr>
      <w:tr>
        <w:trPr>
          <w:trHeight w:val="27"/>
        </w:trPr>
        <w:tc>
          <w:tcPr>
            <w:tcW w:w="46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Facility Size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r>
      <w:tr>
        <w:trPr>
          <w:trHeight w:val="24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balance</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26,881</w:t>
            </w:r>
          </w:p>
        </w:tc>
      </w:tr>
      <w:tr>
        <w:trPr>
          <w:trHeight w:val="243"/>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Letters of credit issued</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commitment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379,375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8,737,000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35,619</w:t>
            </w:r>
          </w:p>
        </w:tc>
      </w:tr>
      <w:tr>
        <w:trPr>
          <w:trHeight w:val="20"/>
        </w:trPr>
        <w:tc>
          <w:tcPr>
            <w:tcW w:w="46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ranking</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Senior secured</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Senior secured</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secured</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Senior secured</w:t>
            </w:r>
          </w:p>
        </w:tc>
      </w:tr>
      <w:tr>
        <w:trPr>
          <w:trHeight w:val="24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on outstanding balance</w:t>
            </w:r>
          </w:p>
        </w:tc>
        <w:tc>
          <w:tcPr>
            <w:tcW w:w="16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SOFR + 2.25%</w:t>
            </w:r>
          </w:p>
        </w:tc>
        <w:tc>
          <w:tcPr>
            <w:tcW w:w="18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SOFR + 2.25%</w:t>
            </w:r>
          </w:p>
        </w:tc>
        <w:tc>
          <w:tcPr>
            <w:tcW w:w="18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SOFR + 2.25%</w:t>
            </w:r>
          </w:p>
        </w:tc>
        <w:tc>
          <w:tcPr>
            <w:tcW w:w="180" w:type="dxa"/>
            <w:vAlign w:val="bottom"/>
          </w:tcPr>
          <w:p>
            <w:pPr>
              <w:spacing w:after="0"/>
              <w:rPr>
                <w:sz w:val="21"/>
                <w:szCs w:val="21"/>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SOFR + 4.50%</w:t>
            </w:r>
          </w:p>
        </w:tc>
      </w:tr>
      <w:tr>
        <w:trPr>
          <w:trHeight w:val="27"/>
        </w:trPr>
        <w:tc>
          <w:tcPr>
            <w:tcW w:w="4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 fees on undrawn balance</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0.68 %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0.68 %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0.68 %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1.35 %</w:t>
            </w:r>
          </w:p>
        </w:tc>
      </w:tr>
      <w:tr>
        <w:trPr>
          <w:trHeight w:val="24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Maturity Date</w:t>
            </w:r>
          </w:p>
        </w:tc>
        <w:tc>
          <w:tcPr>
            <w:tcW w:w="16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Rio Grande under the CD Senior Working Capital Facility and CD Credit Facility are secured by substantially all of the assets of Rio Grande as well as a pledge of all of the membership interests in Rio Grande on a first-priority, pari passu basis with the Senior Secured Notes, the Senior Secured Loans and the loans made under the TCF Credit Facility.</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obligations of Rio Grande under the TCF Credit Agreement are secured by substantially all of the assets of Rio Grande as well as a pledge of all of the membership interests in Rio Grande on a first-priority, pari passu basis with the Senior Secured Notes, the Senior Secured Loans and the loans made under the CD Credit Agreement. Total Energies Holdings SAS (“Total Holdings”) provides contingent credit support to the lenders under the TCF Credit Agreement to pay past due amounts owing from Rio Grande under the agreement upon demand.</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obligations of NextDecade LLC under the Corporate Credit Facility are guaranteed by Rio Grande LNG Super Holdings, LLC, a wholly owned subsidiary of NextDecade LLC, and Rio Grande LNG Intermediate Super Holdings, LLC, a partially owned subsidiary of NextDecade LLC. The Corporate Credit Facility matures at the earlier of two years from the closing date or 10 business days after a positive Final Investment Decision (FID) on Train 4 at the Rio Grande LNG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Debt Covenants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CD Credit Facility and the TCF Credit Facility (collectively, the “Rio Grande Facilities”) include certain covenants and events of default that are supplemental to the covenants and events of default set forth in the P1 Common Terms Agreement and that are customary for project financing facilities of this type, including a requirement that interest rates for a minimum of 75% of the projected principal amount of Senior Secured Debt outstanding be hedged or have fixed interest rates. In addition, certain covenants and events of default in the Rio Grande Facilities are more restrictive than the corresponding covenants and events of default in the P1 Common Terms Agreement, including covenants limiting Rio Grande’s ability to incur additional indebtedness, make certain investments or pay dividends (which are subject to customary conditions set out in the Facilities and certain related financing documents) or distributions on equity interests or subordinated indebtedness or purchase, redeem, or retire equity interests, sell or transfer assets, incur liens, dissolve, liquidate, consolidate, merge, sell, or lease all or substantially all of Rio Grande’s assets or enter into certain LNG sales contracts. The Rio Grande Facilities include a requirement for Rio Grande to maintain a historical debt service coverage ratio of at least 1.10:1.00 at the end of each fiscal quarter starting from the Initial Principal Payment Date, a default of which may be cured with equity contributions.</w:t>
      </w:r>
    </w:p>
    <w:p>
      <w:pPr>
        <w:spacing w:after="0" w:line="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Senior Secured Notes also contain customary terms and events of default and certain covenants that, among other things, limit Rio Grande’s ability to incur additional indebtedness, make certain investments or pay dividends or distributions on equity interests or subordinated indebtedness or purchase, redeem, or retire equity interests, sell or transfer assets, incur liens, dissolve, liquidate, consolidate, merge, or sell or lease all or substantially all of Rio Grande’s assets. The Senior Secured Notes further require Rio Grande to submit certain reports and information to the trustee and holders of the Senior Secured Notes, maintain certain LNG offtake agreements, and maintain a debt service coverage ratio of at least 1.10:1.00 at the end of each fiscal quarter starting from the Initial Principal Payment Date. With respect to certain events,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including a change of control event and receipt of certain proceeds from asset sales, events of loss or liquidated damages, the indenture governing the Senior Secured Notes requires Rio Grande to make an offer to repurchase the Senior Secured Notes at 101% (with respect to a change of control event) or par (with respect to each other event), in each case on the terms specified in the Indenture. The Senior Secured Notes covenants are subject to a number of important limitations and exceptions, including the terms and covenants contained in the P1 Common Terms Agreement.</w:t>
      </w:r>
    </w:p>
    <w:p>
      <w:pPr>
        <w:spacing w:after="0" w:line="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Senior Secured Loan Agreement contains customary terms and events of default and certain covenants that, among other things, limit Rio Grande’s ability to incur additional indebtedness, make certain investments or pay dividends or distributions on equity interests or subordinated indebtedness or purchase, redeem, or retire equity interests, sell or transfer assets, incur liens, dissolve, liquidate, consolidate, merge, or sell or lease all or substantially all of Rio Grande’s assets. The Senior Secured Loan Agreement further requires Rio Grande to submit certain reports and information to the Administrative Agent and the lenders, maintain certain LNG offtake agreements, and maintain a debt service coverage ratio of at least 1.10:1.00 at the end of each fiscal quarter starting from the first quarterly payment date to occur on or after the date that is ninety days following the project completion date. With respect to certain events, including a change of control event and receipt of certain proceeds from asset sales, events of loss or liquidated damages, the Senior Secured Loan Agreement requires Rio Grande to make an offer to the lenders to have their Senior Secured Loans prepaid at 101% (with respect to a change of control event) or par (with respect to each other event), in each case, on the terms specified in the Senior Secured Loan Agreement. The Senior Secured Loan Agreement covenants are subject to a number of important limitations and exceptions, including the terms and covenants contained in the P1 Common Terms Agreement.</w:t>
      </w:r>
    </w:p>
    <w:p>
      <w:pPr>
        <w:spacing w:after="0" w:line="84" w:lineRule="exact"/>
        <w:rPr>
          <w:sz w:val="20"/>
          <w:szCs w:val="20"/>
          <w:color w:val="auto"/>
        </w:rPr>
      </w:pPr>
    </w:p>
    <w:p>
      <w:pPr>
        <w:ind w:right="2240" w:firstLine="648"/>
        <w:spacing w:after="0" w:line="375" w:lineRule="auto"/>
        <w:rPr>
          <w:sz w:val="20"/>
          <w:szCs w:val="20"/>
          <w:color w:val="auto"/>
        </w:rPr>
      </w:pPr>
      <w:r>
        <w:rPr>
          <w:rFonts w:ascii="Times New Roman" w:cs="Times New Roman" w:eastAsia="Times New Roman" w:hAnsi="Times New Roman"/>
          <w:sz w:val="18"/>
          <w:szCs w:val="18"/>
          <w:color w:val="auto"/>
        </w:rPr>
        <w:t xml:space="preserve">As of March 31, 2024, the Company was in compliance with all covenants related to its respective debt agreements. </w:t>
      </w:r>
      <w:r>
        <w:rPr>
          <w:rFonts w:ascii="Times New Roman" w:cs="Times New Roman" w:eastAsia="Times New Roman" w:hAnsi="Times New Roman"/>
          <w:sz w:val="18"/>
          <w:szCs w:val="18"/>
          <w:b w:val="1"/>
          <w:bCs w:val="1"/>
          <w:color w:val="auto"/>
        </w:rPr>
        <w:t>Debt Extinguishment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2024, Rio Grande repaid $176.0 million of the outstanding principal balance of the CD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repayment, Rio Grande recognized an approximate $7.4 million loss on extinguishment.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71"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Principal</w:t>
      </w:r>
    </w:p>
    <w:p>
      <w:pPr>
        <w:spacing w:after="0" w:line="31"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2024 - 2025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2027 - 2028</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Total interest expense, net of capitalized interest, consisted of the following (in thousands):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2200" w:hanging="1207"/>
        <w:spacing w:after="0"/>
        <w:tabs>
          <w:tab w:leader="none" w:pos="2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26,881</w:t>
      </w:r>
    </w:p>
    <w:p>
      <w:pPr>
        <w:spacing w:after="0" w:line="74" w:lineRule="exact"/>
        <w:rPr>
          <w:rFonts w:ascii="Times New Roman" w:cs="Times New Roman" w:eastAsia="Times New Roman" w:hAnsi="Times New Roman"/>
          <w:sz w:val="18"/>
          <w:szCs w:val="18"/>
          <w:color w:val="auto"/>
        </w:rPr>
      </w:pPr>
    </w:p>
    <w:p>
      <w:pPr>
        <w:ind w:left="2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2,416,000</w:t>
      </w:r>
    </w:p>
    <w:p>
      <w:pPr>
        <w:spacing w:after="0" w:line="77" w:lineRule="exact"/>
        <w:rPr>
          <w:sz w:val="20"/>
          <w:szCs w:val="20"/>
          <w:color w:val="auto"/>
        </w:rPr>
      </w:pPr>
    </w:p>
    <w:p>
      <w:pPr>
        <w:ind w:left="1660" w:hanging="667"/>
        <w:spacing w:after="0"/>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2,442,881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60325</wp:posOffset>
            </wp:positionV>
            <wp:extent cx="9429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22860</wp:posOffset>
            </wp:positionV>
            <wp:extent cx="20828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8060" w:space="720"/>
            <w:col w:w="24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per contractual rate</w:t>
            </w:r>
          </w:p>
        </w:tc>
        <w:tc>
          <w:tcPr>
            <w:tcW w:w="37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costs</w:t>
            </w:r>
          </w:p>
        </w:tc>
        <w:tc>
          <w:tcPr>
            <w:tcW w:w="3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cost</w:t>
            </w:r>
          </w:p>
        </w:tc>
        <w:tc>
          <w:tcPr>
            <w:tcW w:w="3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expense, net of capitalized interest</w:t>
            </w:r>
          </w:p>
        </w:tc>
        <w:tc>
          <w:tcPr>
            <w:tcW w:w="33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25,479</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34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6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9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Disclosures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4"/>
        </w:trPr>
        <w:tc>
          <w:tcPr>
            <w:tcW w:w="818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carrying amount and estimated fair value of our debt (in thousands):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60" w:type="dxa"/>
            <w:vAlign w:val="bottom"/>
          </w:tcPr>
          <w:p>
            <w:pPr>
              <w:spacing w:after="0"/>
              <w:rPr>
                <w:sz w:val="24"/>
                <w:szCs w:val="24"/>
                <w:color w:val="auto"/>
              </w:rPr>
            </w:pPr>
          </w:p>
        </w:tc>
        <w:tc>
          <w:tcPr>
            <w:tcW w:w="26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1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1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02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 Level 2</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743,593</w:t>
            </w: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Loans - Level 2</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632,998</w:t>
            </w: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Senior Secured Notes and Senior Secured Loans was calculated based on inputs that are observable in the market or that could be derived from, or corroborated with, observable market data, including interest rates on debt issued by parties with comparable credit ratings.</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CD Credit Facility, TCF Credit Facility and Corporate Credit Facility approximates its respective carrying amount due to its variable interest rate, which approximates a market interest rate.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 Warrants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warrants exercisable to purchase Company common stock in connection with its issuances of Series A Preferred Stock, Series B Preferred Stock and Series C Preferred Stock (collectively, the “Common Stock Warrants”). The Company revalues the Common Stock Warrants at each balance sheet date and recognized a loss of $1.5 million and a loss of $0.4 million during the three months ended March 31, 2024 and 2023, respectively. The Common Stock Warrant liabilities are included in Level 3 of the fair value hierarchy.</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assumptions used in the Monte Carlo simulation model to estimate the fair value of the Common Stock Warrants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4.77</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7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78.4 %</w:t>
            </w:r>
          </w:p>
        </w:tc>
      </w:tr>
      <w:tr>
        <w:trPr>
          <w:trHeight w:val="27"/>
        </w:trPr>
        <w:tc>
          <w:tcPr>
            <w:tcW w:w="7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7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Variable Interest Entity</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Intermediate Holdings and its wholly owned subsidiaries, including Rio Grande, have been formed to undertake Phase 1 of the construction and operation of the Rio Grande LNG Facility. The Company is not obligated to fund losses of Intermediate Holdings, however, the Company's capital account, which would be considered in allocating the net assets of Intermediate Holdings were it to be liquidated, continues to share in losses of Intermediate Holdings. Further, Rio Grande has granted the Company decision-making rights regarding the construction of Phase 1 of the Rio Grande LNG Facility and key aspects of its operation, which may only be terminated by equity holders for cause, via agreements with NextDecade LLC. Due to the foregoing, the Company determined that it holds a variable interest in Rio Grande through Intermediate Holdings and is its primary beneficiary, and therefore consolidates Intermediate Holdings in these Consolidated Financial Statements.</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summarized assets and liabilities (in thousands) of Intermediate Holdings, which are included in the Company's Consolidated Balance Sheets. The assets in the table below may only be used to settle the obligations of Intermediate Holdings. In addition, there is no recourse to us for the consolidated VIE’s liabilities. The assets and liabilities in the table below include assets and liabilities of Intermediate Holdings only and exclude intercompany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between Intermediate Holdings and NextDecade, which are eliminated in the Consolidated Financial Statements of NextDecade.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7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80" w:type="dxa"/>
            <w:vAlign w:val="bottom"/>
            <w:vMerge w:val="continue"/>
          </w:tcPr>
          <w:p>
            <w:pPr>
              <w:spacing w:after="0"/>
              <w:rPr>
                <w:sz w:val="23"/>
                <w:szCs w:val="23"/>
                <w:color w:val="auto"/>
              </w:rPr>
            </w:pPr>
          </w:p>
        </w:tc>
        <w:tc>
          <w:tcPr>
            <w:tcW w:w="4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47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256,237</w:t>
            </w:r>
          </w:p>
        </w:tc>
        <w:tc>
          <w:tcPr>
            <w:tcW w:w="0" w:type="dxa"/>
            <w:vAlign w:val="bottom"/>
          </w:tcPr>
          <w:p>
            <w:pPr>
              <w:spacing w:after="0"/>
              <w:rPr>
                <w:sz w:val="1"/>
                <w:szCs w:val="1"/>
                <w:color w:val="auto"/>
              </w:rPr>
            </w:pPr>
          </w:p>
        </w:tc>
      </w:tr>
      <w:tr>
        <w:trPr>
          <w:trHeight w:val="243"/>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Derivatives</w:t>
            </w:r>
          </w:p>
        </w:tc>
        <w:tc>
          <w:tcPr>
            <w:tcW w:w="4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7"/>
        </w:trPr>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44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235,048</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274,303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3,147,946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2,428,583</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4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370,064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389,695</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4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0" w:type="dxa"/>
            <w:vAlign w:val="bottom"/>
          </w:tcPr>
          <w:p>
            <w:pPr>
              <w:spacing w:after="0"/>
              <w:rPr>
                <w:sz w:val="1"/>
                <w:szCs w:val="1"/>
                <w:color w:val="auto"/>
              </w:rPr>
            </w:pPr>
          </w:p>
        </w:tc>
      </w:tr>
      <w:tr>
        <w:trPr>
          <w:trHeight w:val="263"/>
        </w:trPr>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44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4,100,382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3,259,008</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171,667</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238,582</w:t>
            </w:r>
          </w:p>
        </w:tc>
      </w:tr>
      <w:tr>
        <w:trPr>
          <w:trHeight w:val="27"/>
        </w:trPr>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314,464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288,779</w:t>
            </w:r>
          </w:p>
        </w:tc>
      </w:tr>
      <w:tr>
        <w:trPr>
          <w:trHeight w:val="24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7"/>
        </w:trPr>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488,708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529,915</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131,248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131,901</w:t>
            </w:r>
          </w:p>
        </w:tc>
      </w:tr>
      <w:tr>
        <w:trPr>
          <w:trHeight w:val="27"/>
        </w:trPr>
        <w:tc>
          <w:tcPr>
            <w:tcW w:w="7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derivative liability</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2,368,124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1,816,301</w:t>
            </w:r>
          </w:p>
        </w:tc>
      </w:tr>
      <w:tr>
        <w:trPr>
          <w:trHeight w:val="27"/>
        </w:trPr>
        <w:tc>
          <w:tcPr>
            <w:tcW w:w="7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2,988,080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2,545,016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Net Loss Per Share</w:t>
      </w:r>
    </w:p>
    <w:p>
      <w:pPr>
        <w:spacing w:after="0" w:line="12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diluted net income (loss) per share computations because their effect would have been anti-dilutive were as follows (in thousands):</w:t>
      </w:r>
    </w:p>
    <w:p>
      <w:pPr>
        <w:spacing w:after="0" w:line="10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22860</wp:posOffset>
            </wp:positionV>
            <wp:extent cx="19291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gridSpan w:val="4"/>
          </w:tcPr>
          <w:p>
            <w:pPr>
              <w:ind w:left="87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Unvested stock and stock units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shd w:val="clear" w:color="auto" w:fill="CCEEFF"/>
              </w:rPr>
              <w:t>(1)</w:t>
            </w:r>
          </w:p>
        </w:tc>
        <w:tc>
          <w:tcPr>
            <w:tcW w:w="6860" w:type="dxa"/>
            <w:vAlign w:val="bottom"/>
            <w:gridSpan w:val="2"/>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95"/>
        </w:trPr>
        <w:tc>
          <w:tcPr>
            <w:tcW w:w="230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576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gridSpan w:val="2"/>
            <w:vMerge w:val="continue"/>
            <w:shd w:val="clear" w:color="auto" w:fill="CCEEFF"/>
          </w:tcPr>
          <w:p>
            <w:pPr>
              <w:spacing w:after="0"/>
              <w:rPr>
                <w:sz w:val="8"/>
                <w:szCs w:val="8"/>
                <w:color w:val="auto"/>
              </w:rPr>
            </w:pPr>
          </w:p>
        </w:tc>
        <w:tc>
          <w:tcPr>
            <w:tcW w:w="14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9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63"/>
        </w:trPr>
        <w:tc>
          <w:tcPr>
            <w:tcW w:w="8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potentially dilutive common shares</w:t>
            </w:r>
          </w:p>
        </w:tc>
        <w:tc>
          <w:tcPr>
            <w:tcW w:w="1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17" w:lineRule="exact"/>
        <w:rPr>
          <w:sz w:val="20"/>
          <w:szCs w:val="20"/>
          <w:color w:val="auto"/>
        </w:rPr>
      </w:pPr>
    </w:p>
    <w:p>
      <w:pPr>
        <w:ind w:left="260" w:right="20" w:hanging="252"/>
        <w:spacing w:after="0" w:line="229" w:lineRule="auto"/>
        <w:tabs>
          <w:tab w:leader="none" w:pos="24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unvested shares containing performance conditions to the extent that the underlying performance conditions are satisfied based on actual results as of the respective dates.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Share-based Compensation</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granted shares of Company common stock, restricted Company common stock and restricted stock units to employees, consultants and non-employee directors under our 2017 Omnibus Incentive Plan, as amended (the “2017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consisted of the following (in thousands):</w:t>
      </w:r>
    </w:p>
    <w:p>
      <w:pPr>
        <w:spacing w:after="0" w:line="16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awards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awards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our cumulative loss position, we have established a full valuation allowance against our deferred tax assets at March 31, 2024 and December 31, 2023. Due to our full valuation allowance, we have not recorded a provision for federal or state income taxes during either of the three months ended March 31, 2024 or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legal actions that arise in the ordinary course of business. As of March 31, 2024, management is not aware of any claims or legal actions that, separately or in the aggregate, are likely to have a material adverse effect on the Company’s financial position, results of operations or cash flows, although the Company cannot guarantee that a material adverse effect will not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Supplemental 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supplemental disclosure of cash flow information (in thousands):</w:t>
      </w:r>
    </w:p>
    <w:p>
      <w:pPr>
        <w:spacing w:after="0" w:line="16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for acquisition of property, plant and equipment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166,893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for acquisition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settlement of warrant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fixed asset retirements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for acquisition of other non-current assets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settlement of paid-in-kind dividends on convertible preferred stock</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r>
      <w:tr>
        <w:trPr>
          <w:trHeight w:val="891"/>
        </w:trPr>
        <w:tc>
          <w:tcPr>
            <w:tcW w:w="81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and Section 21E of the Securities Exchange Act of 1934, as amended (the “Exchange Act”). All statements other than statements of historical fact contained in this Quarterly Report on Form 10-Q, including statements regarding our future results of operations and financial position, strategy and plans, and our expectations for future operations, are forward-looking statements. The words “anticipate,” “contemplate,” “estimate,” “expect,” “project,” “plan,” “intend,” “believe,” “may,” “might,” “will,” “would,” “could,” “should,” “can have,” “likely,” “continue,” “design” and other words and terms of similar expressions, are intended to identify forward-looking statements.</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strategy, short-term and long-term business operations and objectives and financial needs.</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believe that the expectations reflected in our forward-looking statements are reasonable, actual results could differ from those expressed in our forward-looking statements. Our future financial position and results of operations, as well as any forward-looking statements are subject to change and inherent risks and uncertainties, including those described in the section titled “Risk Factors” in our most recent Annual Report on Form 10-K as supplemented by Item 1A of this Quarterly Report on Form 10-Q. You should consider our forward-looking statements in light of a number of factors that may cause actual results to vary from our forward-looking statements including, but not limited to:</w:t>
      </w:r>
    </w:p>
    <w:p>
      <w:pPr>
        <w:spacing w:after="0" w:line="75" w:lineRule="exact"/>
        <w:rPr>
          <w:sz w:val="20"/>
          <w:szCs w:val="20"/>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the development of our liquefied natural gas (“LNG”) liquefaction and export project and any carbon capture and storage projects (“CCS projects”) we may develop and the timing of that progress;</w:t>
      </w:r>
    </w:p>
    <w:p>
      <w:pPr>
        <w:spacing w:after="0" w:line="53"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the development, construction and operation of the first three liquefaction trains and related common facilities (“Phase 1”) of the multi-plant integrated natural gas and liquefaction and LNG export terminal facility to be located at the Port of Brownsville in southern Texas (the “Rio Grande LNG Facility”);</w:t>
      </w:r>
    </w:p>
    <w:p>
      <w:pPr>
        <w:spacing w:after="0" w:line="6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frequency of cash distributions available to us from our joint venture owning Phase 1 of the Rio Grande LNG Facility;</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the development of subsequent liquefaction trains at the Rio Grande LNG Facility;</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sufficient cash flow to satisfy Rio Grande's significant debt service obligations or to refinance such obligations ahead of their maturity;</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Rio Grande's debt agreements that limit flexibility in operating its business;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increasing the cost of servicing Rio Grande's indebtedness;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contractors to successfully complete the Rio Grande LNG Facility, the pipeline to supply gas to the Rio Grande LNG Facility and any CCS projects we develop;</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implement CCS projects;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debt and equity financing in the future, including any refinancing of outstanding indebtedness, on commercially acceptable terms and to continue as a going concern;</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estimated costs for the Rio Grande LNG Facility and CCS projects;</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operational characteristics of the Rio Grande LNG Facility and CCS projects, when completed, including amounts of liquefaction capacities and amount of CO2 captured and stored, and any differences in such operational characteristics from our expectations;</w:t>
      </w:r>
    </w:p>
    <w:p>
      <w:pPr>
        <w:spacing w:after="0" w:line="5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risks, operational hazards and regulatory approvals applicable to our LNG and carbon capture and storage development, construction and operation activities and those of our third-party contractors and counterparties;</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 which may lessen our anticipated competitive advantage or demand for our offerings;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demand for and price of LNG;</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LNG vessels worldwide;</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and regulations relating to the LNG and carbon capture industries, including environmental laws and regulations that impose significant compliance costs and liabilities;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implementation of carbon pricing regimes aimed at reducing greenhouse gas emissions;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development and maturation of emissions reduction credit markets;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existing or proposed carbon tax incentive regimes;</w:t>
      </w:r>
    </w:p>
    <w:p>
      <w:pPr>
        <w:spacing w:after="0" w:line="117" w:lineRule="exact"/>
        <w:rPr>
          <w:rFonts w:ascii="Times New Roman" w:cs="Times New Roman" w:eastAsia="Times New Roman" w:hAnsi="Times New Roman"/>
          <w:sz w:val="18"/>
          <w:szCs w:val="18"/>
          <w:color w:val="auto"/>
        </w:rPr>
      </w:pPr>
    </w:p>
    <w:p>
      <w:pPr>
        <w:jc w:val="both"/>
        <w:ind w:left="820" w:hanging="407"/>
        <w:spacing w:after="0" w:line="261"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pandemics, including the 2019 novel coronavirus (“COVID-19”) pandemic, the Russia-Ukraine conflict, the Israel-Hamas conflict, other sources of volatility in the energy markets and their impact on our business and operating results, including any disruptions in our operations or development of the Rio Grande LNG Facility and the health and safety of our employees, and on our customers, the global economy and the demand for LNG or carbon capture;</w:t>
      </w:r>
    </w:p>
    <w:p>
      <w:pPr>
        <w:spacing w:after="0" w:line="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doing business in and having counterparties in foreign countries;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Nasdaq Capital Market or another securities exchange or quotation medium;</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the businesses in which we are engaged;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rising interest rates;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 applications for customary tax incentives.</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Should one or more of the foregoing risks or uncertainties materialize in a way that negatively impacts us, or should the underlying assumptions prove incorrect, our actual results may vary materially from those anticipated in our forward-looking statements, and our business, financial condition, and results of operations could be materially and adversely affected.</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made as of the date of this Quarterly Report on Form 10-Q. You should not rely upon forward-looking statements as predictions of future events. In addition, neither we nor any other person assumes responsibility for the accuracy and completeness of any of these forward-looking statements.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required by applicable law, we do not undertake any obligation to publicly correct or update any forward-looking statements. All forward-looking statements attributable to us are expressly qualified in their entirety by these cautionary statements as well as others made in our most recent Annual Report on Form 10-K as well as other filings we have made and will make with the Securities and Exchange Commission (the “SEC”) and our public communications. You should evaluate all forward-looking statements made by us in the context of these risks and uncertainties.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and Significant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Business</w:t>
      </w:r>
    </w:p>
    <w:p>
      <w:pPr>
        <w:spacing w:after="0" w:line="12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NextDecade Corporation, a Delaware corporation, is a Houston-based energy company primarily engaged in construction and development activities related to the liquefaction of natural gas and sale of LNG and the capture and storage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We are constructing a natural gas liquefaction and export facility located in the Rio Grande Valley in Brownsville, Texas (the “Rio Grande LNG Facility”), which currently has three liquefaction trains and related infrastructure under construction. The Rio Grande LNG Facility has received Federal Energy Regulatory Commission ("FERC") approval and Department of Energy ("DOE") FTA and non-FTA authorizations for the construction of five liquefaction trains and LNG exports totaling 27 million tonnes per annum ("MTPA"). Liquefaction trains 1 through 3 and related infrastructure are currently under construction and liquefaction trains 4 and 5 at the Rio Grande LNG Facility are currently in development. We are also developing a planned carbon capture and storage ("CCS") project at the Rio Grande LNG Facility and other potential CCS projects that would be located at third-party industrial facilities.</w:t>
      </w:r>
    </w:p>
    <w:p>
      <w:pPr>
        <w:spacing w:after="0" w:line="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constructing the Rio Grande LNG Facility on the north shore of the Brownsville Ship Channel. The site is located on 984 acres of land which has been leased long-term and includes 15 thousand feet of frontage on the Brownsville Ship Channel. We believe the site is advantaged due to its proximity to abundant natural gas resources in the Permian Basin and Eagle Ford Shale, access to an uncongested waterway for vessel loading, and location in a region that has historically been subject to fewer and less severe weather events relative to other locations along the US Gulf Coast. The Rio Grande LNG Facility has been permitted by the FERC and authorized by the DOE to export up to 27 MTPA of LNG from up to five liquefaction trains.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2023, our partially owned subsidiary Rio Grande LNG, LLC ("Rio Grande") commenced construction on the first three liquefaction trains and related infrastructure (“Phase 1”) of the Rio Grande LNG Facility following a positive final investment decision (“FID”) and the closing of project financing by Rio Grande, which owns Phase 1 of the Rio Grande LNG Facility. Construction will be completed by Bechtel Energy Inc. (“Bechtel”) under fully wrapped, lump-sum turnkey engineering, procurement, and construction (“EPC”) contracts, and will utilize APCI liquefaction technology, which is the predominant liquefaction technology utilized globally.</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a joint venture agreement with equity partners for ownership of Rio Grande, we expect to receive up to approximately 20.8% of distributions of available cash generated from Phase 1 operations, provided that a majority of the cash distributions to which we are otherwise entitled will be paid for any distribution period only after our equity partners receive an agreed distribution threshold in respect of such distribution period and certain other deficit payments from prior distribution periods, if any, are made.</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Rio Grande has entered into long-term LNG Sale and Purchase Agreements (“SPAs”) for over 90% of the expected Phase 1 nameplate LNG production capacity, pursuant to which Rio Grande customers are generally required to pay a fixed fee with respect to the contracted volumes, irrespective of whether they cancel or suspend deliveries of LNG cargoes. These SPAs create a stable foundation of predictable, long-term cash flows to Rio Grande. We believe our SPAs are attractive to our customers for several reasons, including long-term reliable supply, volumes to support growing demand for LNG and to replace customers’ contracts with legacy LNG suppliers, diversification of supply portfolios in terms of geography, price indexation, delivery points, and/or tenor, flexibility of volumes with no destination restrictions, and compatibility of some of our customers’ ESG goals with our expected lower carbon intensity LNG and planned CCS project at the Rio Grande LNG Facility.</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Rio Grande expects to sell any commissioning LNG volumes and operational LNG volumes in excess of SPA volumes into the LNG market through spot, short-term, and medium-term agreements. Rio Grande has entered into certain time charter agreements and expects to enter into additional time charter agreements with vessel owners to provide shipping capacity for LNG sales related to its existing DES SPA, commissioning volumes, and expected portfolio volumes.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Rio Grande will provide a number of services in support of producing and selling LNG from the Rio Grande LNG Facility pursuant to its SPAs, including natural gas feedstock procurement and transportation, liquefaction, and delivery of LNG to customers either at the loading dock of the Rio Grande LNG Facility or at the customer’s global delivery points via chartered vessels.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focused on constructing and operating the Rio Grande LNG Facility safely, efficiently, reliably, and sustainably. We seek to provide a less carbon-intensive and more sustainable LNG through project design, responsibly sourced gas, proposed net-zero power, and our planned CCS project at the Rio Grande LNG Facility. We also seek to make additional measurable contributions toward a net-zero future by developing CCS projects to reduce greenhouse gas emissions at other industrial facilities.</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“NextDecade,” “the Company,” “we,” “us,” and “our” refer to NextDecade Corporation and its consolidated subsidiaries, and references to “Rio Grande” refer to Rio Grande LNG, LLC and its subsidiaries.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Recent Developments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developments since January 1, 2024 and through the filing date of this 10-Q include the following: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Construction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EPC contracts with Bechtel, Phase 1 progress is tracked for Train 1, Train 2, and the common facilities on a combined basis and Train 3 on a separate basis. As of March 2024:</w:t>
      </w:r>
    </w:p>
    <w:p>
      <w:pPr>
        <w:spacing w:after="0" w:line="54" w:lineRule="exact"/>
        <w:rPr>
          <w:sz w:val="20"/>
          <w:szCs w:val="20"/>
          <w:color w:val="auto"/>
        </w:rPr>
      </w:pPr>
    </w:p>
    <w:p>
      <w:pPr>
        <w:jc w:val="both"/>
        <w:ind w:left="1300" w:right="2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project completion percentage for Trains 1 and 2 and the common facilities of the Rio Grande LNG Facility was 18.2%, which is in line with the schedule under the EPC contract. Within this project completion percentage, engineering was 54.9% complete, procurement was 34.4% complete, and construction was 1.9% complete.</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project completion percentage for Train 3 of the Rio Grande LNG Facility was 6.9%, based on preliminary schedules, which is also in line with the schedule under the EPC contract. Within this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project completion percentage, engineering was 5.2% complete, procurement was 16.7% complete, and construction was 0.0% complete.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w:t>
      </w:r>
    </w:p>
    <w:p>
      <w:pPr>
        <w:spacing w:after="0" w:line="119" w:lineRule="exact"/>
        <w:rPr>
          <w:sz w:val="20"/>
          <w:szCs w:val="20"/>
          <w:color w:val="auto"/>
        </w:rPr>
      </w:pPr>
    </w:p>
    <w:p>
      <w:pPr>
        <w:jc w:val="both"/>
        <w:ind w:left="1300" w:hanging="320"/>
        <w:spacing w:after="0" w:line="25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the Company's wholly-owned subsidiary NextDecade LLC entered into a credit agreement that provides for a $50 million senior secured revolving credit facility with additional capacity of $12.5 million to cover interest. Borrowings under the revolving credit facility may be used for general corporate purposes, including development costs related to Train 4 at the Rio Grande LNG Facility. Borrowings bear interest at SOFR or the base rate plus an applicable margin as defined in the credit agreement. The revolving credit facility and interest term loan mature at the earlier of two years from the closing date of 10 business days after a positive FID on Train 4.</w:t>
      </w:r>
    </w:p>
    <w:p>
      <w:pPr>
        <w:spacing w:after="0" w:line="79"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February 2024, Rio Grande issued and sold $190 million of senior secured notes in a private placement transaction to finance a portion of Phase 1. The Senior secured notes were issued on February 9, 2024 and resulted in a reduction in the commitments outstanding under Rio Grande's existing bank credit facilities for Phase 1. These senior secured notes will be amortized over a period of approximately 18 years beginning in mid-2029, with a final maturity in June 2047. The senior secured notes bear interest at a fixed rate of 6.85% and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to Rio Grande's existing senior secured financings.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Rio Grande LNG Facility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Liquefaction Facilities Overview</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constructing the Rio Grande LNG Facility on the north shore of the Brownsville Ship Channel. The site is located on 984 acres of land which has been leased long-term and includes 15 thousand feet of frontage on the Brownsville Ship Channel. We believe the site is advantaged due to its proximity to abundant natural gas resources in the Permian Basin and Eagle Ford Shale, access to an uncongested waterway for vessel loading, and location in a region that has historically been subject to fewer and less severe weather events relative to other locations along the US Gulf Coast. The Rio Grande LNG Facility has been permitted by the FERC and authorized by the DOE to export up to 27 MTPA of LNG from up to five liquefaction trains.</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2023, construction commenced on Phase 1 of the Rio Grande LNG Facility following a positive FID and the closing of project financing by Rio Grande, which owns Phase 1 of the Rio Grande LNG Facility. Phase 1 includes three liquefaction trains with a total expected nameplate capacity of approximately 17.6 MTPA, two 180,000 cubic meter full containment LNG storage tanks, two jetty berthing structures designed to load LNG carriers up to 216,000 cubic meters in capacity, and associated site infrastructure and common facilities including feed gas pretreatment facilities, electric and water utilities, two totally enclosed ground flares for the LNG tanks and marine facilities, two ground flares for the liquefaction trains, roads, levees surrounding the entire site, and warehouses, administrative, operations control room and maintenance buildings.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2024, progress on Trains 1 through 3 is in line with the schedule under the EPC Contracts. The civil works program has continued to progress via the deep soil mixing program, as Train 1 deep soil mixing is approaching completion and rigs are preparing to move to Train 2 for production and Train 3 for testing. Concrete foundation pours for Train 1 are underway. Delivery of key materials to site has begun, including large bore above-ground pipe and structural steel. Additionally, LNG tank piling has progressed significantly, berth 1 piling work commenced, and levee construction continues.</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Bechtel has made meaningful progress on procurement for Phase 1, with a focus on completing purchase orders for critical and high-value items early in the construction process. As of March 2024, Bechtel has issued approximately 90% of the total purchase orders for Trains 1 and 2 based on dollar value and approximately 84% of the total purchase orders for Train 3 based on dollar value.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LNG Sale and Purchase Agreements</w:t>
      </w:r>
    </w:p>
    <w:p>
      <w:pPr>
        <w:spacing w:after="0" w:line="2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Phase 1 of the Rio Grande LNG Facility, Rio Grande has entered into long-term LNG SPAs with nine creditworthy counterparties for aggregate volumes of approximately 16.2 MTPA of LNG, which is over 90% of the expected Phase 1 nameplate LNG production capacity. The SPAs have a weighted average term of 19.2 years. Under these SPAs, the customers will purchase LNG from Rio Grande for a price consisting of a fixed fee per MMBtu of LNG plus a variable fee per MMBtu of LNG, with the variable fees structured to cover the expected cost of natural gas plus fuel and other sourcing costs to produce LNG. In certain circumstances, customers may elect to cancel or suspend deliveries of LNG cargoes, in which case the customers would still be required to pay the fixed fee with respect to cargoes that are not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delivered. A portion of the fixed fee under each SPA will be subject to annual adjustment for inflation. The SPAs and contracted volumes to be made available under the SPAs are not tied to a specific train; however, the commencement of the term of each SPA is tied to a specified train.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Rio Grande’s portfolio of LNG SPAs for Phase 1 of the Rio Grande LNG Facility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0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Volume (MTPA)</w:t>
            </w:r>
          </w:p>
        </w:tc>
        <w:tc>
          <w:tcPr>
            <w:tcW w:w="100" w:type="dxa"/>
            <w:vAlign w:val="bottom"/>
            <w:tcBorders>
              <w:bottom w:val="single" w:sz="8" w:color="CCEEFF"/>
            </w:tcBorders>
          </w:tcPr>
          <w:p>
            <w:pPr>
              <w:spacing w:after="0"/>
              <w:rPr>
                <w:sz w:val="23"/>
                <w:szCs w:val="23"/>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Tenor (years)</w:t>
            </w:r>
          </w:p>
        </w:tc>
        <w:tc>
          <w:tcPr>
            <w:tcW w:w="10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Delivery Model </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TotalEnergies</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43"/>
        </w:trPr>
        <w:tc>
          <w:tcPr>
            <w:tcW w:w="5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Shell NA LNG LLC (“Shell”)</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ENN LNG Singapore Pte Ltd.</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43"/>
        </w:trPr>
        <w:tc>
          <w:tcPr>
            <w:tcW w:w="5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ENGIE S.A.</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China Gas Hongda Energy Trading Co., LTD</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43"/>
        </w:trPr>
        <w:tc>
          <w:tcPr>
            <w:tcW w:w="5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Guangdong Energy Group</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DES</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Exxon Mobil LNG Asia Pacific</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43"/>
        </w:trPr>
        <w:tc>
          <w:tcPr>
            <w:tcW w:w="5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Galp Trading S.A.</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Itochu</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FOB</w:t>
            </w:r>
          </w:p>
        </w:tc>
        <w:tc>
          <w:tcPr>
            <w:tcW w:w="0" w:type="dxa"/>
            <w:vAlign w:val="bottom"/>
          </w:tcPr>
          <w:p>
            <w:pPr>
              <w:spacing w:after="0"/>
              <w:rPr>
                <w:sz w:val="1"/>
                <w:szCs w:val="1"/>
                <w:color w:val="auto"/>
              </w:rPr>
            </w:pPr>
          </w:p>
        </w:tc>
      </w:tr>
      <w:tr>
        <w:trPr>
          <w:trHeight w:val="218"/>
        </w:trPr>
        <w:tc>
          <w:tcPr>
            <w:tcW w:w="5200" w:type="dxa"/>
            <w:vAlign w:val="bottom"/>
            <w:tcBorders>
              <w:top w:val="single" w:sz="8" w:color="auto"/>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8"/>
                <w:szCs w:val="18"/>
                <w:color w:val="auto"/>
              </w:rPr>
            </w:pPr>
          </w:p>
        </w:tc>
        <w:tc>
          <w:tcPr>
            <w:tcW w:w="19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16.15</w:t>
            </w:r>
          </w:p>
        </w:tc>
        <w:tc>
          <w:tcPr>
            <w:tcW w:w="10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19.2 years</w:t>
            </w: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2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 average</w:t>
            </w: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FOB - free on board; DES - delivered ex-ship</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these SPAs is currently effective, and deliveries of LNG under these SPAs will commence on the respective Date of First Commercial Delivery (“DFCD”), which is primarily tied to the substantial completion or guaranteed substantial completion dates of specific trains as defined in each SPA. In aggregate, approximately 14.65 MTPA of Phase 1 Henry Hub-linked SPAs have average fixed fees, unadjusted for inflation, totaling approximately $1.8 billion expected to be paid annually.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of Uncontracted Volumes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Rio Grande expects to sell any commissioning LNG volumes and operational LNG volumes in excess of SPA volumes into the LNG market through spot, short-term, and medium-term agreements. Rio Grande has entered into certain time charter agreements and expects to enter into additional time charter agreements with vessel owners to provide shipping capacity for LNG sales related to its existing DES SPA, commissioning volumes, and expected portfolio volumes.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Procurement and Construction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EPC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Rio Grande entered into fully wrapped, lump-sum turnkey contracts with Bechtel, a well-established and reputable LNG engineering and construction firm, for the engineering, procurement, and construction of Phase 1 at the Rio Grande LNG Facility, under which Bechtel has generally guaranteed cost, performance, and schedule. Under the Phase 1 EPC contracts, Bechtel is responsible for the engineering, procurement, construction,commissioning, and startup of three liquefaction trains and related infrastructure.</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12, 2023, Rio Grande issued final notice to proceed to Bechtel under the EPC contracts for Phase 1. Total expected capital costs for Phase 1 are estimated to be approximately $18.0 billion, including estimated owner’s costs, contingencies, and financing costs, and including amounts spent prior to FID under limited notices to proceed.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Transportation and Supply</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Rio Grande has entered into a firm transportation agreement for capacity on the Rio Bravo Pipeline to transport natural gas feedstock to the Rio Grande LNG Facility. Subject to the closing of a transaction announced on March 26, 2024, the Rio Bravo Pipeline will be developed by Whistler LLC, a joint venture between WhiteWater, I Squared, MPLX LP, and Enbridge, and will be constructed and operated by WhiteWater. The Rio Bravo Pipeline will provide Rio Grande access to purchase natural gas supplies in the Agua Dulce area and will connect to six regional intra and interstate pipelines, giving Rio Grande access to prolific gas production from the Permian Basin and Eagle Ford Shale and providing significant flexibility to obtain competitively priced natural gas feedstock.</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Rio Bravo Pipeline is under development and is expected to be constructed and completed prior to the start of commissioning of Train 1 at the Rio Grande LNG Facility. Rio Grande has also entered into an agreement for capacity on an interruptible basis with Enbridge’s Valley Crossing Pipeline to provide redundant capacity for commissioning and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proposed and are in the process of executing on a substantial and diversified natural gas feedstock sourcing strategy to spread risk exposure across multiple contracts, counterparties, and pricing hubs. We expect to enter into gas supply arrangements with a wide range of suppliers, and we also expect to leverage trading platforms and exchanges to lock in natural gas supply prices and/or hedge risk. Certain of our LNG offtake counterparties have the option to sell to Rio Grande some or all of the natural gas required to produce their respective contracted LNG volumes pursuant to structured options which define how much volume can be supplied and how much notice must be provided to switch to and from self-sourcing.</w:t>
      </w:r>
    </w:p>
    <w:p>
      <w:pPr>
        <w:spacing w:after="0" w:line="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our proximity to major reserve basins and shale plays, increasing pipeline capacity in the area, a significant amount of natural gas production and infrastructure investment, as well as our existing contacts and discussions with some of the largest regional operators, represent key elements of a comprehensive and effective feed gas strategy.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Final Investment Decision of Train 4 and Train 5 at the Rio Grande LNG Facility</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make a positive final investment decision and commencement of construction of Train 4 and related infrastructure, and subsequently Train 5 and related infrastructure, at the Rio Grande LNG Facility, subject to, among other things, finalizing and entering into EPC contracts, entering into appropriate commercial arrangements, and obtaining adequate financing to construct each train and related infrastructure.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undertaken certain pre-FID activities for Train 4, including the FEED and EPC contract processes with Bechtel.</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affiliate of TotalEnergies SE (“TotalEnergies”) has an LNG purchase option of 1.5 MTPA for Train 4. If TotalEnergies exercises this purchase option, the Company currently estimates that an additional approximately 3 MTPA of LNG must be contracted on a long-term basis for Train 4 prior to making a positive FID. The Company continues to advance commercial discussions with multiple potential counterparties and expects to finalize commercial arrangements for Train 4 in the coming months to support a positive FID on Train 4.</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expects to finance construction of Train 4 utilizing a combination of debt and equity funding. The Company expects to enter into bank facilities for the debt portion of the funding. In connection with consummating the Rio Grande Phase 1 equity joint venture, the Company's equity partners each have options to invest in Train 4 equity, which, if exercised, would provide approximately 60% of the equity funding required for Train 4. Inclusive of these options, NextDecade currently expects to fund 40% of the equity commitments for Train 4 and to have an initial economic interest of 40% in Train 4, increasing to 60% after its equity partners achieve certain returns on their investments in Train 4. The Company expects to complete the financing process for Train 4 after the EPC contract and commercial arrangements are finalized.</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to begin the EPC contracting process for Train 5 after a positive FID on Train 4. TotalEnergies also holds an LNG purchase option for 1.5 MTPA for Train 5, and the Rio Grande Phase 1 equity partners have options to invest in Train 5 equity which are materially equivalent to their options to participate in Train 4 equity.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Update</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21, 2023, the FERC issued the order on remand (the “Remand Order”) reaffirming the order issued by FERC on November 22, 2019, authorizing the siting, construction and operation of the Rio Grande LNG Facility (the “Order”). The Remand Order reaffirmed that the Rio Grande LNG Facility is not inconsistent with the public interest under the Natural Gas Act Section 3.</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Remand Order was issued as a result of the decision of the U.S. Court of Appeals for the District of Columbia dated August 3, 2021, which denied all petitions filed by parties who filed requests for re-hearing of the Order, except for two technical issues dealing with environmental justice and GHG emissions, which were remanded to the FERC for further consideration.</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Parties sought rehearing of the Remand Order, which FERC denied by operation of law on June 22,2023, and subsequently issued a substantive order on the merits upholding the conclusions in the Remand Order, and its reaffirmation of the FERC Order. On August 17, 2023, parties petitioned the D.C. Circuit for review of the Remand Order, which is still pending. Oral arguments have been scheduled for May 17, 2024.</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24, 2023, a motion was filed with FERC to stay construction of the Rio Grande LNG Facility, which FERC denied on January 24,2024. On February 2, 2024, parties filed a motion with the D.C. Circuit to stay construction of the Rio Grande LNG Facility. On March 1, 2024 the motion to stay was denied by the D.C. Circuit.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expect the appeal process to have any material negative impact on construction or operations of Phase 1 or our expected Train 4 and Train 5 expansions at the Rio Grande LNG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Activities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required to maintain corporate and general and administrative functions to serve our business activities described above. We are also in various stages of developing other projects, such as Train 4 and Train 5 at the Rio Grande LNG Facility, additional liquefaction expansions at the Rio Grande LNG Facility, a CCS project at the Rio Grande LNG Facilities, and potential CCS projects at third party industrial facilities.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Credit Facility</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2024, our wholly-owned subsidiary NextDecade LLC entered into a credit agreement that provides for a $50 million senior secured revolving credit facility with additional capacity of $12.5 million to cover interest. Borrowings under the revolving credit facility may be used for general corporate purposes, including development costs related to Train 4 at the Rio Grande LNG Facility. Borrowings bear interest at SOFR or the base rate plus an applicable margin as defined in the credit agreement. The revolving credit facility and interest term loan mature at the earlier of two years from the closing date or 10 business days after a positive FID on Train 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Rio Grande Senior Secured Notes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February 2024, Rio Grande issued and sold $190 million of senior secured notes to finance a portion of Phase 1. The senior secured notes were issued on February 9, 2024 and resulted in a reduction in the commitments outstanding under Rio Grande's existing bank credit facilities for Phase 1. These senior secured notes will be amortized over a period of approximately 18 years beginning in mid-2029, with a final maturity in June 2047. The senior secured notes bear interest at a fixed rate of 6.85%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Rio Grande's existing senior secured financings.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FID on Phase 1 and the project financing obtained by Rio Grande, NextDecade and Rio Grande operate with independent capital structures. Although our sources and uses are presented from a consolidated standpoint, certain restrictions under debt and equity agreements limit the ability of NextDecade and Rio Grande to use and distribute cash. Rio Grande is required to deposit all cash received under its debt agreements into restricted accounts. The usage or withdrawal of such cash is restricted to the payment of obligations related to Phase 1 and other restricted payments, and such cash and capital resources are not available to service the obligations of NextDecade.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 FID Rio Grande Financing</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FID on Phase 1 of the Rio Grande LNG Facility, Rio Grande obtained approximately $6.2 billion in equity capital commitments, inclusive of commitments from the NextDecade Member, entered into senior secured non-recourse bank credit facilities of $11.6 billion, consisting of $11.1 billion in construction term loans and a $500 million working capital facility, and closed a $700 million senior secured non-recourse private notes offering. Rio Grande will utilize these capital resources to fund the approximately $18.0 billion total cost of Phase 1, including EPC cost, which was approximately $12.0 billion at FID, and to fund owner’s costs and contingencies, dredging for the Brazos Island Harbor Channel Improvement Project, conservation of more than 4,000 acres of wetland and wildlife habitat area and installation of utilities, and interest during construction and other financing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Near Term Liquidity and Capital Resources of NextDecade Corporation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FID on Phase 1 of the Rio Grande LNG Facility, our primary cash needs historically were funding development activities in support of the Rio Grande LNG Facility and our CCS projects, which included payments of initial direct costs of the Rio Grande site lease and expenses in support of engineering and design activities, regulatory approvals and compliance, commercial and marketing activities and corporate overhead. We spent approximately $97.7 million on such development activities year-to-date through FID on July 12, 2023, which we funded through our cash on hand and proceeds from the issuances of equity and equity-based securities. Following the FID on Phase 1 of the Rio Grande LNG Facility, costs associated with the Phase 1 EPC agreements, Rio Grande site lease, and other Phase 1 related costs are being funded by debt and equity proceeds received by Rio Grande.</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our businesses and assets are under construction or in development, we have not historically generated significant cash flow from operations, nor do we expect to do so until liquefaction trains at the Rio Grande LNG Facility begin operating or until we install CCS systems at third-party industrial facilities. We intend to fund development activities for the foreseeable future with cash and cash equivalents on hand and through the sale of additional equity, equity-based 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debt securities in us or in our subsidiaries. There can be no assurance that we will succeed in selling equity or equity-based securities or, if successful, that the capital we raise will not be expensive or dilutive to stockholders.</w:t>
      </w:r>
    </w:p>
    <w:p>
      <w:pPr>
        <w:spacing w:after="0" w:line="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as of and for the three months ended March 31, 2024 have been prepared on the basis that we will continue as a going concern, which contemplates the realization of assets and satisfaction of liabilities in the normal course of business. Based on our balance of cash and cash equivalents of $45.8 million in cash and cash equivalents and available commitments under a revolving loan facility of $26.2 million at March 31, 2024, there is substantial doubt about our ability to continue as a going concern within one year after the date that our consolidated financial statements were issued. Our ability to continue as a going concern will depend on managing certain operating and overhead costs and our ability to raise capital through equity, equity-based or debt financings. The consolidated financial statements do not include any adjustments that might result from the outcome of this uncertainty, which could have a material adverse effect on our financial condition.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capital raising activities since January 1, 2024 have included the following:</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2024, NextDecade LLC entered into a Credit and Guaranty Agreement by and among NextDecade LLC, as borrower, Rio Grande LNG Super Holdings, LLC and Rio Grande LNG Intermediate Super Holdings, LLC, as subsidiary guarantors, MUFG Bank, Ltd., as the administrative agent (the “Administrative Agent”), Wilmington Trust, National Association, as the collateral agent (the “Collateral Agent”), MUFG Bank, Ltd., as coordinating lead arranger and bookrunner and the financial institutions party thereto as lenders. The Credit and Guarantee Agreement provides for the following facilities:</w:t>
      </w:r>
    </w:p>
    <w:p>
      <w:pPr>
        <w:spacing w:after="0" w:line="75" w:lineRule="exact"/>
        <w:rPr>
          <w:sz w:val="20"/>
          <w:szCs w:val="20"/>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facility (the “Revolving Loans”) in an amount up to $50.0 million available to NextDecade LLC to be used for (a) general corporate purposes and working capital requirements of NextDecade LLC and its subsidiaries, including development costs related to the fourth liquefaction train and related common facilities at the Rio Grande LNG Facility, and (b) certain permitted payments on behalf of the Company and its subsidiaries; and</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loan facility (the “Interest Loans” and together with the Revolving Loans, the “Loans”) in an amount up to $12.5 million available to NextDecade LLC to pay interest obligations, fees, and expenses due and payable under the Credit Agreement and the other finance documents.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Term Liquidity and Capital Resources of NextDecade Corporation</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not receive significant cash flows from Phase 1 of the Rio Grande LNG Facility until it is operational, and the commercial operation date for the first train of Phase 1 is expected to occur in late 2027 based on the schedule under the EPC contracts. Any future phases of development at the Rio Grande LNG Facility and CCS projects will similarly take an extended period of time to develop, construct and become operational and will require significant capital deployment.</w:t>
      </w:r>
    </w:p>
    <w:p>
      <w:pPr>
        <w:spacing w:after="0" w:line="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expect that the long-term capital requirements for future phases of development at the Rio Grande LNG Facility and any CCS projects will be financed predominantly through the proceeds from future debt, equity-based, and equity offerings by us or our subsidiaries. As a result, our business success will depend, to a significant extent, upon our ability to obtain financing required to fund future phases of development and construction at the Rio Grande LNG Facility and any CCS projects, to bring them into operation on a commercially viable basis and to finance any required increases in staffing, operating and expansion costs during that process. There can be no assurance that we will succeed in securing additional debt and/or equity financing in the future to fund future phases of development and construction at the Rio Grande LNG Facility or complete any CCS projects or, if successful, that the capital we raise will not be expensive or dilutive to stockholders. Additionally, if these types of financing are not available, we will be required to seek alternative sources of financing, which may not be available on terms acceptable to us, if at all.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39"/>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85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The following table summarizes the sources and uses of our cash for the periods presented (in thousands):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8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(23,185)</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 cash flows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(23,403)</w:t>
            </w:r>
          </w:p>
        </w:tc>
      </w:tr>
      <w:tr>
        <w:trPr>
          <w:trHeight w:val="27"/>
        </w:trPr>
        <w:tc>
          <w:tcPr>
            <w:tcW w:w="8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782,110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34,940</w:t>
            </w:r>
          </w:p>
        </w:tc>
      </w:tr>
      <w:tr>
        <w:trPr>
          <w:trHeight w:val="23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(11,648)</w:t>
            </w:r>
          </w:p>
        </w:tc>
      </w:tr>
      <w:tr>
        <w:trPr>
          <w:trHeight w:val="27"/>
        </w:trPr>
        <w:tc>
          <w:tcPr>
            <w:tcW w:w="8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62,789</w:t>
            </w:r>
          </w:p>
        </w:tc>
      </w:tr>
      <w:tr>
        <w:trPr>
          <w:trHeight w:val="26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251,398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6"/>
              </w:rPr>
              <w:t>51,141</w:t>
            </w:r>
          </w:p>
        </w:tc>
      </w:tr>
      <w:tr>
        <w:trPr>
          <w:trHeight w:val="21"/>
        </w:trPr>
        <w:tc>
          <w:tcPr>
            <w:tcW w:w="12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cash outflows during the three months ended March 31, 2024 and 2023 were $28.8 million and $23.2 million, respectively. The increase in operating cash outflows during the three months ended March 31, 2024 compared to the three months ended March 31, 2023 was primarily due to an increase in employee costs and professional fees paid to consultants as we construct Phase 1 of the Rio Grande LNG Facility and continue to develop subsequent phases.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Investing cash outflows during the three months ended March 31, 2024 and 2023 were $796.4 million and $23.4 million, respectively. Investing cash outflows primarily consist of cash used in the construction of Phase 1 of the Rio Grande LNG Facility. The increase in investing cash outflows during the three months ended March 31, 2023 compared to the same period in 2023 was primarily due to a positive FID on Phase 1 of the Rio Grande LNG Facility and the mobilization of the Bechtel workforce that began in July 2023 and carried into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Financing cash inflows during the three months ended March 31, 2024 and 2023 were $782.1 million and $34.9 million, respectively. Financing cash inflows during the 2024 period are primarily comprised of $768.9 million of proceeds from borrowings under Rio Grande's credit facilities and its issuance of senior secured notes and proceeds from the receipt of equity commitments in Intermediate Holdings of $194.6 million, partially offset by debt and equity issuance costs of $4.3 million and repayment of $176.0 million of debt using proceeds of the senior secured notes offering during the 2024 period. Financing cash inflows during the 2023 period were primarily comprised of the sale of Company common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939"/>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88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costs, expenses and other income for the periods indicated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12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76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r>
      <w:tr>
        <w:trPr>
          <w:trHeight w:val="27"/>
        </w:trPr>
        <w:tc>
          <w:tcPr>
            <w:tcW w:w="76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7"/>
        </w:trPr>
        <w:tc>
          <w:tcPr>
            <w:tcW w:w="76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(11,007)</w:t>
            </w:r>
          </w:p>
        </w:tc>
      </w:tr>
      <w:tr>
        <w:trPr>
          <w:trHeight w:val="27"/>
        </w:trPr>
        <w:tc>
          <w:tcPr>
            <w:tcW w:w="76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common stock warrant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7"/>
        </w:trPr>
        <w:tc>
          <w:tcPr>
            <w:tcW w:w="76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gain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258,872</w:t>
            </w: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(25,479)</w:t>
            </w:r>
          </w:p>
        </w:tc>
      </w:tr>
      <w:tr>
        <w:trPr>
          <w:trHeight w:val="27"/>
        </w:trPr>
        <w:tc>
          <w:tcPr>
            <w:tcW w:w="76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7"/>
        </w:trPr>
        <w:tc>
          <w:tcPr>
            <w:tcW w:w="76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NextDecade Corporation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214,122</w:t>
            </w: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158,429</w:t>
            </w:r>
          </w:p>
        </w:tc>
      </w:tr>
      <w:tr>
        <w:trPr>
          <w:trHeight w:val="27"/>
        </w:trPr>
        <w:tc>
          <w:tcPr>
            <w:tcW w:w="76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r>
      <w:tr>
        <w:trPr>
          <w:trHeight w:val="26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62,393</w:t>
            </w:r>
          </w:p>
        </w:tc>
      </w:tr>
      <w:tr>
        <w:trPr>
          <w:trHeight w:val="20"/>
        </w:trPr>
        <w:tc>
          <w:tcPr>
            <w:tcW w:w="12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income attributable to common stockholders was $28.3 million, or $0.11 per common share (basic and diluted) for the three months ended March 31, 2024 compared to a net loss of $34.0 million, or $(0.23) per common share (basic and diluted), for the three months ended March 31, 2023. The $62.4 million decrease in net loss was primarily a result of derivative gain, partially offset by increases in general and administrative expense, net income attributable to non-controlling interest, loss on debt extinguishment and interest expense, net of capitalized interest.</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Derivative gain during the three months ended March 31, 2024 of $258.9 million is due to the reversal of derivative liabilities recognized at December 31, 2023 and an increase in forward SOFR rates from December 31, 2023 to March 31, 2024 relative to the fixed interest rates under Rio Grande's interest rate swap agreements.</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during the three months ended March 31, 2024 increased approximately $6.2 million compared to the same period in 2023 primarily due to an increase in professional fees, employee costs and share-based compensation expense.</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 during the three months ended March 31, 2024 of $158.4 million is due to derivative gains of $258.9 million, partially offset by expenses of approximately $71.1 million.</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net of capitalized interest during the three months ended March 31, 2024 of $25.5 million represents total interest cost on debt of $53.4 million, net of capitalized interest of $28.1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of America (“GAAP”) requires management to make certain estimates and assumptions that affect the amounts reported in the Consolidated Financial Statements and the accompanying notes. There have been no significant changes to our critical accounting estimates from those disclosed in our Annual Report on Form 10-K for the year ended 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and are not required to provide the information under this item.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required to be disclosed by us in the reports filed by us under the Exchange Act, is recorded, processed, summarized and reported within the time periods specified in the SEC’s rules and forms. As of the end of the period covered by this report, we evaluated, under the supervision and with the participation of our management, including our Chief Executive Officer and our Chief Financial Officer, the effectiveness of our disclosure controls and procedures pursuant to Rule 13a-15 of the Exchange Act. Based on that evaluation, our Chief Executive Officer and our Chief Financial Officer concluded that, as of March 31, 2024, our disclosure controls and procedures were effective.</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most recent fiscal quarter, there have been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jc w:val="center"/>
        <w:ind w:right="92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jc w:val="center"/>
        <w:ind w:right="95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the Company's Annual Report on Form 10-K for the fiscal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repurchases for the three months ended March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 Part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81"/>
        </w:trPr>
        <w:tc>
          <w:tcPr>
            <w:tcW w:w="4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134"/>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vMerge w:val="restart"/>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vMerge w:val="restart"/>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Paid Per Share </w:t>
            </w:r>
            <w:r>
              <w:rPr>
                <w:rFonts w:ascii="Times New Roman" w:cs="Times New Roman" w:eastAsia="Times New Roman" w:hAnsi="Times New Roman"/>
                <w:sz w:val="23"/>
                <w:szCs w:val="23"/>
                <w:b w:val="1"/>
                <w:bCs w:val="1"/>
                <w:color w:val="auto"/>
                <w:vertAlign w:val="superscript"/>
              </w:rPr>
              <w:t>(2)</w:t>
            </w:r>
          </w:p>
        </w:tc>
        <w:tc>
          <w:tcPr>
            <w:tcW w:w="100" w:type="dxa"/>
            <w:vAlign w:val="bottom"/>
            <w:vMerge w:val="restart"/>
          </w:tcPr>
          <w:p>
            <w:pPr>
              <w:spacing w:after="0"/>
              <w:rPr>
                <w:sz w:val="4"/>
                <w:szCs w:val="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Announced Plans</w:t>
            </w:r>
          </w:p>
        </w:tc>
        <w:tc>
          <w:tcPr>
            <w:tcW w:w="100" w:type="dxa"/>
            <w:vAlign w:val="bottom"/>
            <w:vMerge w:val="restart"/>
          </w:tcPr>
          <w:p>
            <w:pPr>
              <w:spacing w:after="0"/>
              <w:rPr>
                <w:sz w:val="4"/>
                <w:szCs w:val="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4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hanging="652"/>
        <w:spacing w:after="0" w:line="229"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shares of Company common stock surrendered to us by participants in the 2017 Plan to settle the participants’ personal tax liabilities that resulted from the lapsing of restrictions on awards made to the participants under the 2017 Plan.</w:t>
      </w:r>
    </w:p>
    <w:p>
      <w:pPr>
        <w:spacing w:after="0" w:line="90" w:lineRule="exact"/>
        <w:rPr>
          <w:rFonts w:ascii="Times New Roman" w:cs="Times New Roman" w:eastAsia="Times New Roman" w:hAnsi="Times New Roman"/>
          <w:sz w:val="23"/>
          <w:szCs w:val="23"/>
          <w:color w:val="auto"/>
          <w:vertAlign w:val="superscript"/>
        </w:rPr>
      </w:pPr>
    </w:p>
    <w:p>
      <w:pPr>
        <w:ind w:left="660" w:hanging="652"/>
        <w:spacing w:after="0" w:line="229"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price paid per share of Company common stock was based on the closing trading price of such stock on the dates on which we repurchased shares of Company common stock from the participants under the 2017 Plan.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Trading Plans of Directors and Executive Officers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2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shd w:val="clear" w:color="auto" w:fill="CCEEFF"/>
          </w:tcPr>
          <w:p>
            <w:pPr>
              <w:spacing w:after="0"/>
              <w:rPr>
                <w:sz w:val="22"/>
                <w:szCs w:val="22"/>
                <w:color w:val="auto"/>
              </w:rPr>
            </w:pPr>
          </w:p>
        </w:tc>
        <w:tc>
          <w:tcPr>
            <w:tcW w:w="9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114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80" w:type="dxa"/>
            <w:vAlign w:val="bottom"/>
            <w:tcBorders>
              <w:top w:val="single" w:sz="8" w:color="auto"/>
              <w:bottom w:val="single" w:sz="8" w:color="0000FF"/>
            </w:tcBorders>
            <w:gridSpan w:val="6"/>
          </w:tcPr>
          <w:p>
            <w:pPr>
              <w:spacing w:after="0" w:line="20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Second Amended and Restated Certificate of Incorporation of NextDecade Corporation, dated July 24, 2017(Incorporated by reference to</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6"/>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Exhibit 3.1 of the Registrant’s Current Report on Form 8-K, filed July 28, 2017).</w:t>
              </w:r>
            </w:hyperlink>
          </w:p>
        </w:tc>
      </w:tr>
      <w:tr>
        <w:trPr>
          <w:trHeight w:val="48"/>
        </w:trPr>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14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980" w:type="dxa"/>
            <w:vAlign w:val="bottom"/>
            <w:tcBorders>
              <w:bottom w:val="single" w:sz="8" w:color="0000FF"/>
            </w:tcBorders>
            <w:gridSpan w:val="6"/>
            <w:shd w:val="clear" w:color="auto" w:fill="CCEEFF"/>
          </w:tcPr>
          <w:p>
            <w:pPr>
              <w:spacing w:after="0" w:line="20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Bylaws of NextDecade Corporation, as amended March 3, 2021(Incorporated by reference to Exhibit 4.2 of the</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980" w:type="dxa"/>
            <w:vAlign w:val="bottom"/>
            <w:gridSpan w:val="6"/>
            <w:shd w:val="clear" w:color="auto" w:fill="CCEEFF"/>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Registrant’s Registration Statement on Form S-1 filed June 24, 2022).</w:t>
              </w:r>
            </w:hyperlink>
          </w:p>
        </w:tc>
      </w:tr>
      <w:tr>
        <w:trPr>
          <w:trHeight w:val="48"/>
        </w:trPr>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4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bottom w:val="single" w:sz="8" w:color="0000FF"/>
            </w:tcBorders>
            <w:gridSpan w:val="6"/>
          </w:tcPr>
          <w:p>
            <w:pPr>
              <w:spacing w:after="0" w:line="20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Certificate of Designations of Series A Convertible Preferred Stock, dated August 9, 2018 (Incorporated by reference to Exhibit 4.3 of the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6"/>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Registrant’s Registration Statement on Form S-3, filed December 20, 2018).</w:t>
              </w:r>
            </w:hyperlink>
          </w:p>
        </w:tc>
      </w:tr>
      <w:tr>
        <w:trPr>
          <w:trHeight w:val="48"/>
        </w:trPr>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4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960" w:type="dxa"/>
            <w:vAlign w:val="bottom"/>
            <w:tcBorders>
              <w:bottom w:val="single" w:sz="8" w:color="0000FF"/>
            </w:tcBorders>
            <w:gridSpan w:val="5"/>
            <w:shd w:val="clear" w:color="auto" w:fill="CCEEFF"/>
          </w:tcPr>
          <w:p>
            <w:pPr>
              <w:spacing w:after="0" w:line="202"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Certificate of Designations of Series B Convertible Preferred Stock, dated September 28, 2018 (Incorporated by reference to Exhibit 3.4</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of the Registrant’s Quarterly Report on Form 10-Q, filed November 9, 2018).</w:t>
              </w:r>
            </w:hyperlink>
          </w:p>
        </w:tc>
        <w:tc>
          <w:tcPr>
            <w:tcW w:w="4400" w:type="dxa"/>
            <w:vAlign w:val="bottom"/>
            <w:tcBorders>
              <w:bottom w:val="single" w:sz="8" w:color="CCEEFF"/>
            </w:tcBorders>
            <w:gridSpan w:val="3"/>
            <w:shd w:val="clear" w:color="auto" w:fill="CCEEFF"/>
          </w:tcPr>
          <w:p>
            <w:pPr>
              <w:spacing w:after="0"/>
              <w:rPr>
                <w:sz w:val="21"/>
                <w:szCs w:val="21"/>
                <w:color w:val="auto"/>
              </w:rPr>
            </w:pPr>
          </w:p>
        </w:tc>
      </w:tr>
      <w:tr>
        <w:trPr>
          <w:trHeight w:val="891"/>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3.5</w:t>
            </w:r>
          </w:p>
        </w:tc>
        <w:tc>
          <w:tcPr>
            <w:tcW w:w="99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Certificate of Designations of Series C Convertible Preferred Stock, dated March 17, 2021 (Incorporated by reference to Exhibit 3.1 of the</w:t>
              </w:r>
            </w:hyperlink>
          </w:p>
        </w:tc>
      </w:tr>
      <w:tr>
        <w:trPr>
          <w:trHeight w:val="196"/>
        </w:trPr>
        <w:tc>
          <w:tcPr>
            <w:tcW w:w="126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Registrant’s Current Report on Form 8-K, filed March 18, 2021).</w:t>
              </w:r>
            </w:hyperlink>
          </w:p>
        </w:tc>
      </w:tr>
      <w:tr>
        <w:trPr>
          <w:trHeight w:val="48"/>
        </w:trPr>
        <w:tc>
          <w:tcPr>
            <w:tcW w:w="1260" w:type="dxa"/>
            <w:vAlign w:val="bottom"/>
          </w:tcPr>
          <w:p>
            <w:pPr>
              <w:spacing w:after="0"/>
              <w:rPr>
                <w:sz w:val="4"/>
                <w:szCs w:val="4"/>
                <w:color w:val="auto"/>
              </w:rPr>
            </w:pPr>
          </w:p>
        </w:tc>
        <w:tc>
          <w:tcPr>
            <w:tcW w:w="33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26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7"/>
              </w:rPr>
              <w:t>3.6</w:t>
            </w:r>
          </w:p>
        </w:tc>
        <w:tc>
          <w:tcPr>
            <w:tcW w:w="9980" w:type="dxa"/>
            <w:vAlign w:val="bottom"/>
            <w:tcBorders>
              <w:bottom w:val="single" w:sz="8" w:color="0000FF"/>
            </w:tcBorders>
            <w:gridSpan w:val="18"/>
            <w:shd w:val="clear" w:color="auto" w:fill="CCEEFF"/>
          </w:tcPr>
          <w:p>
            <w:pPr>
              <w:spacing w:after="0" w:line="20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Amendment to Certificate of Designations of Series A Convertible Preferred Stock, dated July 12, 2019 (Incorporated by</w:t>
              </w:r>
            </w:hyperlink>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0000FF"/>
            </w:tcBorders>
            <w:gridSpan w:val="5"/>
            <w:shd w:val="clear" w:color="auto" w:fill="CCEEFF"/>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reference to Exhibit 3.1 of the Registrant’s Current Report on Form 8-K, filed July 15, 2019).</w:t>
              </w:r>
            </w:hyperlink>
          </w:p>
        </w:tc>
        <w:tc>
          <w:tcPr>
            <w:tcW w:w="3260" w:type="dxa"/>
            <w:vAlign w:val="bottom"/>
            <w:tcBorders>
              <w:bottom w:val="single" w:sz="8" w:color="CCEEFF"/>
            </w:tcBorders>
            <w:gridSpan w:val="13"/>
            <w:shd w:val="clear" w:color="auto" w:fill="CCEEFF"/>
          </w:tcPr>
          <w:p>
            <w:pPr>
              <w:spacing w:after="0"/>
              <w:rPr>
                <w:sz w:val="21"/>
                <w:szCs w:val="21"/>
                <w:color w:val="auto"/>
              </w:rPr>
            </w:pPr>
          </w:p>
        </w:tc>
      </w:tr>
      <w:tr>
        <w:trPr>
          <w:trHeight w:val="203"/>
        </w:trPr>
        <w:tc>
          <w:tcPr>
            <w:tcW w:w="12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7"/>
              </w:rPr>
              <w:t>3.7</w:t>
            </w:r>
          </w:p>
        </w:tc>
        <w:tc>
          <w:tcPr>
            <w:tcW w:w="996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Certificate of Amendment to Certificate of Designations of Series B Convertible Preferred Stock, dated July 12, 2019 (Incorporated by</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reference to Exhibit 3.2 of the Registrant’s Current Report on Form 8-K, filed July 15, 2019).</w:t>
              </w:r>
            </w:hyperlink>
          </w:p>
        </w:tc>
      </w:tr>
      <w:tr>
        <w:trPr>
          <w:trHeight w:val="48"/>
        </w:trPr>
        <w:tc>
          <w:tcPr>
            <w:tcW w:w="1260" w:type="dxa"/>
            <w:vAlign w:val="bottom"/>
          </w:tcPr>
          <w:p>
            <w:pPr>
              <w:spacing w:after="0"/>
              <w:rPr>
                <w:sz w:val="4"/>
                <w:szCs w:val="4"/>
                <w:color w:val="auto"/>
              </w:rPr>
            </w:pPr>
          </w:p>
        </w:tc>
        <w:tc>
          <w:tcPr>
            <w:tcW w:w="33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26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7"/>
              </w:rPr>
              <w:t>3.8</w:t>
            </w:r>
          </w:p>
        </w:tc>
        <w:tc>
          <w:tcPr>
            <w:tcW w:w="9960" w:type="dxa"/>
            <w:vAlign w:val="bottom"/>
            <w:tcBorders>
              <w:bottom w:val="single" w:sz="8" w:color="0000FF"/>
            </w:tcBorders>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Certificate of Increase to Certificate of Designations of Series A Convertible Preferred Stock of NextDecade Corporation, dated July 15,</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2019 (Incorporated by reference to Exhibit 3.7 of the Registrant's Quarterly Report on Form 10-Q, filed August 6, 2019).</w:t>
              </w:r>
            </w:hyperlink>
          </w:p>
        </w:tc>
        <w:tc>
          <w:tcPr>
            <w:tcW w:w="1260" w:type="dxa"/>
            <w:vAlign w:val="bottom"/>
            <w:tcBorders>
              <w:bottom w:val="single" w:sz="8" w:color="CCEEFF"/>
            </w:tcBorders>
            <w:gridSpan w:val="10"/>
            <w:shd w:val="clear" w:color="auto" w:fill="CCEEFF"/>
          </w:tcPr>
          <w:p>
            <w:pPr>
              <w:spacing w:after="0"/>
              <w:rPr>
                <w:sz w:val="21"/>
                <w:szCs w:val="21"/>
                <w:color w:val="auto"/>
              </w:rPr>
            </w:pPr>
          </w:p>
        </w:tc>
      </w:tr>
      <w:tr>
        <w:trPr>
          <w:trHeight w:val="203"/>
        </w:trPr>
        <w:tc>
          <w:tcPr>
            <w:tcW w:w="12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7"/>
              </w:rPr>
              <w:t>3.9</w:t>
            </w:r>
          </w:p>
        </w:tc>
        <w:tc>
          <w:tcPr>
            <w:tcW w:w="996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Certificate of Increase to Certificate of Designations of Series B Convertible Preferred Stock of NextDecade Corporation, dated July 15,</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2019 (Incorporated by reference to Exhibit 3.8 of the Registrant’s Quarterly Report on Form 10-Q, filed August 6, 2019).</w:t>
              </w:r>
            </w:hyperlink>
          </w:p>
        </w:tc>
      </w:tr>
      <w:tr>
        <w:trPr>
          <w:trHeight w:val="48"/>
        </w:trPr>
        <w:tc>
          <w:tcPr>
            <w:tcW w:w="1260" w:type="dxa"/>
            <w:vAlign w:val="bottom"/>
          </w:tcPr>
          <w:p>
            <w:pPr>
              <w:spacing w:after="0"/>
              <w:rPr>
                <w:sz w:val="4"/>
                <w:szCs w:val="4"/>
                <w:color w:val="auto"/>
              </w:rPr>
            </w:pPr>
          </w:p>
        </w:tc>
        <w:tc>
          <w:tcPr>
            <w:tcW w:w="33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26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9880" w:type="dxa"/>
            <w:vAlign w:val="bottom"/>
            <w:tcBorders>
              <w:bottom w:val="single" w:sz="8" w:color="0000FF"/>
            </w:tcBorders>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Indenture, dated as of February 9, 2024, by and between Rio Grande LNG, LLC and Wilmington Trust, National Association, as Trustee.</w:t>
            </w:r>
          </w:p>
        </w:tc>
        <w:tc>
          <w:tcPr>
            <w:tcW w:w="100" w:type="dxa"/>
            <w:vAlign w:val="bottom"/>
            <w:tcBorders>
              <w:bottom w:val="single" w:sz="8" w:color="CCEEFF"/>
            </w:tcBorders>
            <w:gridSpan w:val="4"/>
            <w:shd w:val="clear" w:color="auto" w:fill="CCEEFF"/>
          </w:tcPr>
          <w:p>
            <w:pPr>
              <w:spacing w:after="0"/>
              <w:rPr>
                <w:sz w:val="21"/>
                <w:szCs w:val="21"/>
                <w:color w:val="auto"/>
              </w:rPr>
            </w:pPr>
          </w:p>
        </w:tc>
      </w:tr>
      <w:tr>
        <w:trPr>
          <w:trHeight w:val="203"/>
        </w:trPr>
        <w:tc>
          <w:tcPr>
            <w:tcW w:w="126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9540" w:type="dxa"/>
            <w:vAlign w:val="bottom"/>
            <w:tcBorders>
              <w:bottom w:val="single" w:sz="8" w:color="0000FF"/>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FF"/>
                <w:w w:val="99"/>
              </w:rPr>
              <w:t>Change Orders to the Amended and Restated Fixed Price Turnkey Agreement for the Engineering, Procurement and Construction of</w:t>
            </w:r>
          </w:p>
        </w:tc>
        <w:tc>
          <w:tcPr>
            <w:tcW w:w="44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7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Trains 1 and 2 of the Rio Grande Natural Gas Liquefaction Facility, made and executed as of September 14, 2022, by and between Rio</w:t>
            </w:r>
          </w:p>
        </w:tc>
        <w:tc>
          <w:tcPr>
            <w:tcW w:w="28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Grande LNG, LLC and Bechtel Energy Inc.: (i) EC00093, dated as of January 10, 2024; (ii) EC00100, EC00105 and EC00124, each</w:t>
            </w:r>
          </w:p>
        </w:tc>
      </w:tr>
      <w:tr>
        <w:trPr>
          <w:trHeight w:val="20"/>
        </w:trPr>
        <w:tc>
          <w:tcPr>
            <w:tcW w:w="126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6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dated as of January 30, 2024, (iii) EC00092, dated as of February 6, 2024; (iv) EC00110, dated as of February 23, 2024; (v) EC00127,</w:t>
            </w:r>
          </w:p>
        </w:tc>
        <w:tc>
          <w:tcPr>
            <w:tcW w:w="30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dated as of March 21, 2024; and (vi) EC00137, dated as of March 26, 2024</w:t>
            </w:r>
          </w:p>
        </w:tc>
      </w:tr>
      <w:tr>
        <w:trPr>
          <w:trHeight w:val="48"/>
        </w:trPr>
        <w:tc>
          <w:tcPr>
            <w:tcW w:w="1260" w:type="dxa"/>
            <w:vAlign w:val="bottom"/>
          </w:tcPr>
          <w:p>
            <w:pPr>
              <w:spacing w:after="0"/>
              <w:rPr>
                <w:sz w:val="4"/>
                <w:szCs w:val="4"/>
                <w:color w:val="auto"/>
              </w:rPr>
            </w:pPr>
          </w:p>
        </w:tc>
        <w:tc>
          <w:tcPr>
            <w:tcW w:w="33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6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9960" w:type="dxa"/>
            <w:vAlign w:val="bottom"/>
            <w:tcBorders>
              <w:bottom w:val="single" w:sz="8" w:color="0000FF"/>
            </w:tcBorders>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Change Orders to the Amended and Restated Fixed Price Turnkey Agreement for the Engineering, Procurement and Construction of Train</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260" w:type="dxa"/>
            <w:vAlign w:val="bottom"/>
            <w:shd w:val="clear" w:color="auto" w:fill="CCEEFF"/>
          </w:tcPr>
          <w:p>
            <w:pPr>
              <w:spacing w:after="0"/>
              <w:rPr>
                <w:sz w:val="17"/>
                <w:szCs w:val="17"/>
                <w:color w:val="auto"/>
              </w:rPr>
            </w:pPr>
          </w:p>
        </w:tc>
        <w:tc>
          <w:tcPr>
            <w:tcW w:w="998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3 of the Rio Grande Natural Gas Liquefaction Facility, made and executed as of September 14, 2022, by and between Rio Grande LNG,</w:t>
            </w:r>
          </w:p>
        </w:tc>
      </w:tr>
      <w:tr>
        <w:trPr>
          <w:trHeight w:val="20"/>
        </w:trPr>
        <w:tc>
          <w:tcPr>
            <w:tcW w:w="1260" w:type="dxa"/>
            <w:vAlign w:val="bottom"/>
            <w:shd w:val="clear" w:color="auto" w:fill="CCEE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r>
      <w:tr>
        <w:trPr>
          <w:trHeight w:val="196"/>
        </w:trPr>
        <w:tc>
          <w:tcPr>
            <w:tcW w:w="126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LLC and Bechtel Energy Inc.: (i) EC00094, dated as of January 18, 2024; (ii) EC00101 and EC00125, each dated as of January 30, 2024;</w:t>
            </w:r>
          </w:p>
        </w:tc>
        <w:tc>
          <w:tcPr>
            <w:tcW w:w="80" w:type="dxa"/>
            <w:vAlign w:val="bottom"/>
            <w:tcBorders>
              <w:bottom w:val="single" w:sz="8" w:color="CCEEFF"/>
            </w:tcBorders>
            <w:gridSpan w:val="3"/>
            <w:shd w:val="clear" w:color="auto" w:fill="CCEEFF"/>
          </w:tcPr>
          <w:p>
            <w:pPr>
              <w:spacing w:after="0"/>
              <w:rPr>
                <w:sz w:val="17"/>
                <w:szCs w:val="17"/>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0000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and (iii) EC00138, dated as of March 26, 2024</w:t>
            </w:r>
          </w:p>
        </w:tc>
        <w:tc>
          <w:tcPr>
            <w:tcW w:w="6620" w:type="dxa"/>
            <w:vAlign w:val="bottom"/>
            <w:tcBorders>
              <w:bottom w:val="single" w:sz="8" w:color="CCEEFF"/>
            </w:tcBorders>
            <w:gridSpan w:val="17"/>
            <w:shd w:val="clear" w:color="auto" w:fill="CCEEFF"/>
          </w:tcPr>
          <w:p>
            <w:pPr>
              <w:spacing w:after="0"/>
              <w:rPr>
                <w:sz w:val="21"/>
                <w:szCs w:val="21"/>
                <w:color w:val="auto"/>
              </w:rPr>
            </w:pPr>
          </w:p>
        </w:tc>
      </w:tr>
      <w:tr>
        <w:trPr>
          <w:trHeight w:val="203"/>
        </w:trPr>
        <w:tc>
          <w:tcPr>
            <w:tcW w:w="126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Credit Agreement, dated as of January 4, 2024, by and among NextDecade LNG, LLC, as Borrower, MUFG Bank, Ltd., as</w:t>
            </w:r>
          </w:p>
        </w:tc>
      </w:tr>
      <w:tr>
        <w:trPr>
          <w:trHeight w:val="20"/>
        </w:trPr>
        <w:tc>
          <w:tcPr>
            <w:tcW w:w="1260" w:type="dxa"/>
            <w:vAlign w:val="bottom"/>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Administrative Agent, Wilmington Trust, National Association, as Collateral Agent, and the guarantors and senior lenders party thereto.</w:t>
            </w:r>
          </w:p>
        </w:tc>
      </w:tr>
      <w:tr>
        <w:trPr>
          <w:trHeight w:val="48"/>
        </w:trPr>
        <w:tc>
          <w:tcPr>
            <w:tcW w:w="1260" w:type="dxa"/>
            <w:vAlign w:val="bottom"/>
          </w:tcPr>
          <w:p>
            <w:pPr>
              <w:spacing w:after="0"/>
              <w:rPr>
                <w:sz w:val="4"/>
                <w:szCs w:val="4"/>
                <w:color w:val="auto"/>
              </w:rPr>
            </w:pPr>
          </w:p>
        </w:tc>
        <w:tc>
          <w:tcPr>
            <w:tcW w:w="33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26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99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Supplemental Indenture No. 1, dated as of March 4, 2024, to Indenture, dated as of July 12, 2023, by and between Rio Grande LNG, LLC</w:t>
            </w:r>
          </w:p>
        </w:tc>
      </w:tr>
      <w:tr>
        <w:trPr>
          <w:trHeight w:val="196"/>
        </w:trPr>
        <w:tc>
          <w:tcPr>
            <w:tcW w:w="1260" w:type="dxa"/>
            <w:vAlign w:val="bottom"/>
            <w:tcBorders>
              <w:top w:val="single" w:sz="8" w:color="CCEEFF"/>
            </w:tcBorders>
            <w:shd w:val="clear" w:color="auto" w:fill="CCEEFF"/>
          </w:tcPr>
          <w:p>
            <w:pPr>
              <w:spacing w:after="0"/>
              <w:rPr>
                <w:sz w:val="17"/>
                <w:szCs w:val="17"/>
                <w:color w:val="auto"/>
              </w:rPr>
            </w:pPr>
          </w:p>
        </w:tc>
        <w:tc>
          <w:tcPr>
            <w:tcW w:w="9920" w:type="dxa"/>
            <w:vAlign w:val="bottom"/>
            <w:tcBorders>
              <w:top w:val="single" w:sz="8" w:color="0000FF"/>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and Wilmington Trust, National Association, as Trustee.</w:t>
            </w:r>
          </w:p>
        </w:tc>
        <w:tc>
          <w:tcPr>
            <w:tcW w:w="6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33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26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99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48"/>
        </w:trPr>
        <w:tc>
          <w:tcPr>
            <w:tcW w:w="1260" w:type="dxa"/>
            <w:vAlign w:val="bottom"/>
          </w:tcPr>
          <w:p>
            <w:pPr>
              <w:spacing w:after="0"/>
              <w:rPr>
                <w:sz w:val="4"/>
                <w:szCs w:val="4"/>
                <w:color w:val="auto"/>
              </w:rPr>
            </w:pPr>
          </w:p>
        </w:tc>
        <w:tc>
          <w:tcPr>
            <w:tcW w:w="33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260" w:type="dxa"/>
            <w:vAlign w:val="bottom"/>
            <w:tcBorders>
              <w:bottom w:val="single" w:sz="8" w:color="CCEEFF"/>
            </w:tcBorders>
            <w:shd w:val="clear" w:color="auto" w:fill="CCEEFF"/>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bottom w:val="single" w:sz="8" w:color="0000FF"/>
            </w:tcBorders>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2800" w:type="dxa"/>
            <w:vAlign w:val="bottom"/>
            <w:tcBorders>
              <w:bottom w:val="single" w:sz="8" w:color="CCEEFF"/>
            </w:tcBorders>
            <w:gridSpan w:val="12"/>
            <w:shd w:val="clear" w:color="auto" w:fill="CCEEFF"/>
          </w:tcPr>
          <w:p>
            <w:pPr>
              <w:spacing w:after="0"/>
              <w:rPr>
                <w:sz w:val="21"/>
                <w:szCs w:val="21"/>
                <w:color w:val="auto"/>
              </w:rPr>
            </w:pPr>
          </w:p>
        </w:tc>
      </w:tr>
      <w:tr>
        <w:trPr>
          <w:trHeight w:val="203"/>
        </w:trPr>
        <w:tc>
          <w:tcPr>
            <w:tcW w:w="126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99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r>
      <w:tr>
        <w:trPr>
          <w:trHeight w:val="48"/>
        </w:trPr>
        <w:tc>
          <w:tcPr>
            <w:tcW w:w="1260" w:type="dxa"/>
            <w:vAlign w:val="bottom"/>
          </w:tcPr>
          <w:p>
            <w:pPr>
              <w:spacing w:after="0"/>
              <w:rPr>
                <w:sz w:val="4"/>
                <w:szCs w:val="4"/>
                <w:color w:val="auto"/>
              </w:rPr>
            </w:pPr>
          </w:p>
        </w:tc>
        <w:tc>
          <w:tcPr>
            <w:tcW w:w="33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260" w:type="dxa"/>
            <w:vAlign w:val="bottom"/>
            <w:tcBorders>
              <w:bottom w:val="single" w:sz="8" w:color="CCEEFF"/>
            </w:tcBorders>
            <w:shd w:val="clear" w:color="auto" w:fill="CCEEFF"/>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7180" w:type="dxa"/>
            <w:vAlign w:val="bottom"/>
            <w:tcBorders>
              <w:bottom w:val="single" w:sz="8" w:color="0000FF"/>
            </w:tcBorders>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2800" w:type="dxa"/>
            <w:vAlign w:val="bottom"/>
            <w:tcBorders>
              <w:bottom w:val="single" w:sz="8" w:color="CCEEFF"/>
            </w:tcBorders>
            <w:gridSpan w:val="12"/>
            <w:shd w:val="clear" w:color="auto" w:fill="CCEEFF"/>
          </w:tcPr>
          <w:p>
            <w:pPr>
              <w:spacing w:after="0"/>
              <w:rPr>
                <w:sz w:val="21"/>
                <w:szCs w:val="21"/>
                <w:color w:val="auto"/>
              </w:rPr>
            </w:pPr>
          </w:p>
        </w:tc>
      </w:tr>
      <w:tr>
        <w:trPr>
          <w:trHeight w:val="225"/>
        </w:trPr>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260" w:type="dxa"/>
            <w:vAlign w:val="bottom"/>
          </w:tcPr>
          <w:p>
            <w:pPr>
              <w:spacing w:after="0"/>
              <w:rPr>
                <w:sz w:val="20"/>
                <w:szCs w:val="20"/>
                <w:color w:val="auto"/>
              </w:rPr>
            </w:pPr>
          </w:p>
        </w:tc>
        <w:tc>
          <w:tcPr>
            <w:tcW w:w="9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
        </w:trPr>
        <w:tc>
          <w:tcPr>
            <w:tcW w:w="1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101.CAL*</w:t>
            </w:r>
          </w:p>
        </w:tc>
        <w:tc>
          <w:tcPr>
            <w:tcW w:w="9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
        </w:trPr>
        <w:tc>
          <w:tcPr>
            <w:tcW w:w="1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101.LAB*</w:t>
            </w:r>
          </w:p>
        </w:tc>
        <w:tc>
          <w:tcPr>
            <w:tcW w:w="998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101.PRE*</w:t>
            </w:r>
          </w:p>
        </w:tc>
        <w:tc>
          <w:tcPr>
            <w:tcW w:w="9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
        </w:trPr>
        <w:tc>
          <w:tcPr>
            <w:tcW w:w="1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101.DEF*</w:t>
            </w:r>
          </w:p>
        </w:tc>
        <w:tc>
          <w:tcPr>
            <w:tcW w:w="998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104</w:t>
            </w:r>
          </w:p>
        </w:tc>
        <w:tc>
          <w:tcPr>
            <w:tcW w:w="9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1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5540" w:right="3980" w:hanging="5532"/>
        <w:spacing w:after="0" w:line="970" w:lineRule="auto"/>
        <w:tabs>
          <w:tab w:leader="none" w:pos="3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601(a)(5) of Regulation S-K.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NEXTDECADE CORPORATION</w:t>
            </w:r>
          </w:p>
        </w:tc>
      </w:tr>
      <w:tr>
        <w:trPr>
          <w:trHeight w:val="54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Matthew K. Schatzman</w:t>
            </w:r>
          </w:p>
        </w:tc>
      </w:tr>
      <w:tr>
        <w:trPr>
          <w:trHeight w:val="27"/>
        </w:trPr>
        <w:tc>
          <w:tcPr>
            <w:tcW w:w="3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K. Schatzman</w:t>
            </w:r>
          </w:p>
        </w:tc>
      </w:tr>
      <w:tr>
        <w:trPr>
          <w:trHeight w:val="270"/>
        </w:trPr>
        <w:tc>
          <w:tcPr>
            <w:tcW w:w="3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70"/>
        </w:trPr>
        <w:tc>
          <w:tcPr>
            <w:tcW w:w="3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4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Brent E. Wahl</w:t>
            </w:r>
          </w:p>
        </w:tc>
      </w:tr>
      <w:tr>
        <w:trPr>
          <w:trHeight w:val="27"/>
        </w:trPr>
        <w:tc>
          <w:tcPr>
            <w:tcW w:w="3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Brent E. Wahl</w:t>
            </w:r>
          </w:p>
        </w:tc>
      </w:tr>
      <w:tr>
        <w:trPr>
          <w:trHeight w:val="270"/>
        </w:trPr>
        <w:tc>
          <w:tcPr>
            <w:tcW w:w="3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3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31"/>
        </w:trPr>
        <w:tc>
          <w:tcPr>
            <w:tcW w:w="3360" w:type="dxa"/>
            <w:vAlign w:val="bottom"/>
          </w:tcPr>
          <w:p>
            <w:pPr>
              <w:spacing w:after="0"/>
              <w:rPr>
                <w:sz w:val="24"/>
                <w:szCs w:val="24"/>
                <w:color w:val="auto"/>
              </w:rPr>
            </w:pP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1494155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6.85% SENIOR SECURED NOTES DUE 2047</w:t>
      </w:r>
    </w:p>
    <w:p>
      <w:pPr>
        <w:spacing w:after="0" w:line="200" w:lineRule="exact"/>
        <w:rPr>
          <w:sz w:val="20"/>
          <w:szCs w:val="20"/>
          <w:color w:val="auto"/>
        </w:rPr>
      </w:pPr>
    </w:p>
    <w:p>
      <w:pPr>
        <w:spacing w:after="0" w:line="2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INDENTURE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February 9,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17"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80" w:type="dxa"/>
            <w:vAlign w:val="bottom"/>
          </w:tcPr>
          <w:p>
            <w:pPr>
              <w:spacing w:after="0"/>
              <w:rPr>
                <w:sz w:val="22"/>
                <w:szCs w:val="22"/>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Page</w:t>
            </w:r>
          </w:p>
        </w:tc>
        <w:tc>
          <w:tcPr>
            <w:tcW w:w="8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71"/>
        </w:trPr>
        <w:tc>
          <w:tcPr>
            <w:tcW w:w="9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  DEFINITIONS AND INCORPORATION BY REFERENCE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Defined Terms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Interpretation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UCC Terms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Accounting and Financial Determinations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9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THE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and Dating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Execution and Authentication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Registrar and Paying Agent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Paying Agent to Hold Money in Trust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Noteholder Lists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Transfer and Exchange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Replacement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Outstanding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Treasury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2.10</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Temporary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2.11</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Cancellation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2.12</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Defaulted Interest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6"/>
        </w:trPr>
        <w:tc>
          <w:tcPr>
            <w:tcW w:w="180" w:type="dxa"/>
            <w:vAlign w:val="bottom"/>
          </w:tcPr>
          <w:p>
            <w:pPr>
              <w:spacing w:after="0"/>
              <w:rPr>
                <w:sz w:val="22"/>
                <w:szCs w:val="22"/>
                <w:color w:val="auto"/>
              </w:rPr>
            </w:pPr>
          </w:p>
        </w:tc>
        <w:tc>
          <w:tcPr>
            <w:tcW w:w="92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2.13  CUSIP Numbers / PPN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2.14</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Tax Withholding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2.15</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of Taxes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9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REDEMPTION AND PREPAYMENT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Notices to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Selection of Notes to Be Redeemed</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 of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 of Notice of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Deposit of Redemption or Purchase Price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Notes Redeemed in Part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Optional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Open Market Purchases; No Mandatory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Offer to Purchase by Application of Collateral Proceeds; LNG SPA Termination Offer</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9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COVENANTS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Payment of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Maintenance of Office or Agency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Reports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Compliance Certificate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Distributions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Use of Proceeds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Incurrence of Indebtedness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Maintenance of Designated Offtake Agreements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Maintenance of Liens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8"/>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4.10</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Maintenance of Ratings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bl>
    <w:p>
      <w:pPr>
        <w:spacing w:after="0" w:line="200" w:lineRule="exact"/>
        <w:rPr>
          <w:sz w:val="20"/>
          <w:szCs w:val="20"/>
          <w:color w:val="auto"/>
        </w:rPr>
      </w:pP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20"/>
          </w:cols>
          <w:pgMar w:left="320" w:top="1413" w:right="359" w:bottom="1440" w:gutter="0" w:footer="0" w:header="0"/>
          <w:type w:val="continuous"/>
        </w:sectPr>
      </w:pPr>
    </w:p>
    <w:bookmarkStart w:id="31" w:name="page32"/>
    <w:bookmarkEnd w:id="31"/>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4.11</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Payments for Consent</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7"/>
        </w:trPr>
        <w:tc>
          <w:tcPr>
            <w:tcW w:w="260" w:type="dxa"/>
            <w:vAlign w:val="bottom"/>
          </w:tcPr>
          <w:p>
            <w:pPr>
              <w:spacing w:after="0"/>
              <w:rPr>
                <w:sz w:val="22"/>
                <w:szCs w:val="22"/>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4.12  Offer to Repurchase Upon Change of Control Triggering Event</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4.13</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Events of Loss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4.14</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Asset Sales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4.15</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Performance Liquidated Damages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260" w:type="dxa"/>
            <w:vAlign w:val="bottom"/>
          </w:tcPr>
          <w:p>
            <w:pPr>
              <w:spacing w:after="0"/>
              <w:rPr>
                <w:sz w:val="22"/>
                <w:szCs w:val="22"/>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4.16  BLK Senior Notes DSRA</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4.17</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Material Project Documents.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4.18</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Insurance.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4.19</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4.20</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Books and Records.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4.21</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Inspection Reports.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4.22</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Sanctions Regulations, Etc.</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4.23</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Designated Offtake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4.24</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Accounts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60" w:type="dxa"/>
            <w:vAlign w:val="bottom"/>
          </w:tcPr>
          <w:p>
            <w:pPr>
              <w:spacing w:after="0"/>
              <w:rPr>
                <w:sz w:val="22"/>
                <w:szCs w:val="22"/>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4.25  Limitation on Formation of Controlled Subsidiaries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4.26</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Historical DSCR</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4.27</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Affiliated Noteholder Cap</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4.28</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Note Guarantees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4.29</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Supplemental Indenture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7"/>
        </w:trPr>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5.</w:t>
            </w:r>
          </w:p>
        </w:tc>
        <w:tc>
          <w:tcPr>
            <w:tcW w:w="8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SUCCESSORS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5.1</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Merger, Consolidation, or Sale of Assets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5.2</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Successor Corporation Substituted</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7"/>
        </w:trPr>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6.</w:t>
            </w:r>
          </w:p>
        </w:tc>
        <w:tc>
          <w:tcPr>
            <w:tcW w:w="8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DEFAULTS AND REMEDIES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Events of Default</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6.2</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Acceleration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6.3</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Remedies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6.4</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Waiver of Past Defaults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6.5</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Control by Majority</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6.6</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Limitation on Suits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6.7</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Rights of Noteholders to Receive Payment</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6.8</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Collection Suit by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6.9</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Trustee May File Proofs of Claim</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6.10</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Priorities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6.11</w:t>
            </w:r>
          </w:p>
        </w:tc>
        <w:tc>
          <w:tcPr>
            <w:tcW w:w="7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Undertaking for Costs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6"/>
        </w:trPr>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7.</w:t>
            </w:r>
          </w:p>
        </w:tc>
        <w:tc>
          <w:tcPr>
            <w:tcW w:w="83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7.1</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Duties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7.2</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Rights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7.3</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Individual Rights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7.4</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Trustee’s Disclaimer</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7.5</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 of Defaults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7.6</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Compensation and Indemnity</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7.7</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Replacement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7.8</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Successor Trustee by Merger, etc.</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7.9</w:t>
            </w:r>
          </w:p>
        </w:tc>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Eligibility; Disqualification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8"/>
        </w:trPr>
        <w:tc>
          <w:tcPr>
            <w:tcW w:w="260" w:type="dxa"/>
            <w:vAlign w:val="bottom"/>
          </w:tcPr>
          <w:p>
            <w:pPr>
              <w:spacing w:after="0"/>
              <w:rPr>
                <w:sz w:val="22"/>
                <w:szCs w:val="22"/>
                <w:color w:val="auto"/>
              </w:rPr>
            </w:pPr>
          </w:p>
        </w:tc>
        <w:tc>
          <w:tcPr>
            <w:tcW w:w="83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7.10  Authorization to Enter Into Accession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20"/>
          </w:cols>
          <w:pgMar w:left="320" w:top="1440" w:right="359" w:bottom="1440" w:gutter="0" w:footer="0" w:header="0"/>
          <w:type w:val="continuous"/>
        </w:sectPr>
      </w:pPr>
    </w:p>
    <w:bookmarkStart w:id="32" w:name="page33"/>
    <w:bookmarkEnd w:id="32"/>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7.11</w:t>
            </w:r>
          </w:p>
        </w:tc>
        <w:tc>
          <w:tcPr>
            <w:tcW w:w="40" w:type="dxa"/>
            <w:vAlign w:val="bottom"/>
          </w:tcPr>
          <w:p>
            <w:pPr>
              <w:spacing w:after="0"/>
              <w:rPr>
                <w:sz w:val="22"/>
                <w:szCs w:val="22"/>
                <w:color w:val="auto"/>
              </w:rPr>
            </w:pP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Trustee Protective Provisions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99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8.  LEGAL DEFEASANCE AND COVENANT DEFEASANCE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8.1</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Option to Effect Legal Defeasance or Covenant Defeasance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8.2</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Legal Defeasance and Discharge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8.3</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Covenant Defeasance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8.4</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Conditions to Legal or Covenant Defeasance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8.5</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Deposited Money and Government Securities to Be Held in Trust; Other Miscellaneous Provisions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8.6</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Repayment to Company</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8.7</w:t>
            </w:r>
          </w:p>
        </w:tc>
        <w:tc>
          <w:tcPr>
            <w:tcW w:w="40" w:type="dxa"/>
            <w:vAlign w:val="bottom"/>
          </w:tcPr>
          <w:p>
            <w:pPr>
              <w:spacing w:after="0"/>
              <w:rPr>
                <w:sz w:val="22"/>
                <w:szCs w:val="22"/>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Reinstatement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99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9.  AMENDMENT, SUPPLEMENT AND WAIVER</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9.1</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Without Consent of Noteholders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9.2</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With Consent of Noteholders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9.3</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Decisions under Other Financing Documents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9.4</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Revocation and Effect of Consents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9.5</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Notation on or Exchange of Notes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9.6</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Trustee to Sign Amendments, etc.</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9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COLLATERAL AND SECURITY</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6"/>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10.1</w:t>
            </w: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Senior Secured Debt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10.2</w:t>
            </w: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Release of Collateral</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96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SATISFACTION AND DISCHARGE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11.1</w:t>
            </w:r>
          </w:p>
        </w:tc>
        <w:tc>
          <w:tcPr>
            <w:tcW w:w="40" w:type="dxa"/>
            <w:vAlign w:val="bottom"/>
          </w:tcPr>
          <w:p>
            <w:pPr>
              <w:spacing w:after="0"/>
              <w:rPr>
                <w:sz w:val="22"/>
                <w:szCs w:val="22"/>
                <w:color w:val="auto"/>
              </w:rPr>
            </w:pP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Satisfaction and Discharge</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6"/>
        </w:trPr>
        <w:tc>
          <w:tcPr>
            <w:tcW w:w="340" w:type="dxa"/>
            <w:vAlign w:val="bottom"/>
          </w:tcPr>
          <w:p>
            <w:pPr>
              <w:spacing w:after="0"/>
              <w:rPr>
                <w:sz w:val="22"/>
                <w:szCs w:val="22"/>
                <w:color w:val="auto"/>
              </w:rPr>
            </w:pPr>
          </w:p>
        </w:tc>
        <w:tc>
          <w:tcPr>
            <w:tcW w:w="96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11.2  Application of Trust Money</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96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MISCELLANEOUS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12.1</w:t>
            </w: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12.2</w:t>
            </w: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Certificate and Opinion as to Conditions Precedent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6"/>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12.3</w:t>
            </w: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Statements Required in Certificate or Opinion</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12.4</w:t>
            </w: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Rules by Trustee and Agents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12.5</w:t>
            </w: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Personal Liability of Directors, Officers, Employees and Stockholders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12.6</w:t>
            </w: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Applicable Law, Jurisdiction, etc.</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12.7</w:t>
            </w: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Adverse Interpretation of Other Agreements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12.8</w:t>
            </w: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Successors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7"/>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12.9</w:t>
            </w:r>
          </w:p>
        </w:tc>
        <w:tc>
          <w:tcPr>
            <w:tcW w:w="8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6"/>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3"/>
              </w:rPr>
              <w:t>12.10</w:t>
            </w:r>
          </w:p>
        </w:tc>
        <w:tc>
          <w:tcPr>
            <w:tcW w:w="8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Counterpart Originals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340" w:type="dxa"/>
            <w:vAlign w:val="bottom"/>
          </w:tcPr>
          <w:p>
            <w:pPr>
              <w:spacing w:after="0"/>
              <w:rPr>
                <w:sz w:val="22"/>
                <w:szCs w:val="22"/>
                <w:color w:val="auto"/>
              </w:rPr>
            </w:pPr>
          </w:p>
        </w:tc>
        <w:tc>
          <w:tcPr>
            <w:tcW w:w="96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12.11  Trustee’s Receipt of Funds to the Extent not Required to be Applied to Payment of the Notes</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6"/>
        </w:trPr>
        <w:tc>
          <w:tcPr>
            <w:tcW w:w="340" w:type="dxa"/>
            <w:vAlign w:val="bottom"/>
          </w:tcPr>
          <w:p>
            <w:pPr>
              <w:spacing w:after="0"/>
              <w:rPr>
                <w:sz w:val="22"/>
                <w:szCs w:val="22"/>
                <w:color w:val="auto"/>
              </w:rPr>
            </w:pPr>
          </w:p>
        </w:tc>
        <w:tc>
          <w:tcPr>
            <w:tcW w:w="96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12.12  Table of Contents, Headings, etc.</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8"/>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3"/>
              </w:rPr>
              <w:t>12.13</w:t>
            </w:r>
          </w:p>
        </w:tc>
        <w:tc>
          <w:tcPr>
            <w:tcW w:w="8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USA Patriot Act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20"/>
          </w:cols>
          <w:pgMar w:left="320" w:top="144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ANNEX AND EXHIBITS</w:t>
      </w:r>
    </w:p>
    <w:p>
      <w:pPr>
        <w:spacing w:after="0" w:line="202" w:lineRule="exact"/>
        <w:rPr>
          <w:sz w:val="20"/>
          <w:szCs w:val="20"/>
          <w:color w:val="auto"/>
        </w:rPr>
      </w:pPr>
    </w:p>
    <w:p>
      <w:pPr>
        <w:ind w:left="1280"/>
        <w:spacing w:after="0"/>
        <w:tabs>
          <w:tab w:leader="none" w:pos="2340" w:val="left"/>
        </w:tabs>
        <w:rPr>
          <w:sz w:val="20"/>
          <w:szCs w:val="20"/>
          <w:color w:val="auto"/>
        </w:rPr>
      </w:pPr>
      <w:r>
        <w:rPr>
          <w:rFonts w:ascii="Times New Roman" w:cs="Times New Roman" w:eastAsia="Times New Roman" w:hAnsi="Times New Roman"/>
          <w:sz w:val="20"/>
          <w:szCs w:val="20"/>
          <w:color w:val="auto"/>
        </w:rPr>
        <w:t>ANNEX A</w:t>
      </w:r>
      <w:r>
        <w:rPr>
          <w:sz w:val="20"/>
          <w:szCs w:val="20"/>
          <w:color w:val="auto"/>
        </w:rPr>
        <w:tab/>
      </w:r>
      <w:r>
        <w:rPr>
          <w:rFonts w:ascii="Times New Roman" w:cs="Times New Roman" w:eastAsia="Times New Roman" w:hAnsi="Times New Roman"/>
          <w:sz w:val="19"/>
          <w:szCs w:val="19"/>
          <w:color w:val="auto"/>
        </w:rPr>
        <w:t>PAYMENT SCHEDULE</w:t>
      </w:r>
    </w:p>
    <w:p>
      <w:pPr>
        <w:spacing w:after="0" w:line="216" w:lineRule="exact"/>
        <w:rPr>
          <w:sz w:val="20"/>
          <w:szCs w:val="20"/>
          <w:color w:val="auto"/>
        </w:rPr>
      </w:pPr>
    </w:p>
    <w:p>
      <w:pPr>
        <w:ind w:left="1280"/>
        <w:spacing w:after="0"/>
        <w:tabs>
          <w:tab w:leader="none" w:pos="2340" w:val="left"/>
        </w:tabs>
        <w:rPr>
          <w:sz w:val="20"/>
          <w:szCs w:val="20"/>
          <w:color w:val="auto"/>
        </w:rPr>
      </w:pPr>
      <w:r>
        <w:rPr>
          <w:rFonts w:ascii="Times New Roman" w:cs="Times New Roman" w:eastAsia="Times New Roman" w:hAnsi="Times New Roman"/>
          <w:sz w:val="20"/>
          <w:szCs w:val="20"/>
          <w:color w:val="auto"/>
        </w:rPr>
        <w:t>ANNEX B</w:t>
      </w:r>
      <w:r>
        <w:rPr>
          <w:sz w:val="20"/>
          <w:szCs w:val="20"/>
          <w:color w:val="auto"/>
        </w:rPr>
        <w:tab/>
      </w:r>
      <w:r>
        <w:rPr>
          <w:rFonts w:ascii="Times New Roman" w:cs="Times New Roman" w:eastAsia="Times New Roman" w:hAnsi="Times New Roman"/>
          <w:sz w:val="19"/>
          <w:szCs w:val="19"/>
          <w:color w:val="auto"/>
        </w:rPr>
        <w:t>DISQUALIFIED INSTITUTIONS</w:t>
      </w:r>
    </w:p>
    <w:p>
      <w:pPr>
        <w:spacing w:after="0" w:line="202"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NOTE</w:t>
      </w:r>
    </w:p>
    <w:p>
      <w:pPr>
        <w:spacing w:after="0" w:line="202"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CERTIFICATE OF TRANSFER</w:t>
      </w:r>
    </w:p>
    <w:p>
      <w:pPr>
        <w:spacing w:after="0" w:line="202"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CERTIFICATE OF EXCHANGE</w:t>
      </w:r>
    </w:p>
    <w:p>
      <w:pPr>
        <w:spacing w:after="0" w:line="216" w:lineRule="exact"/>
        <w:rPr>
          <w:sz w:val="20"/>
          <w:szCs w:val="20"/>
          <w:color w:val="auto"/>
        </w:rPr>
      </w:pPr>
    </w:p>
    <w:p>
      <w:pPr>
        <w:ind w:left="1280" w:right="419"/>
        <w:spacing w:after="0" w:line="454" w:lineRule="auto"/>
        <w:rPr>
          <w:sz w:val="20"/>
          <w:szCs w:val="20"/>
          <w:color w:val="auto"/>
        </w:rPr>
      </w:pPr>
      <w:r>
        <w:rPr>
          <w:rFonts w:ascii="Times New Roman" w:cs="Times New Roman" w:eastAsia="Times New Roman" w:hAnsi="Times New Roman"/>
          <w:sz w:val="20"/>
          <w:szCs w:val="20"/>
          <w:color w:val="auto"/>
        </w:rPr>
        <w:t>Exhibit D ADDITIONAL NOTES AND SUPPLEMENTAL INDENTURE FOR ADDITIONAL NOTES Exhibit E FORM OF CERTIFICATE OF ACQUIRING INSTITUTIONAL ACCREDITED INVESTOR Exhibit 2.15-A FORM OF U.S. TAX COMPLIANCE CERTIFICATE Exhibit 2.15-B FORM OF U.S. TAX COMPLIANCE CERTIFICATE</w:t>
      </w:r>
    </w:p>
    <w:p>
      <w:pPr>
        <w:spacing w:after="0" w:line="1" w:lineRule="exact"/>
        <w:rPr>
          <w:sz w:val="20"/>
          <w:szCs w:val="20"/>
          <w:color w:val="auto"/>
        </w:rPr>
      </w:pPr>
    </w:p>
    <w:p>
      <w:pPr>
        <w:ind w:left="1280"/>
        <w:spacing w:after="0"/>
        <w:tabs>
          <w:tab w:leader="none" w:pos="2640" w:val="left"/>
        </w:tabs>
        <w:rPr>
          <w:sz w:val="20"/>
          <w:szCs w:val="20"/>
          <w:color w:val="auto"/>
        </w:rPr>
      </w:pPr>
      <w:r>
        <w:rPr>
          <w:rFonts w:ascii="Times New Roman" w:cs="Times New Roman" w:eastAsia="Times New Roman" w:hAnsi="Times New Roman"/>
          <w:sz w:val="20"/>
          <w:szCs w:val="20"/>
          <w:color w:val="auto"/>
        </w:rPr>
        <w:t>Exhibit 2.15-C</w:t>
      </w:r>
      <w:r>
        <w:rPr>
          <w:sz w:val="20"/>
          <w:szCs w:val="20"/>
          <w:color w:val="auto"/>
        </w:rPr>
        <w:tab/>
      </w:r>
      <w:r>
        <w:rPr>
          <w:rFonts w:ascii="Times New Roman" w:cs="Times New Roman" w:eastAsia="Times New Roman" w:hAnsi="Times New Roman"/>
          <w:sz w:val="19"/>
          <w:szCs w:val="19"/>
          <w:color w:val="auto"/>
        </w:rPr>
        <w:t>FORM OF U.S. TAX COMPLIANCE CERTIFICATE</w:t>
      </w:r>
    </w:p>
    <w:p>
      <w:pPr>
        <w:spacing w:after="0" w:line="202" w:lineRule="exact"/>
        <w:rPr>
          <w:sz w:val="20"/>
          <w:szCs w:val="20"/>
          <w:color w:val="auto"/>
        </w:rPr>
      </w:pPr>
    </w:p>
    <w:p>
      <w:pPr>
        <w:ind w:left="1280"/>
        <w:spacing w:after="0"/>
        <w:tabs>
          <w:tab w:leader="none" w:pos="2640" w:val="left"/>
        </w:tabs>
        <w:rPr>
          <w:sz w:val="20"/>
          <w:szCs w:val="20"/>
          <w:color w:val="auto"/>
        </w:rPr>
      </w:pPr>
      <w:r>
        <w:rPr>
          <w:rFonts w:ascii="Times New Roman" w:cs="Times New Roman" w:eastAsia="Times New Roman" w:hAnsi="Times New Roman"/>
          <w:sz w:val="20"/>
          <w:szCs w:val="20"/>
          <w:color w:val="auto"/>
        </w:rPr>
        <w:t>Exhibit 2.15-D</w:t>
      </w:r>
      <w:r>
        <w:rPr>
          <w:sz w:val="20"/>
          <w:szCs w:val="20"/>
          <w:color w:val="auto"/>
        </w:rPr>
        <w:tab/>
      </w:r>
      <w:r>
        <w:rPr>
          <w:rFonts w:ascii="Times New Roman" w:cs="Times New Roman" w:eastAsia="Times New Roman" w:hAnsi="Times New Roman"/>
          <w:sz w:val="19"/>
          <w:szCs w:val="19"/>
          <w:color w:val="auto"/>
        </w:rPr>
        <w:t>FORM OF U.S. TAX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0139"/>
          </w:cols>
          <w:pgMar w:left="320" w:top="1413" w:right="1440" w:bottom="1440" w:gutter="0" w:footer="0" w:header="0"/>
        </w:sectPr>
      </w:pPr>
    </w:p>
    <w:bookmarkStart w:id="34" w:name="page35"/>
    <w:bookmarkEnd w:id="34"/>
    <w:p>
      <w:pPr>
        <w:ind w:right="20"/>
        <w:spacing w:after="0" w:line="287"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xml:space="preserve"> dated as of February 9, 2024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together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and the Trustee agree as follows for the benefit of each other and for the equal and ratable benefit of the Noteholders (as defined herein).</w:t>
      </w:r>
    </w:p>
    <w:p>
      <w:pPr>
        <w:spacing w:after="0" w:line="155" w:lineRule="exact"/>
        <w:rPr>
          <w:sz w:val="20"/>
          <w:szCs w:val="20"/>
          <w:color w:val="auto"/>
        </w:rPr>
      </w:pPr>
    </w:p>
    <w:p>
      <w:pPr>
        <w:ind w:right="5460" w:firstLine="8"/>
        <w:spacing w:after="0" w:line="452" w:lineRule="auto"/>
        <w:tabs>
          <w:tab w:leader="none" w:pos="634"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AND INCORPORATION BY REFERENCE 1.1 </w:t>
      </w:r>
      <w:r>
        <w:rPr>
          <w:rFonts w:ascii="Times New Roman" w:cs="Times New Roman" w:eastAsia="Times New Roman" w:hAnsi="Times New Roman"/>
          <w:sz w:val="20"/>
          <w:szCs w:val="20"/>
          <w:u w:val="single" w:color="auto"/>
          <w:color w:val="auto"/>
        </w:rPr>
        <w:t>Defined Terms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Unless otherwise defined herein, capitalized terms used herein shall have the meanings provided in the Common Terms Agreement.</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addition, the following terms shall have the following meanings:</w:t>
      </w:r>
    </w:p>
    <w:p>
      <w:pPr>
        <w:spacing w:after="0" w:line="183"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2033 Notes First Supplemental Indenture</w:t>
      </w:r>
      <w:r>
        <w:rPr>
          <w:rFonts w:ascii="Times New Roman" w:cs="Times New Roman" w:eastAsia="Times New Roman" w:hAnsi="Times New Roman"/>
          <w:sz w:val="20"/>
          <w:szCs w:val="20"/>
          <w:color w:val="auto"/>
        </w:rPr>
        <w:t>” means the proposed first supplemental indenture to the 2033 Notes Indenture substantially in the form delivered to by email the Trustee on or prior to the date hereof.</w:t>
      </w:r>
    </w:p>
    <w:p>
      <w:pPr>
        <w:spacing w:after="0" w:line="125"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2033 Notes Indenture</w:t>
      </w:r>
      <w:r>
        <w:rPr>
          <w:rFonts w:ascii="Times New Roman" w:cs="Times New Roman" w:eastAsia="Times New Roman" w:hAnsi="Times New Roman"/>
          <w:sz w:val="20"/>
          <w:szCs w:val="20"/>
          <w:color w:val="auto"/>
        </w:rPr>
        <w:t>” means the Indenture, dated July 12, 2023, by and between the Company and Wilmington Trust, N.A., as trustee, governing the Company’s senior secured notes due 2033.</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w:t>
      </w:r>
      <w:r>
        <w:rPr>
          <w:rFonts w:ascii="Times New Roman" w:cs="Times New Roman" w:eastAsia="Times New Roman" w:hAnsi="Times New Roman"/>
          <w:sz w:val="20"/>
          <w:szCs w:val="20"/>
          <w:color w:val="auto"/>
        </w:rPr>
        <w:t>” has the meaning assigned to such term in the applicable Designated Offtake Agreement.</w:t>
      </w:r>
    </w:p>
    <w:p>
      <w:pPr>
        <w:spacing w:after="0" w:line="202" w:lineRule="exact"/>
        <w:rPr>
          <w:sz w:val="20"/>
          <w:szCs w:val="20"/>
          <w:color w:val="auto"/>
        </w:rPr>
      </w:pPr>
    </w:p>
    <w:p>
      <w:pPr>
        <w:jc w:val="both"/>
        <w:ind w:left="740" w:right="2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Notes</w:t>
      </w:r>
      <w:r>
        <w:rPr>
          <w:rFonts w:ascii="Times New Roman" w:cs="Times New Roman" w:eastAsia="Times New Roman" w:hAnsi="Times New Roman"/>
          <w:sz w:val="20"/>
          <w:szCs w:val="20"/>
          <w:color w:val="auto"/>
        </w:rPr>
        <w:t xml:space="preserve">” means Notes (other than the Initial Notes) issued under this Indenture in accordance with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Decision</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means any Registrar, co-registrar, Paying Agent or additional paying agent.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Aggregate Funded Equity</w:t>
      </w:r>
      <w:r>
        <w:rPr>
          <w:rFonts w:ascii="Times New Roman" w:cs="Times New Roman" w:eastAsia="Times New Roman" w:hAnsi="Times New Roman"/>
          <w:sz w:val="20"/>
          <w:szCs w:val="20"/>
          <w:color w:val="auto"/>
        </w:rPr>
        <w:t>” has the meaning assigned to such term in the P1 Equity Contribution Agreement.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 Facility Budget</w:t>
      </w:r>
      <w:r>
        <w:rPr>
          <w:rFonts w:ascii="Times New Roman" w:cs="Times New Roman" w:eastAsia="Times New Roman" w:hAnsi="Times New Roman"/>
          <w:sz w:val="20"/>
          <w:szCs w:val="20"/>
          <w:color w:val="auto"/>
        </w:rPr>
        <w:t>” has the meaning assigned to such term in the Definitions Agreement.</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Anti-Terrorism and Money Laundering Laws”</w:t>
      </w:r>
      <w:r>
        <w:rPr>
          <w:rFonts w:ascii="Times New Roman" w:cs="Times New Roman" w:eastAsia="Times New Roman" w:hAnsi="Times New Roman"/>
          <w:sz w:val="20"/>
          <w:szCs w:val="20"/>
          <w:color w:val="auto"/>
        </w:rPr>
        <w:t xml:space="preserve"> means any of the following (a) Section 1 of Executive Order 13224 of September 24, 2001, Blocking Property and Prohibiting Transactions With Persons Who Commit, Threaten to Commit, or Support Terrorism (Title 12, Part 595 of the US Code of Federal Regulations), (b) the Terrorism Sanctions Regulations (Title 31 Part 595 of the US Code of Federal Regulations), (c) the Terrorism List Governments Sanctions Regulations (Title 31 Part 596 of the US Code of Federal Regulations), (d) the Foreign Terrorist Organizations Sanctions Regulations (Title 31 Part 597 of the US Code of Federal Regulations), (e) the USA Patriot Act of 2001 (Pub. L. No. 107-56), (f) the U.S. Money Laundering Control Act of 1986, as amended, (g) the Bank Secrecy Act, 31 U.S.C. sections 5301 et seq., (h) Laundering of Monetary Instruments, 18 U.S.C. section 1956, (i) Engaging in Monetary Transactions in Property Derived from Specified Unlawful Activity, 18 U.S.C. section 1957, (j) the Financial Recordkeeping and Reporting of Currency and Foreign Transactions Regulations (Title 31 Part 103 of the US Code of Federal Regulations), (k) any other similar rule by any Sanctions Authority having the force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20"/>
          <w:szCs w:val="20"/>
          <w:color w:val="auto"/>
        </w:rPr>
        <w:t>law and relating to money laundering, terrorist acts or acts of war, and (l) any regulations promulgated under any of the foregoing.</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Prepayment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hanging="90"/>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Owners</w:t>
      </w:r>
      <w:r>
        <w:rPr>
          <w:rFonts w:ascii="Times New Roman" w:cs="Times New Roman" w:eastAsia="Times New Roman" w:hAnsi="Times New Roman"/>
          <w:sz w:val="20"/>
          <w:szCs w:val="20"/>
          <w:color w:val="auto"/>
        </w:rPr>
        <w:t>” means (a) Global Infrastructure Management, LLC, (b) Devonshire Investment Pte. Ltd., (c) MIC TI Holding Company 2 RSC Limited, (d) Global LNG North America Corp., (e) any Qualified Mezzanine Entity, and (f) to the extent satisfying the KYC Requirements, any other Person approved by the Trustee acting at the instruction of the Noteholders of a majority in aggregate principal amount of the Notes then outstanding.</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Sale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Sale Proceeds</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Authentication Order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right"/>
        <w:ind w:left="640"/>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Base Committed Quantity</w:t>
      </w:r>
      <w:r>
        <w:rPr>
          <w:rFonts w:ascii="Times New Roman" w:cs="Times New Roman" w:eastAsia="Times New Roman" w:hAnsi="Times New Roman"/>
          <w:sz w:val="19"/>
          <w:szCs w:val="19"/>
          <w:color w:val="auto"/>
        </w:rPr>
        <w:t xml:space="preserve">” means 844.880 million MMBtu (equivalent to approximately 16.19 MTPA), being the aggregate ACQ under the Initial Offtake Agreements;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following the full payment of the required amount of Senior Secured Debt (taking into account any amounts offered but not accepted by the Noteholders or other applicable Senior Secured Debt Holders) upon any LNG Sales Mandatory Prepayment Event pursuant to </w:t>
      </w:r>
      <w:r>
        <w:rPr>
          <w:rFonts w:ascii="Times New Roman" w:cs="Times New Roman" w:eastAsia="Times New Roman" w:hAnsi="Times New Roman"/>
          <w:sz w:val="19"/>
          <w:szCs w:val="19"/>
          <w:u w:val="single" w:color="auto"/>
          <w:color w:val="auto"/>
        </w:rPr>
        <w:t>Section 4.8(a)</w:t>
      </w:r>
      <w:r>
        <w:rPr>
          <w:rFonts w:ascii="Times New Roman" w:cs="Times New Roman" w:eastAsia="Times New Roman" w:hAnsi="Times New Roman"/>
          <w:sz w:val="19"/>
          <w:szCs w:val="19"/>
          <w:color w:val="auto"/>
        </w:rPr>
        <w:t xml:space="preserve">, the Base Committed Quantity will be equal to the aggregate ACQ under the Designated Offtake Agreements used to calculate the amount of Senior Secured Debt that the Company is not required to repay pursuant to </w:t>
      </w:r>
      <w:r>
        <w:rPr>
          <w:rFonts w:ascii="Times New Roman" w:cs="Times New Roman" w:eastAsia="Times New Roman" w:hAnsi="Times New Roman"/>
          <w:sz w:val="19"/>
          <w:szCs w:val="19"/>
          <w:u w:val="single" w:color="auto"/>
          <w:color w:val="auto"/>
        </w:rPr>
        <w:t>Section 4.8(a)</w:t>
      </w:r>
      <w:r>
        <w:rPr>
          <w:rFonts w:ascii="Times New Roman" w:cs="Times New Roman" w:eastAsia="Times New Roman" w:hAnsi="Times New Roman"/>
          <w:sz w:val="19"/>
          <w:szCs w:val="19"/>
          <w:color w:val="auto"/>
        </w:rPr>
        <w:t>, (b) to the extent that any other Offtake Agreement becomes a Designated Offtake Agreement or an existing Designated Offtake Agreement is amended to adjust the quantity of LNG contracted to be sold thereunder, the Base Committed Quantity will be equal to the aggregate ACQ under such Designated Offtake Agreements as at such time, and</w:t>
      </w:r>
    </w:p>
    <w:p>
      <w:pPr>
        <w:jc w:val="both"/>
        <w:ind w:left="740" w:hanging="3"/>
        <w:spacing w:after="0" w:line="253" w:lineRule="auto"/>
        <w:tabs>
          <w:tab w:leader="none" w:pos="103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prepayment of Senior Secured Debt (other than any prepayment referenced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Base Committed Quantity will be reduced to the minimum ACQ under the Designated Offtake Agreements in effect at such time that is required to achieve an Indenture Projected DSCR of at least 1.40:1.00 (or, at any time after any prepayment referenced in clause (a), 1.20:1.00) based on the Base Case Forecast updated only to reflect such prepayment.</w:t>
      </w:r>
    </w:p>
    <w:p>
      <w:pPr>
        <w:spacing w:after="0" w:line="158" w:lineRule="exact"/>
        <w:rPr>
          <w:sz w:val="20"/>
          <w:szCs w:val="20"/>
          <w:color w:val="auto"/>
        </w:rPr>
      </w:pPr>
    </w:p>
    <w:p>
      <w:pPr>
        <w:jc w:val="both"/>
        <w:ind w:left="740" w:hanging="9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“beneficially owned” and “beneficial ownership” have a corresponding meaning.</w:t>
      </w:r>
    </w:p>
    <w:p>
      <w:pPr>
        <w:spacing w:after="0" w:line="174" w:lineRule="exact"/>
        <w:rPr>
          <w:sz w:val="20"/>
          <w:szCs w:val="20"/>
          <w:color w:val="auto"/>
        </w:rPr>
      </w:pPr>
    </w:p>
    <w:p>
      <w:pPr>
        <w:ind w:left="640" w:right="740" w:firstLine="19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 (31 C.F.R. § 1010.230).</w:t>
      </w:r>
    </w:p>
    <w:p>
      <w:pPr>
        <w:spacing w:after="0" w:line="192" w:lineRule="exact"/>
        <w:rPr>
          <w:sz w:val="20"/>
          <w:szCs w:val="20"/>
          <w:color w:val="auto"/>
        </w:rPr>
      </w:pPr>
    </w:p>
    <w:p>
      <w:pPr>
        <w:ind w:left="640" w:right="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BLK Senior Notes DSRA</w:t>
      </w:r>
      <w:r>
        <w:rPr>
          <w:rFonts w:ascii="Times New Roman" w:cs="Times New Roman" w:eastAsia="Times New Roman" w:hAnsi="Times New Roman"/>
          <w:sz w:val="20"/>
          <w:szCs w:val="20"/>
          <w:color w:val="auto"/>
        </w:rPr>
        <w:t>” means the account established pursuant to Section 2.3(b) of the P1 Accounts Agreement with respect to the Company’s debt service reserve requirement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36" w:name="page37"/>
    <w:bookmarkEnd w:id="36"/>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Canada Blocked Person</w:t>
      </w:r>
      <w:r>
        <w:rPr>
          <w:rFonts w:ascii="Times New Roman" w:cs="Times New Roman" w:eastAsia="Times New Roman" w:hAnsi="Times New Roman"/>
          <w:sz w:val="20"/>
          <w:szCs w:val="20"/>
          <w:color w:val="auto"/>
        </w:rPr>
        <w:t>” means (i) a “terrorist group” as defined for the purposes of Part II.1 of the Criminal Code (Canada), as amended or (ii) a Person identified in or pursuant to (w) Part II.1 of the Criminal Code (Canada), as amended or (x) the Proceeds of Crime (Money Laundering) and Terrorist Financing Act, as amended or (y) the Justice for Victims of Corrupt Foreign Officials Act (Sergei Magnitsky Law), as amended or (z) regulations or orders promulgated pursuant to the Special Economic Measures Act (Canada), as amended, the United Nations Act (Canada), as amended, or the Freezing Assets of Corrupt Foreign Officials Act (Canada), as amended, in any case pursuant to this clause (ii) as a Person in respect of whose property or benefit a holder of Notes would be prohibited from entering into or facilitating a related financial transaction.</w:t>
      </w:r>
    </w:p>
    <w:p>
      <w:pPr>
        <w:spacing w:after="0" w:line="200"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Order</w:t>
      </w:r>
      <w:r>
        <w:rPr>
          <w:rFonts w:ascii="Times New Roman" w:cs="Times New Roman" w:eastAsia="Times New Roman" w:hAnsi="Times New Roman"/>
          <w:sz w:val="20"/>
          <w:szCs w:val="20"/>
          <w:color w:val="auto"/>
        </w:rPr>
        <w:t>” means, as the context may require, a “Change Order” as defined in the T1/T2 EPC Contract, a “Change Order” as defined in the T3 EPC Contract, or both.</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w:t>
      </w:r>
    </w:p>
    <w:p>
      <w:pPr>
        <w:spacing w:after="0" w:line="233" w:lineRule="exact"/>
        <w:rPr>
          <w:sz w:val="20"/>
          <w:szCs w:val="20"/>
          <w:color w:val="auto"/>
        </w:rPr>
      </w:pPr>
    </w:p>
    <w:p>
      <w:pPr>
        <w:jc w:val="both"/>
        <w:ind w:left="1920" w:hanging="636"/>
        <w:spacing w:after="0" w:line="248" w:lineRule="auto"/>
        <w:tabs>
          <w:tab w:leader="none" w:pos="191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prior to the Project Completion Date, the Sponsor and the Approved Owners collectively fail to directly or indirectly hold legally and beneficially more than 50% of the total voting and economic Equity Interests of the Company and voting Equity Interests of the Pledgor;</w:t>
      </w:r>
    </w:p>
    <w:p>
      <w:pPr>
        <w:spacing w:after="0" w:line="208" w:lineRule="exact"/>
        <w:rPr>
          <w:rFonts w:ascii="Times New Roman" w:cs="Times New Roman" w:eastAsia="Times New Roman" w:hAnsi="Times New Roman"/>
          <w:sz w:val="22"/>
          <w:szCs w:val="22"/>
          <w:color w:val="auto"/>
        </w:rPr>
      </w:pPr>
    </w:p>
    <w:p>
      <w:pPr>
        <w:ind w:left="1920" w:right="20" w:hanging="636"/>
        <w:spacing w:after="0" w:line="245" w:lineRule="auto"/>
        <w:tabs>
          <w:tab w:leader="none" w:pos="191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prior to the Project Completion Date, the Sponsor fails to directly or indirectly hold legally and beneficially 15% or more of the voting and economic Equity Interests of the Company;</w:t>
      </w:r>
    </w:p>
    <w:p>
      <w:pPr>
        <w:spacing w:after="0" w:line="208" w:lineRule="exact"/>
        <w:rPr>
          <w:rFonts w:ascii="Times New Roman" w:cs="Times New Roman" w:eastAsia="Times New Roman" w:hAnsi="Times New Roman"/>
          <w:sz w:val="22"/>
          <w:szCs w:val="22"/>
          <w:color w:val="auto"/>
        </w:rPr>
      </w:pPr>
    </w:p>
    <w:p>
      <w:pPr>
        <w:jc w:val="both"/>
        <w:ind w:left="1920" w:hanging="636"/>
        <w:spacing w:after="0" w:line="245" w:lineRule="auto"/>
        <w:tabs>
          <w:tab w:leader="none" w:pos="191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on and after the Project Completion Date, the Sponsor, any Approved Owners, any Qualified Public Company, any Qualified Investment Entity, any Qualified Offtaker Investor, and any Qualified Energy Company collectively fail to directly or indirectly hold legally and beneficially more than 50% of the total voting and economic Equity Interests of the Company; or</w:t>
      </w:r>
    </w:p>
    <w:p>
      <w:pPr>
        <w:spacing w:after="0" w:line="211" w:lineRule="exact"/>
        <w:rPr>
          <w:rFonts w:ascii="Times New Roman" w:cs="Times New Roman" w:eastAsia="Times New Roman" w:hAnsi="Times New Roman"/>
          <w:sz w:val="22"/>
          <w:szCs w:val="22"/>
          <w:color w:val="auto"/>
        </w:rPr>
      </w:pPr>
    </w:p>
    <w:p>
      <w:pPr>
        <w:ind w:left="1920" w:hanging="636"/>
        <w:spacing w:after="0" w:line="245" w:lineRule="auto"/>
        <w:tabs>
          <w:tab w:leader="none" w:pos="191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at any time, the Pledgor fails to hold legally and beneficially 100% of the total voting and economic Equity Interests in the Company;</w:t>
      </w:r>
    </w:p>
    <w:p>
      <w:pPr>
        <w:spacing w:after="0" w:line="168" w:lineRule="exact"/>
        <w:rPr>
          <w:sz w:val="20"/>
          <w:szCs w:val="20"/>
          <w:color w:val="auto"/>
        </w:rPr>
      </w:pPr>
    </w:p>
    <w:p>
      <w:pPr>
        <w:jc w:val="both"/>
        <w:ind w:left="1280"/>
        <w:spacing w:after="0" w:line="250"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any Equity Interests of the Pledgor that are held legally and beneficially through an entity of which the Sponsor, any Approved Owners, any Qualified Investment Entity, any Qualified Offtaker Investor, or any Qualified Energy Company, as applicable, is the general partner and has the power, whether by contract, equity ownership, or otherwise, to direct or cause the direction of the policies and management of such entity, shall be included when calculating such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the definition of Approved Owners, (w) “Global Infrastructure Management, LLC” means Global Infrastructure Management, LLC, its Related Entities and its Affiliates, where (i) “Affiliates” means (A) any Person that is managed or advised by Global Infrastructure Management, LLC or its Related Entities or (B) any trustee, custodian, or nominee of any fund managed or advised by Global Infrastructure Management, LLC or its Related Entities and (ii) “advised” means being in receipt of an implementing advice in relation to the management of investments of that Person which (other than in relation to actually making decisions to implement such advice) is substantially the same as the services which would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37" w:name="page38"/>
    <w:bookmarkEnd w:id="37"/>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by a fund manager of the relevant Person, (x) “Devonshire Investment Pte. Ltd.” means Devonshire Investment Pte. Ltd., its Related Entities and its Affiliates, where “Affiliates” means any Person that is, or is managed or advised by, GIC Private Limited or its Related Entities and (y) “MIC TI Holding Company 2 RSC Limited” means MIC TI Holding Company 2 RSC Limited, its Related Entities and its Affiliates, where “Affiliates” means the government of the Emirate of Abu Dhabi and any Person it Controls, whether directly or indirectly.</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Triggering Event</w:t>
      </w:r>
      <w:r>
        <w:rPr>
          <w:rFonts w:ascii="Times New Roman" w:cs="Times New Roman" w:eastAsia="Times New Roman" w:hAnsi="Times New Roman"/>
          <w:sz w:val="20"/>
          <w:szCs w:val="20"/>
          <w:color w:val="auto"/>
        </w:rPr>
        <w:t xml:space="preserve">” means the occurrence of a Change of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Change of Control shall not be deemed to have occurred if the Company shall have received written confirmation that a Rating Reaffirmation shall have occurred.</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and the rules and regulations promulgated thereunder from time to time.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Proceeds</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jc w:val="both"/>
        <w:ind w:left="740" w:right="2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Terms Agreement</w:t>
      </w:r>
      <w:r>
        <w:rPr>
          <w:rFonts w:ascii="Times New Roman" w:cs="Times New Roman" w:eastAsia="Times New Roman" w:hAnsi="Times New Roman"/>
          <w:sz w:val="20"/>
          <w:szCs w:val="20"/>
          <w:color w:val="auto"/>
        </w:rPr>
        <w:t>” means the Common Terms Agreement, dated as of July 12, 2023, by and among the Company, each Senior Secured Debt Holder Representative that is a party thereto and the P1 Intercreditor Agent.</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set forth in the Preamble hereto.</w:t>
      </w:r>
    </w:p>
    <w:p>
      <w:pPr>
        <w:spacing w:after="0" w:line="202"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Construction Budget and Schedule</w:t>
      </w:r>
      <w:r>
        <w:rPr>
          <w:rFonts w:ascii="Times New Roman" w:cs="Times New Roman" w:eastAsia="Times New Roman" w:hAnsi="Times New Roman"/>
          <w:sz w:val="20"/>
          <w:szCs w:val="20"/>
          <w:color w:val="auto"/>
        </w:rPr>
        <w:t xml:space="preserve">” means (a) a budget attached as </w:t>
      </w:r>
      <w:r>
        <w:rPr>
          <w:rFonts w:ascii="Times New Roman" w:cs="Times New Roman" w:eastAsia="Times New Roman" w:hAnsi="Times New Roman"/>
          <w:sz w:val="20"/>
          <w:szCs w:val="20"/>
          <w:u w:val="single" w:color="auto"/>
          <w:color w:val="auto"/>
        </w:rPr>
        <w:t>Exhibit O-1</w:t>
      </w:r>
      <w:r>
        <w:rPr>
          <w:rFonts w:ascii="Times New Roman" w:cs="Times New Roman" w:eastAsia="Times New Roman" w:hAnsi="Times New Roman"/>
          <w:sz w:val="20"/>
          <w:szCs w:val="20"/>
          <w:color w:val="auto"/>
        </w:rPr>
        <w:t xml:space="preserve"> to the CD Credit Agreement setting forth, on a monthly basis, the timing and amount of all projected payments of P1 Project Costs through the date on which Substantial Completion under each P1 EPC Contract shall have occurred under each of the P1 EPC Contracts and (b) a schedule attached as </w:t>
      </w:r>
      <w:r>
        <w:rPr>
          <w:rFonts w:ascii="Times New Roman" w:cs="Times New Roman" w:eastAsia="Times New Roman" w:hAnsi="Times New Roman"/>
          <w:sz w:val="20"/>
          <w:szCs w:val="20"/>
          <w:u w:val="single" w:color="auto"/>
          <w:color w:val="auto"/>
        </w:rPr>
        <w:t>Exhibit O-2</w:t>
      </w:r>
      <w:r>
        <w:rPr>
          <w:rFonts w:ascii="Times New Roman" w:cs="Times New Roman" w:eastAsia="Times New Roman" w:hAnsi="Times New Roman"/>
          <w:sz w:val="20"/>
          <w:szCs w:val="20"/>
          <w:color w:val="auto"/>
        </w:rPr>
        <w:t xml:space="preserve"> to the CD Credit Agreement setting forth the proposed engineering, procurement, construction and testing milestone schedule for the Project’s Development through the projected date on which Final Completion shall have occurred under each of the P1 EPC Contracts, which budget and schedule shall (i) be certified by the Company as the best reasonable estimate of the information set forth therein as of the Closing Date, (ii) be consistent with the requirements of the P1 Financing Documents and the Material Project Documents, and (iii) as of the Closing Date, be in form and substance acceptable to the Noteholders in consultation with the Independent Engineer, in each case as may be amended, supplemented or otherwise modified to take into account any Change Orders permitted under the CD Credit Agreement.</w:t>
      </w:r>
    </w:p>
    <w:p>
      <w:pPr>
        <w:spacing w:after="0" w:line="164" w:lineRule="exact"/>
        <w:rPr>
          <w:sz w:val="20"/>
          <w:szCs w:val="20"/>
          <w:color w:val="auto"/>
        </w:rPr>
      </w:pPr>
    </w:p>
    <w:p>
      <w:pPr>
        <w:jc w:val="both"/>
        <w:ind w:left="74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Contracted Revenues</w:t>
      </w:r>
      <w:r>
        <w:rPr>
          <w:rFonts w:ascii="Times New Roman" w:cs="Times New Roman" w:eastAsia="Times New Roman" w:hAnsi="Times New Roman"/>
          <w:sz w:val="20"/>
          <w:szCs w:val="20"/>
          <w:color w:val="auto"/>
        </w:rPr>
        <w:t>” means, for any period, Cash Flow projected to be received by the Company during such period under Qualified Offtake Agreements calculated solely to reflect the price paid if no LNG is lifted under Qualified Offtake Agreements then in effect.</w:t>
      </w:r>
    </w:p>
    <w:p>
      <w:pPr>
        <w:spacing w:after="0" w:line="148" w:lineRule="exact"/>
        <w:rPr>
          <w:sz w:val="20"/>
          <w:szCs w:val="20"/>
          <w:color w:val="auto"/>
        </w:rPr>
      </w:pPr>
    </w:p>
    <w:p>
      <w:pPr>
        <w:jc w:val="both"/>
        <w:ind w:left="74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Controlled Subsidiary</w:t>
      </w:r>
      <w:r>
        <w:rPr>
          <w:rFonts w:ascii="Times New Roman" w:cs="Times New Roman" w:eastAsia="Times New Roman" w:hAnsi="Times New Roman"/>
          <w:sz w:val="20"/>
          <w:szCs w:val="20"/>
          <w:color w:val="auto"/>
        </w:rPr>
        <w:t>” means, with respect to any specified Person, a corporation, partnership, joint venture, limited liability company or other Person of which a majority of the Equity Interests of such Person having ordinary voting power or authority for the election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38" w:name="page39"/>
    <w:bookmarkEnd w:id="38"/>
    <w:p>
      <w:pPr>
        <w:jc w:val="both"/>
        <w:ind w:left="740"/>
        <w:spacing w:after="0" w:line="261" w:lineRule="auto"/>
        <w:rPr>
          <w:sz w:val="20"/>
          <w:szCs w:val="20"/>
          <w:color w:val="auto"/>
        </w:rPr>
      </w:pPr>
      <w:r>
        <w:rPr>
          <w:rFonts w:ascii="Times New Roman" w:cs="Times New Roman" w:eastAsia="Times New Roman" w:hAnsi="Times New Roman"/>
          <w:sz w:val="20"/>
          <w:szCs w:val="20"/>
          <w:color w:val="auto"/>
        </w:rPr>
        <w:t>appointment of directors, managers or other governing body (other than Equity Interests having such power or authority only by reason of the happening of a contingency) are at the time beneficially owned, or the management of which is otherwise Controlled, directly or indirectly through one or more intermediaries, or both, by such specified Person.</w:t>
      </w:r>
    </w:p>
    <w:p>
      <w:pPr>
        <w:spacing w:after="0" w:line="150" w:lineRule="exact"/>
        <w:rPr>
          <w:sz w:val="20"/>
          <w:szCs w:val="20"/>
          <w:color w:val="auto"/>
        </w:rPr>
      </w:pPr>
    </w:p>
    <w:p>
      <w:pPr>
        <w:jc w:val="both"/>
        <w:ind w:left="740" w:hanging="9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Trust Office of the Trustee</w:t>
      </w:r>
      <w:r>
        <w:rPr>
          <w:rFonts w:ascii="Times New Roman" w:cs="Times New Roman" w:eastAsia="Times New Roman" w:hAnsi="Times New Roman"/>
          <w:sz w:val="20"/>
          <w:szCs w:val="20"/>
          <w:color w:val="auto"/>
        </w:rPr>
        <w:t xml:space="preserve">” will be at the address of the Trustee specified in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or such other address as to which the Trustee may give notice to the Company and the Noteholders or the designated corporate trust office of any successor Trustee.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Covenant Defeasance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Custodian</w:t>
      </w:r>
      <w:r>
        <w:rPr>
          <w:rFonts w:ascii="Times New Roman" w:cs="Times New Roman" w:eastAsia="Times New Roman" w:hAnsi="Times New Roman"/>
          <w:sz w:val="19"/>
          <w:szCs w:val="19"/>
          <w:color w:val="auto"/>
        </w:rPr>
        <w:t>” means the Trustee, as custodian with respect to the Notes in registered book-entry form, or any successor entity thereto.</w:t>
      </w:r>
    </w:p>
    <w:p>
      <w:pPr>
        <w:spacing w:after="0" w:line="214" w:lineRule="exact"/>
        <w:rPr>
          <w:sz w:val="20"/>
          <w:szCs w:val="20"/>
          <w:color w:val="auto"/>
        </w:rPr>
      </w:pPr>
    </w:p>
    <w:p>
      <w:pPr>
        <w:jc w:val="both"/>
        <w:ind w:left="740" w:hanging="9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Date Certain</w:t>
      </w:r>
      <w:r>
        <w:rPr>
          <w:rFonts w:ascii="Times New Roman" w:cs="Times New Roman" w:eastAsia="Times New Roman" w:hAnsi="Times New Roman"/>
          <w:sz w:val="20"/>
          <w:szCs w:val="20"/>
          <w:color w:val="auto"/>
        </w:rPr>
        <w:t>” shall mean, the “Date Certain” as defined under the CD Credit Agreement, as of the date of this Indenture and without giving effect to how that term may be amended, waived, extended or otherwise modified from time to time, pursuant to the terms of the CD Credit Agreement notwithstanding any contrary provision in any P1 Financing Document.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DBRS</w:t>
      </w:r>
      <w:r>
        <w:rPr>
          <w:rFonts w:ascii="Times New Roman" w:cs="Times New Roman" w:eastAsia="Times New Roman" w:hAnsi="Times New Roman"/>
          <w:sz w:val="20"/>
          <w:szCs w:val="20"/>
          <w:color w:val="auto"/>
        </w:rPr>
        <w:t>” means Morningstar DBRS or any successor thereto.</w:t>
      </w:r>
    </w:p>
    <w:p>
      <w:pPr>
        <w:spacing w:after="0" w:line="202" w:lineRule="exact"/>
        <w:rPr>
          <w:sz w:val="20"/>
          <w:szCs w:val="20"/>
          <w:color w:val="auto"/>
        </w:rPr>
      </w:pPr>
    </w:p>
    <w:p>
      <w:pPr>
        <w:jc w:val="right"/>
        <w:ind w:left="6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Debt Fund Affiliate</w:t>
      </w:r>
      <w:r>
        <w:rPr>
          <w:rFonts w:ascii="Times New Roman" w:cs="Times New Roman" w:eastAsia="Times New Roman" w:hAnsi="Times New Roman"/>
          <w:sz w:val="19"/>
          <w:szCs w:val="19"/>
          <w:color w:val="auto"/>
        </w:rPr>
        <w:t xml:space="preserve">” means any Affiliate of the Company or any if its subsidiaries that is, in each case, a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debt fund or an investment vehicle that is engaged in the making, purchasing, holding or otherwise investing in commercial loans, bonds and similar extensions of credit in the ordinary course, is not organized for the purpose of making equity investments, and with respect to which</w:t>
      </w:r>
    </w:p>
    <w:p>
      <w:pPr>
        <w:jc w:val="both"/>
        <w:ind w:left="740" w:hanging="3"/>
        <w:spacing w:after="0" w:line="250" w:lineRule="auto"/>
        <w:tabs>
          <w:tab w:leader="none" w:pos="102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Debt Fund Affiliate has in place customary information barriers between it and the applicable Equity Owner and any Affiliate of the applicable Equity Owner that is not primarily engaged in the investing activities described above, (b) its managers have fiduciary duties to the investors thereof independent of and in addition to their duties to the applicable Equity Owner and any Affiliate of the applicable Equity Owner, and (c) the Equity Owners and investment vehicles managed or advised by any Equity Owner that are not engaged primarily in making, purchasing, holding or otherwise investing in commercial loans, bonds and similar extensions of credit in the ordinary course do not, either directly or indirectly, make investment decisions for such entity.</w:t>
      </w:r>
    </w:p>
    <w:p>
      <w:pPr>
        <w:spacing w:after="0" w:line="163" w:lineRule="exact"/>
        <w:rPr>
          <w:sz w:val="20"/>
          <w:szCs w:val="20"/>
          <w:color w:val="auto"/>
        </w:rPr>
      </w:pPr>
    </w:p>
    <w:p>
      <w:pPr>
        <w:jc w:val="both"/>
        <w:ind w:left="74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 to Equity Ratio</w:t>
      </w:r>
      <w:r>
        <w:rPr>
          <w:rFonts w:ascii="Times New Roman" w:cs="Times New Roman" w:eastAsia="Times New Roman" w:hAnsi="Times New Roman"/>
          <w:sz w:val="20"/>
          <w:szCs w:val="20"/>
          <w:color w:val="auto"/>
        </w:rPr>
        <w:t>” means, as of any date of determination, the ratio of (a) the aggregate principal amount of all Senior Secured Debt (other than the principal of Working Capital Debt) at such time outstanding to (b) the sum of Aggregate Funded Equity and Voluntary Equity Contributions, in each case, made on or prior to such date.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 Relief Law</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jc w:val="both"/>
        <w:ind w:left="74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(i) any CTA Default and (ii) any other event or condition which, with the giving of notice, lapse of time or upon a declaration or determination being made (or any combination thereof), would become an Event of Default.</w:t>
      </w:r>
    </w:p>
    <w:p>
      <w:pPr>
        <w:spacing w:after="0" w:line="152" w:lineRule="exact"/>
        <w:rPr>
          <w:sz w:val="20"/>
          <w:szCs w:val="20"/>
          <w:color w:val="auto"/>
        </w:rPr>
      </w:pPr>
    </w:p>
    <w:p>
      <w:pPr>
        <w:jc w:val="both"/>
        <w:ind w:left="74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Definitive Note</w:t>
      </w:r>
      <w:r>
        <w:rPr>
          <w:rFonts w:ascii="Times New Roman" w:cs="Times New Roman" w:eastAsia="Times New Roman" w:hAnsi="Times New Roman"/>
          <w:sz w:val="20"/>
          <w:szCs w:val="20"/>
          <w:color w:val="auto"/>
        </w:rPr>
        <w:t xml:space="preserve">” means a certificated Note registered in the name of the Noteholder, issued in accordance with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and, in the case of Initial Notes,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39" w:name="page40"/>
    <w:bookmarkEnd w:id="39"/>
    <w:p>
      <w:pPr>
        <w:jc w:val="both"/>
        <w:ind w:left="74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Delivered</w:t>
      </w:r>
      <w:r>
        <w:rPr>
          <w:rFonts w:ascii="Times New Roman" w:cs="Times New Roman" w:eastAsia="Times New Roman" w:hAnsi="Times New Roman"/>
          <w:sz w:val="20"/>
          <w:szCs w:val="20"/>
          <w:color w:val="auto"/>
        </w:rPr>
        <w:t>” refers to quantities of LNG sold “cost, insurance and freight,” “cost and freight,” “delivered ex ship,” “delivered at terminal,” or otherwise where the Company is responsible for the transportation of LNG to a delivery point other than at the Rio Grande Facility under the terms of the relevant Offtake Agreement.</w:t>
      </w:r>
    </w:p>
    <w:p>
      <w:pPr>
        <w:spacing w:after="0" w:line="148" w:lineRule="exact"/>
        <w:rPr>
          <w:sz w:val="20"/>
          <w:szCs w:val="20"/>
          <w:color w:val="auto"/>
        </w:rPr>
      </w:pPr>
    </w:p>
    <w:p>
      <w:pPr>
        <w:jc w:val="both"/>
        <w:ind w:left="740" w:hanging="9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Institution</w:t>
      </w:r>
      <w:r>
        <w:rPr>
          <w:rFonts w:ascii="Times New Roman" w:cs="Times New Roman" w:eastAsia="Times New Roman" w:hAnsi="Times New Roman"/>
          <w:sz w:val="20"/>
          <w:szCs w:val="20"/>
          <w:color w:val="auto"/>
        </w:rPr>
        <w:t>” means (a) any person set forth by the Company on Annex B as of the date hereof, as updated from time to time by the Company by three Business Days’ prior written notice to the Trustee to add any competitor of any Loan Party, Global Infrastructure Management, LLC, TotalEnergies SE, and their respective subsidiaries, and such competitor’s Affiliates or (b) any clearly identifiable (solely on the basis of its name or as identified by the Company to the Trustee) Affiliate of the entities described in clause (a); provided, that “Disqualified Institution” shall not include in each case a Disqualified Institution Debt Fund Affiliate of any entity not listed under the heading “Group A” in Annex B hereto; provided, further, that the Company shall not add more than two additional entity names per calendar year to “Group A” under Annex B following the date hereof; provided, further, that any designation as a “Disqualified Institution” shall not apply retroactively to any then current Noteholder.</w:t>
      </w:r>
    </w:p>
    <w:p>
      <w:pPr>
        <w:spacing w:after="0" w:line="159" w:lineRule="exact"/>
        <w:rPr>
          <w:sz w:val="20"/>
          <w:szCs w:val="20"/>
          <w:color w:val="auto"/>
        </w:rPr>
      </w:pPr>
    </w:p>
    <w:p>
      <w:pPr>
        <w:jc w:val="both"/>
        <w:ind w:left="740" w:hanging="9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Institution Debt Fund Affiliate</w:t>
      </w:r>
      <w:r>
        <w:rPr>
          <w:rFonts w:ascii="Times New Roman" w:cs="Times New Roman" w:eastAsia="Times New Roman" w:hAnsi="Times New Roman"/>
          <w:sz w:val="20"/>
          <w:szCs w:val="20"/>
          <w:color w:val="auto"/>
        </w:rPr>
        <w:t>” means a bona fide debt fund or an investment vehicle that is engaged in the making, purchasing, holding or otherwise investing in commercial loans, bonds and similar extensions of credit in the ordinary course, is not organized for the purpose of making equity investments, and with respect to which (a) any such Disqualified Institution Debt Fund Affiliate has in place customary information barriers between it and the applicable Disqualified Institution and any Affiliate of the applicable Disqualified Institution that is not primarily engaged in the investing activities described above, (b) its managers have fiduciary duties to the investors thereof independent of and in addition to their duties to the applicable Disqualified Institution and any Affiliate of the applicable Disqualified Institution, and (c) the Disqualified Institution and investment vehicles managed or advised by such Disqualified Institution that are not engaged primarily in making, purchasing, holding or otherwise investing in commercial loans, bonds and similar extensions of credit in the ordinary course do not, either directly or indirectly, make investment decisions for such entity.</w:t>
      </w:r>
    </w:p>
    <w:p>
      <w:pPr>
        <w:spacing w:after="0" w:line="160" w:lineRule="exact"/>
        <w:rPr>
          <w:sz w:val="20"/>
          <w:szCs w:val="20"/>
          <w:color w:val="auto"/>
        </w:rPr>
      </w:pPr>
    </w:p>
    <w:p>
      <w:pPr>
        <w:jc w:val="both"/>
        <w:ind w:left="740" w:hanging="9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DOE Export Authorizations</w:t>
      </w:r>
      <w:r>
        <w:rPr>
          <w:rFonts w:ascii="Times New Roman" w:cs="Times New Roman" w:eastAsia="Times New Roman" w:hAnsi="Times New Roman"/>
          <w:sz w:val="20"/>
          <w:szCs w:val="20"/>
          <w:color w:val="auto"/>
        </w:rPr>
        <w:t>” means (a) the Order Granting Long-Term Multi-Contract Authorization to Export LNG to Free Trade Agreement Nations issued by DOE/FE in FE Docket No. 15-190-LNG in its Order No. 3869 on August 17, 2016, and (b) the Opinion and Order Granting Long-Term Multi-Contract Authorization to Export LNG to Non-Free Trade Agreement Nations issued by DOE/FE in FE Docket No. 15-190-LNG in its Order No. 4492 on February 10, 2020, as amended to extend the term in DOE/FE Order No. 4492-A issued on October 21, 2020.</w:t>
      </w:r>
    </w:p>
    <w:p>
      <w:pPr>
        <w:spacing w:after="0" w:line="154" w:lineRule="exact"/>
        <w:rPr>
          <w:sz w:val="20"/>
          <w:szCs w:val="20"/>
          <w:color w:val="auto"/>
        </w:rPr>
      </w:pPr>
    </w:p>
    <w:p>
      <w:pPr>
        <w:jc w:val="both"/>
        <w:ind w:left="740" w:right="2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DOE/FE</w:t>
      </w:r>
      <w:r>
        <w:rPr>
          <w:rFonts w:ascii="Times New Roman" w:cs="Times New Roman" w:eastAsia="Times New Roman" w:hAnsi="Times New Roman"/>
          <w:sz w:val="20"/>
          <w:szCs w:val="20"/>
          <w:color w:val="auto"/>
        </w:rPr>
        <w:t>” means the U.S. Department of Energy, Office of Fossil Energy or, as subsequently renamed, Office of Fossil Energy and Carbon Management.</w:t>
      </w:r>
    </w:p>
    <w:p>
      <w:pPr>
        <w:spacing w:after="0" w:line="125" w:lineRule="exact"/>
        <w:rPr>
          <w:sz w:val="20"/>
          <w:szCs w:val="20"/>
          <w:color w:val="auto"/>
        </w:rPr>
      </w:pPr>
    </w:p>
    <w:p>
      <w:pPr>
        <w:jc w:val="both"/>
        <w:ind w:left="74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and Social Action Plan</w:t>
      </w:r>
      <w:r>
        <w:rPr>
          <w:rFonts w:ascii="Times New Roman" w:cs="Times New Roman" w:eastAsia="Times New Roman" w:hAnsi="Times New Roman"/>
          <w:sz w:val="20"/>
          <w:szCs w:val="20"/>
          <w:color w:val="auto"/>
        </w:rPr>
        <w:t>” means the Environmental and Social Action Plan attached to the report of the Environmental Advisor delivered pursuant to this Indenture, together with any updates thereto as may be made from time to time by the Company as required or permitted under the P1 Financing Documents.</w:t>
      </w:r>
    </w:p>
    <w:p>
      <w:pPr>
        <w:spacing w:after="0" w:line="148" w:lineRule="exact"/>
        <w:rPr>
          <w:sz w:val="20"/>
          <w:szCs w:val="20"/>
          <w:color w:val="auto"/>
        </w:rPr>
      </w:pPr>
    </w:p>
    <w:p>
      <w:pPr>
        <w:ind w:left="740" w:right="20" w:firstLine="323"/>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Equator Principles</w:t>
      </w:r>
      <w:r>
        <w:rPr>
          <w:rFonts w:ascii="Times New Roman" w:cs="Times New Roman" w:eastAsia="Times New Roman" w:hAnsi="Times New Roman"/>
          <w:sz w:val="20"/>
          <w:szCs w:val="20"/>
          <w:color w:val="auto"/>
        </w:rPr>
        <w:t>” means the principles named “The Equator Principles EP4 – A financial industry benchmark for determining, assessing and managing environmental and social risk in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40" w:name="page41"/>
    <w:bookmarkEnd w:id="40"/>
    <w:p>
      <w:pPr>
        <w:ind w:left="740"/>
        <w:spacing w:after="0"/>
        <w:rPr>
          <w:sz w:val="20"/>
          <w:szCs w:val="20"/>
          <w:color w:val="auto"/>
        </w:rPr>
      </w:pPr>
      <w:r>
        <w:rPr>
          <w:rFonts w:ascii="Times New Roman" w:cs="Times New Roman" w:eastAsia="Times New Roman" w:hAnsi="Times New Roman"/>
          <w:sz w:val="20"/>
          <w:szCs w:val="20"/>
          <w:color w:val="auto"/>
        </w:rPr>
        <w:t>projects” adopted by various financial institutions in the form dated July 2020 that became effective on October 1, 2020.</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00" w:lineRule="exact"/>
        <w:rPr>
          <w:sz w:val="20"/>
          <w:szCs w:val="20"/>
          <w:color w:val="auto"/>
        </w:rPr>
      </w:pPr>
    </w:p>
    <w:p>
      <w:pPr>
        <w:spacing w:after="0" w:line="259" w:lineRule="exact"/>
        <w:rPr>
          <w:sz w:val="20"/>
          <w:szCs w:val="20"/>
          <w:color w:val="auto"/>
        </w:rPr>
      </w:pPr>
    </w:p>
    <w:p>
      <w:pPr>
        <w:jc w:val="both"/>
        <w:ind w:left="740" w:hanging="90"/>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any corporation or trade or business which is a member of any group of organizations: (a) described in Section 414(b) or Section 414(c) of the Code of which the Company is a member and (b) solely for purposes of potential liability under Section 302(b) of ERISA and Section 412(b) of the Code and the lien created under Section 303(k) of ERISA and Section 430(k) of the Code, described in Section 414(m) or Section 414(o) of the Code of which the Company is a member.</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Event</w:t>
      </w:r>
      <w:r>
        <w:rPr>
          <w:rFonts w:ascii="Times New Roman" w:cs="Times New Roman" w:eastAsia="Times New Roman" w:hAnsi="Times New Roman"/>
          <w:sz w:val="20"/>
          <w:szCs w:val="20"/>
          <w:color w:val="auto"/>
        </w:rPr>
        <w:t>” means:</w:t>
      </w:r>
    </w:p>
    <w:p>
      <w:pPr>
        <w:spacing w:after="0" w:line="233" w:lineRule="exact"/>
        <w:rPr>
          <w:sz w:val="20"/>
          <w:szCs w:val="20"/>
          <w:color w:val="auto"/>
        </w:rPr>
      </w:pPr>
    </w:p>
    <w:p>
      <w:pPr>
        <w:jc w:val="both"/>
        <w:ind w:left="1920" w:hanging="636"/>
        <w:spacing w:after="0" w:line="248" w:lineRule="auto"/>
        <w:tabs>
          <w:tab w:leader="none" w:pos="191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“reportable event”, as defined in Section 4043 of ERISA or the regulations issued thereunder with respect to a Plan, other than events for which the 30-day notice period has been waived by current regulation under PBGC Regulation Subsections .27, .28, .29 or .31;</w:t>
      </w:r>
    </w:p>
    <w:p>
      <w:pPr>
        <w:spacing w:after="0" w:line="194" w:lineRule="exact"/>
        <w:rPr>
          <w:rFonts w:ascii="Times New Roman" w:cs="Times New Roman" w:eastAsia="Times New Roman" w:hAnsi="Times New Roman"/>
          <w:sz w:val="22"/>
          <w:szCs w:val="22"/>
          <w:color w:val="auto"/>
        </w:rPr>
      </w:pPr>
    </w:p>
    <w:p>
      <w:pPr>
        <w:ind w:left="1920" w:right="20" w:hanging="636"/>
        <w:spacing w:after="0" w:line="259" w:lineRule="auto"/>
        <w:tabs>
          <w:tab w:leader="none" w:pos="191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failure with respect to any Plan to meet the minimum funding requirements of Section 412 or Section 430 of the Code or Section 302 or Section 303 of ERISA, whether or not waived;</w:t>
      </w:r>
    </w:p>
    <w:p>
      <w:pPr>
        <w:spacing w:after="0" w:line="180" w:lineRule="exact"/>
        <w:rPr>
          <w:rFonts w:ascii="Times New Roman" w:cs="Times New Roman" w:eastAsia="Times New Roman" w:hAnsi="Times New Roman"/>
          <w:sz w:val="22"/>
          <w:szCs w:val="22"/>
          <w:color w:val="auto"/>
        </w:rPr>
      </w:pPr>
    </w:p>
    <w:p>
      <w:pPr>
        <w:ind w:left="1920" w:hanging="636"/>
        <w:spacing w:after="0" w:line="259" w:lineRule="auto"/>
        <w:tabs>
          <w:tab w:leader="none" w:pos="191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filing pursuant to Section 412(c) of the Code or Section 303 of ERISA of an application for a waiver of the minimum funding standard with respect to any Plan;</w:t>
      </w:r>
    </w:p>
    <w:p>
      <w:pPr>
        <w:spacing w:after="0" w:line="180" w:lineRule="exact"/>
        <w:rPr>
          <w:rFonts w:ascii="Times New Roman" w:cs="Times New Roman" w:eastAsia="Times New Roman" w:hAnsi="Times New Roman"/>
          <w:sz w:val="22"/>
          <w:szCs w:val="22"/>
          <w:color w:val="auto"/>
        </w:rPr>
      </w:pPr>
    </w:p>
    <w:p>
      <w:pPr>
        <w:ind w:left="1920" w:hanging="636"/>
        <w:spacing w:after="0" w:line="259" w:lineRule="auto"/>
        <w:tabs>
          <w:tab w:leader="none" w:pos="191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incurrence by the Company or any of its ERISA Affiliates of any liability under Title IV of ERISA with respect to the termination of any Plan;</w:t>
      </w:r>
    </w:p>
    <w:p>
      <w:pPr>
        <w:spacing w:after="0" w:line="180" w:lineRule="exact"/>
        <w:rPr>
          <w:rFonts w:ascii="Times New Roman" w:cs="Times New Roman" w:eastAsia="Times New Roman" w:hAnsi="Times New Roman"/>
          <w:sz w:val="22"/>
          <w:szCs w:val="22"/>
          <w:color w:val="auto"/>
        </w:rPr>
      </w:pPr>
    </w:p>
    <w:p>
      <w:pPr>
        <w:ind w:left="1920" w:hanging="636"/>
        <w:spacing w:after="0" w:line="245" w:lineRule="auto"/>
        <w:tabs>
          <w:tab w:leader="none" w:pos="191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filing of notice of intent to terminate a Plan or the treatment of a Plan amendment as a termination under Section 4041 of ERISA;</w:t>
      </w:r>
    </w:p>
    <w:p>
      <w:pPr>
        <w:spacing w:after="0" w:line="208" w:lineRule="exact"/>
        <w:rPr>
          <w:rFonts w:ascii="Times New Roman" w:cs="Times New Roman" w:eastAsia="Times New Roman" w:hAnsi="Times New Roman"/>
          <w:sz w:val="22"/>
          <w:szCs w:val="22"/>
          <w:color w:val="auto"/>
        </w:rPr>
      </w:pPr>
    </w:p>
    <w:p>
      <w:pPr>
        <w:ind w:left="1920" w:hanging="636"/>
        <w:spacing w:after="0"/>
        <w:tabs>
          <w:tab w:leader="none" w:pos="1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institution of proceedings to terminate a Plan by PBGC or to appoint a trustee to administer any Plan;</w:t>
      </w:r>
    </w:p>
    <w:p>
      <w:pPr>
        <w:spacing w:after="0" w:line="206" w:lineRule="exact"/>
        <w:rPr>
          <w:rFonts w:ascii="Times New Roman" w:cs="Times New Roman" w:eastAsia="Times New Roman" w:hAnsi="Times New Roman"/>
          <w:sz w:val="22"/>
          <w:szCs w:val="22"/>
          <w:color w:val="auto"/>
        </w:rPr>
      </w:pPr>
    </w:p>
    <w:p>
      <w:pPr>
        <w:jc w:val="both"/>
        <w:ind w:left="1920" w:hanging="636"/>
        <w:spacing w:after="0" w:line="250" w:lineRule="auto"/>
        <w:tabs>
          <w:tab w:leader="none" w:pos="191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withdrawal by the Company or any of its ERISA Affiliates from a multiple employer plan (within the meaning of Section 4064 of ERISA) during a plan year in which it was a “substantial employer”, as such term is defined under Section 4064 of ERISA, upon the termination of a Multiemployer Plan or the cessation of operations under a Plan pursuant to Section 4062(e) of ERISA;</w:t>
      </w:r>
    </w:p>
    <w:p>
      <w:pPr>
        <w:spacing w:after="0" w:line="192" w:lineRule="exact"/>
        <w:rPr>
          <w:rFonts w:ascii="Times New Roman" w:cs="Times New Roman" w:eastAsia="Times New Roman" w:hAnsi="Times New Roman"/>
          <w:sz w:val="22"/>
          <w:szCs w:val="22"/>
          <w:color w:val="auto"/>
        </w:rPr>
      </w:pPr>
    </w:p>
    <w:p>
      <w:pPr>
        <w:ind w:left="1920" w:hanging="636"/>
        <w:spacing w:after="0" w:line="245" w:lineRule="auto"/>
        <w:tabs>
          <w:tab w:leader="none" w:pos="191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incurrence by the Company or any of its ERISA Affiliates of any liability with respect to the withdrawal or partial withdrawal from any Multiemployer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41" w:name="page42"/>
    <w:bookmarkEnd w:id="41"/>
    <w:p>
      <w:pPr>
        <w:ind w:left="1920" w:hanging="636"/>
        <w:spacing w:after="0"/>
        <w:tabs>
          <w:tab w:leader="none" w:pos="1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attainment of any Plan of “at risk” status within the meaning of Section 430 of the Code or Section 303 of</w:t>
      </w:r>
    </w:p>
    <w:p>
      <w:pPr>
        <w:spacing w:after="0" w:line="11" w:lineRule="exact"/>
        <w:rPr>
          <w:rFonts w:ascii="Times New Roman" w:cs="Times New Roman" w:eastAsia="Times New Roman" w:hAnsi="Times New Roman"/>
          <w:sz w:val="22"/>
          <w:szCs w:val="22"/>
          <w:color w:val="auto"/>
        </w:rPr>
      </w:pPr>
    </w:p>
    <w:p>
      <w:pPr>
        <w:ind w:left="1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ERISA;</w:t>
      </w:r>
    </w:p>
    <w:p>
      <w:pPr>
        <w:spacing w:after="0" w:line="207" w:lineRule="exact"/>
        <w:rPr>
          <w:rFonts w:ascii="Times New Roman" w:cs="Times New Roman" w:eastAsia="Times New Roman" w:hAnsi="Times New Roman"/>
          <w:sz w:val="22"/>
          <w:szCs w:val="22"/>
          <w:color w:val="auto"/>
        </w:rPr>
      </w:pPr>
    </w:p>
    <w:p>
      <w:pPr>
        <w:jc w:val="both"/>
        <w:ind w:left="1920" w:hanging="636"/>
        <w:spacing w:after="0" w:line="250" w:lineRule="auto"/>
        <w:tabs>
          <w:tab w:leader="none" w:pos="191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or in critical, endangered or critical and declining status, within the meaning of the Code or Title IV of ERISA;</w:t>
      </w:r>
    </w:p>
    <w:p>
      <w:pPr>
        <w:spacing w:after="0" w:line="192" w:lineRule="exact"/>
        <w:rPr>
          <w:rFonts w:ascii="Times New Roman" w:cs="Times New Roman" w:eastAsia="Times New Roman" w:hAnsi="Times New Roman"/>
          <w:sz w:val="22"/>
          <w:szCs w:val="22"/>
          <w:color w:val="auto"/>
        </w:rPr>
      </w:pPr>
    </w:p>
    <w:p>
      <w:pPr>
        <w:ind w:left="1920" w:hanging="636"/>
        <w:spacing w:after="0" w:line="245" w:lineRule="auto"/>
        <w:tabs>
          <w:tab w:leader="none" w:pos="191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failure of the Company or any ERISA Affiliate to pay when due any amount that has become liable to the PBGC, any Plan or trust established thereunder pursuant to Title IV of ERISA or the Code;</w:t>
      </w:r>
    </w:p>
    <w:p>
      <w:pPr>
        <w:spacing w:after="0" w:line="208" w:lineRule="exact"/>
        <w:rPr>
          <w:rFonts w:ascii="Times New Roman" w:cs="Times New Roman" w:eastAsia="Times New Roman" w:hAnsi="Times New Roman"/>
          <w:sz w:val="22"/>
          <w:szCs w:val="22"/>
          <w:color w:val="auto"/>
        </w:rPr>
      </w:pPr>
    </w:p>
    <w:p>
      <w:pPr>
        <w:ind w:left="1920" w:right="20" w:hanging="636"/>
        <w:spacing w:after="0" w:line="245" w:lineRule="auto"/>
        <w:tabs>
          <w:tab w:leader="none" w:pos="191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adoption of an amendment to a Plan requiring the provision of security to such Plan pursuant to Section 436(f) of the Code;</w:t>
      </w:r>
    </w:p>
    <w:p>
      <w:pPr>
        <w:spacing w:after="0" w:line="208" w:lineRule="exact"/>
        <w:rPr>
          <w:rFonts w:ascii="Times New Roman" w:cs="Times New Roman" w:eastAsia="Times New Roman" w:hAnsi="Times New Roman"/>
          <w:sz w:val="22"/>
          <w:szCs w:val="22"/>
          <w:color w:val="auto"/>
        </w:rPr>
      </w:pPr>
    </w:p>
    <w:p>
      <w:pPr>
        <w:jc w:val="both"/>
        <w:ind w:left="1920" w:hanging="636"/>
        <w:spacing w:after="0" w:line="248" w:lineRule="auto"/>
        <w:tabs>
          <w:tab w:leader="none" w:pos="191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or any of its Controlled Subsidiaries engages in a “prohibited transaction” within the meaning of Section 4975 of the Code or Section 406 of ERISA that is not otherwise exempt by statute, regulation or administrative pronouncement; or</w:t>
      </w:r>
    </w:p>
    <w:p>
      <w:pPr>
        <w:spacing w:after="0" w:line="194" w:lineRule="exact"/>
        <w:rPr>
          <w:rFonts w:ascii="Times New Roman" w:cs="Times New Roman" w:eastAsia="Times New Roman" w:hAnsi="Times New Roman"/>
          <w:sz w:val="22"/>
          <w:szCs w:val="22"/>
          <w:color w:val="auto"/>
        </w:rPr>
      </w:pPr>
    </w:p>
    <w:p>
      <w:pPr>
        <w:ind w:left="1920" w:hanging="636"/>
        <w:spacing w:after="0"/>
        <w:tabs>
          <w:tab w:leader="none" w:pos="1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imposition of a lien under ERISA or the Code with respect to any Plan or Multiemployer Plan.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Loss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Asset Sale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74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of the SEC promulgated thereunder.</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Export Authorization Remediation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 Independent Engineer</w:t>
      </w:r>
      <w:r>
        <w:rPr>
          <w:rFonts w:ascii="Times New Roman" w:cs="Times New Roman" w:eastAsia="Times New Roman" w:hAnsi="Times New Roman"/>
          <w:sz w:val="20"/>
          <w:szCs w:val="20"/>
          <w:color w:val="auto"/>
        </w:rPr>
        <w:t>” has the meaning assigned to such term in the Definitions Agreement.</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4"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Completion</w:t>
      </w:r>
      <w:r>
        <w:rPr>
          <w:rFonts w:ascii="Times New Roman" w:cs="Times New Roman" w:eastAsia="Times New Roman" w:hAnsi="Times New Roman"/>
          <w:sz w:val="20"/>
          <w:szCs w:val="20"/>
          <w:color w:val="auto"/>
        </w:rPr>
        <w:t>” means, as the context may require, a “Final Completion” as defined in the T1/T2 EPC Contract, a “Final Completion” as defined in the T3 EPC Contract, or both.</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40" w:right="339"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Noteholder</w:t>
      </w:r>
      <w:r>
        <w:rPr>
          <w:rFonts w:ascii="Times New Roman" w:cs="Times New Roman" w:eastAsia="Times New Roman" w:hAnsi="Times New Roman"/>
          <w:sz w:val="20"/>
          <w:szCs w:val="20"/>
          <w:color w:val="auto"/>
        </w:rPr>
        <w:t>” means a Noteholder that is not a U.S. Noteholder.</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Shortfall Debt</w:t>
      </w:r>
      <w:r>
        <w:rPr>
          <w:rFonts w:ascii="Times New Roman" w:cs="Times New Roman" w:eastAsia="Times New Roman" w:hAnsi="Times New Roman"/>
          <w:sz w:val="20"/>
          <w:szCs w:val="20"/>
          <w:color w:val="auto"/>
        </w:rPr>
        <w:t>” means Supplemental Debt that satisfies:</w:t>
      </w:r>
    </w:p>
    <w:p>
      <w:pPr>
        <w:spacing w:after="0" w:line="243" w:lineRule="exact"/>
        <w:rPr>
          <w:sz w:val="20"/>
          <w:szCs w:val="20"/>
          <w:color w:val="auto"/>
        </w:rPr>
      </w:pPr>
    </w:p>
    <w:p>
      <w:pPr>
        <w:ind w:left="2020" w:hanging="635"/>
        <w:spacing w:after="0"/>
        <w:tabs>
          <w:tab w:leader="none" w:pos="20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conditions set forth in Section 2.6 (</w:t>
      </w:r>
      <w:r>
        <w:rPr>
          <w:rFonts w:ascii="Times New Roman" w:cs="Times New Roman" w:eastAsia="Times New Roman" w:hAnsi="Times New Roman"/>
          <w:sz w:val="20"/>
          <w:szCs w:val="20"/>
          <w:i w:val="1"/>
          <w:iCs w:val="1"/>
          <w:color w:val="auto"/>
        </w:rPr>
        <w:t>Supplemental Debt</w:t>
      </w:r>
      <w:r>
        <w:rPr>
          <w:rFonts w:ascii="Times New Roman" w:cs="Times New Roman" w:eastAsia="Times New Roman" w:hAnsi="Times New Roman"/>
          <w:sz w:val="20"/>
          <w:szCs w:val="20"/>
          <w:color w:val="auto"/>
        </w:rPr>
        <w:t>) of the Common Terms Agreement,</w:t>
      </w:r>
    </w:p>
    <w:p>
      <w:pPr>
        <w:spacing w:after="0" w:line="210" w:lineRule="exact"/>
        <w:rPr>
          <w:rFonts w:ascii="Times New Roman" w:cs="Times New Roman" w:eastAsia="Times New Roman" w:hAnsi="Times New Roman"/>
          <w:sz w:val="22"/>
          <w:szCs w:val="22"/>
          <w:color w:val="auto"/>
        </w:rPr>
      </w:pPr>
    </w:p>
    <w:p>
      <w:pPr>
        <w:ind w:left="2020" w:hanging="635"/>
        <w:spacing w:after="0"/>
        <w:tabs>
          <w:tab w:leader="none" w:pos="20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conditions set forth in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and</w:t>
      </w:r>
    </w:p>
    <w:p>
      <w:pPr>
        <w:spacing w:after="0" w:line="206" w:lineRule="exact"/>
        <w:rPr>
          <w:rFonts w:ascii="Times New Roman" w:cs="Times New Roman" w:eastAsia="Times New Roman" w:hAnsi="Times New Roman"/>
          <w:sz w:val="22"/>
          <w:szCs w:val="22"/>
          <w:color w:val="auto"/>
        </w:rPr>
      </w:pPr>
    </w:p>
    <w:p>
      <w:pPr>
        <w:ind w:left="2020" w:hanging="635"/>
        <w:spacing w:after="0"/>
        <w:tabs>
          <w:tab w:leader="none" w:pos="20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 conditions:</w:t>
      </w:r>
    </w:p>
    <w:p>
      <w:pPr>
        <w:spacing w:after="0" w:line="206" w:lineRule="exact"/>
        <w:rPr>
          <w:rFonts w:ascii="Times New Roman" w:cs="Times New Roman" w:eastAsia="Times New Roman" w:hAnsi="Times New Roman"/>
          <w:sz w:val="22"/>
          <w:szCs w:val="22"/>
          <w:color w:val="auto"/>
        </w:rPr>
      </w:pPr>
    </w:p>
    <w:p>
      <w:pPr>
        <w:jc w:val="both"/>
        <w:ind w:left="2760" w:hanging="646"/>
        <w:spacing w:after="0" w:line="260" w:lineRule="auto"/>
        <w:tabs>
          <w:tab w:leader="none" w:pos="2748"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principal amount of such Funding Shortfall Debt does not exceed: (A) (1) if incurred prior to the Project Completion Date or the completion date of the Permitted Capital Improvement (as applicable), an amount equal to 75% of the aggregate amount of P1 Project Costs, or the costs of such Permitted Capital Improvement (as applicable) and (2) if incurred on or after the Project Completion Date or the completion date of the applicable Capital Improvement (as applicable), (x) in the case of Funding Shortfall Debt incurred to finance P1 Project Costs, an amount that, together with all funded or unfunded commitments under the CD Construction/Term Loans, the TCF Senior Loans, the Notes, any Supplemental Debt incurred to fund such P1 Project Costs, any Replacement Debt incurred to replace such funded or unfunded commitments, and any other Funding Shortfall Debt to finance P1 Project Costs, does not exceed 75% of aggregate P1 Project Costs as at the Project Completion Date or (y) in the case of Funding Shortfall Debt incurred to finance Permitted Capital Improvements, an amount that, together with all Senior Secured Debt incurred to finance such Permitted Capital Improvement, does not exceed 75% of aggregate costs in respect of such Permitted Capital Improvement as at the completion of such Permitted Capital Improvement,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all premiums, fees, costs, expenses, and reserves (including any incremental increase in the DSRA Reserve Amounts resulting from the incurrence of such Funding Shortfall Debt) associated with arranging, issuing and incurring such Funding Shortfall Debt </w:t>
      </w:r>
      <w:r>
        <w:rPr>
          <w:rFonts w:ascii="Times New Roman" w:cs="Times New Roman" w:eastAsia="Times New Roman" w:hAnsi="Times New Roman"/>
          <w:sz w:val="19"/>
          <w:szCs w:val="19"/>
          <w:i w:val="1"/>
          <w:iCs w:val="1"/>
          <w:color w:val="auto"/>
        </w:rPr>
        <w:t>plus</w:t>
      </w:r>
    </w:p>
    <w:p>
      <w:pPr>
        <w:spacing w:after="0" w:line="10" w:lineRule="exact"/>
        <w:rPr>
          <w:rFonts w:ascii="Times New Roman" w:cs="Times New Roman" w:eastAsia="Times New Roman" w:hAnsi="Times New Roman"/>
          <w:sz w:val="21"/>
          <w:szCs w:val="21"/>
          <w:color w:val="auto"/>
        </w:rPr>
      </w:pPr>
    </w:p>
    <w:p>
      <w:pPr>
        <w:jc w:val="both"/>
        <w:ind w:left="276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(C) 105% of the P1 IR Hedge Termination Amounts reasonably projected as of such date of incurrence to be due and payable by the Company with respect to any portion of one or more Senior Secured IR Hedge Agreement to be terminated in connection with any such incurrence;</w:t>
      </w:r>
    </w:p>
    <w:p>
      <w:pPr>
        <w:spacing w:after="0" w:line="188" w:lineRule="exact"/>
        <w:rPr>
          <w:rFonts w:ascii="Times New Roman" w:cs="Times New Roman" w:eastAsia="Times New Roman" w:hAnsi="Times New Roman"/>
          <w:sz w:val="21"/>
          <w:szCs w:val="21"/>
          <w:color w:val="auto"/>
        </w:rPr>
      </w:pPr>
    </w:p>
    <w:p>
      <w:pPr>
        <w:ind w:left="2760" w:hanging="646"/>
        <w:spacing w:after="0" w:line="259" w:lineRule="auto"/>
        <w:tabs>
          <w:tab w:leader="none" w:pos="275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Funding Shortfall Debt is incurred prior to the second anniversary of the Project Completion Date or the completion date of such Permitted Capital Improvement (as applicable); and</w:t>
      </w:r>
    </w:p>
    <w:p>
      <w:pPr>
        <w:spacing w:after="0" w:line="180" w:lineRule="exact"/>
        <w:rPr>
          <w:rFonts w:ascii="Times New Roman" w:cs="Times New Roman" w:eastAsia="Times New Roman" w:hAnsi="Times New Roman"/>
          <w:sz w:val="22"/>
          <w:szCs w:val="22"/>
          <w:color w:val="auto"/>
        </w:rPr>
      </w:pPr>
    </w:p>
    <w:p>
      <w:pPr>
        <w:ind w:left="2760" w:hanging="646"/>
        <w:spacing w:after="0" w:line="259" w:lineRule="auto"/>
        <w:tabs>
          <w:tab w:leader="none" w:pos="276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simultaneously with the incurrence of any Funding Shortfall Debt, the Company shall use a portion of the proceeds of such Funding Shortfall Debt to fund any reserves (including any incremental increase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43" w:name="page44"/>
    <w:bookmarkEnd w:id="43"/>
    <w:p>
      <w:pPr>
        <w:ind w:left="2760"/>
        <w:spacing w:after="0"/>
        <w:rPr>
          <w:sz w:val="20"/>
          <w:szCs w:val="20"/>
          <w:color w:val="auto"/>
        </w:rPr>
      </w:pPr>
      <w:r>
        <w:rPr>
          <w:rFonts w:ascii="Times New Roman" w:cs="Times New Roman" w:eastAsia="Times New Roman" w:hAnsi="Times New Roman"/>
          <w:sz w:val="20"/>
          <w:szCs w:val="20"/>
          <w:color w:val="auto"/>
        </w:rPr>
        <w:t>DSRA Reserve Amounts) resulting from the incurrence of such Funding Shortfall Debt.</w:t>
      </w:r>
    </w:p>
    <w:p>
      <w:pPr>
        <w:spacing w:after="0" w:line="198"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means any subsidiary of the Company which provides a Note Guarantee pursuant to or in accordance with this Indenture and its successors and assigns, in each case, until the Note Guarantee of such Person has been released in accordance with the provisions of this Indenture.</w:t>
      </w:r>
    </w:p>
    <w:p>
      <w:pPr>
        <w:spacing w:after="0" w:line="162" w:lineRule="exact"/>
        <w:rPr>
          <w:sz w:val="20"/>
          <w:szCs w:val="20"/>
          <w:color w:val="auto"/>
        </w:rPr>
      </w:pPr>
    </w:p>
    <w:p>
      <w:pPr>
        <w:jc w:val="both"/>
        <w:ind w:left="740" w:right="2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 Securities</w:t>
      </w:r>
      <w:r>
        <w:rPr>
          <w:rFonts w:ascii="Times New Roman" w:cs="Times New Roman" w:eastAsia="Times New Roman" w:hAnsi="Times New Roman"/>
          <w:sz w:val="20"/>
          <w:szCs w:val="20"/>
          <w:color w:val="auto"/>
        </w:rPr>
        <w:t>” means direct obligations of, or obligations guaranteed by, the United States of America, and the payment for which the United States of America pledges its full faith and credit.</w:t>
      </w:r>
    </w:p>
    <w:p>
      <w:pPr>
        <w:spacing w:after="0" w:line="152"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Historical DSCR</w:t>
      </w:r>
      <w:r>
        <w:rPr>
          <w:rFonts w:ascii="Times New Roman" w:cs="Times New Roman" w:eastAsia="Times New Roman" w:hAnsi="Times New Roman"/>
          <w:sz w:val="20"/>
          <w:szCs w:val="20"/>
          <w:color w:val="auto"/>
        </w:rPr>
        <w:t xml:space="preserve">” has the meaning set forth in the Common Terms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all purposes under this Indenture, “Historical DSCR” shall be deemed to exclude </w:t>
      </w:r>
      <w:r>
        <w:rPr>
          <w:rFonts w:ascii="Times New Roman" w:cs="Times New Roman" w:eastAsia="Times New Roman" w:hAnsi="Times New Roman"/>
          <w:sz w:val="20"/>
          <w:szCs w:val="20"/>
          <w:u w:val="single" w:color="auto"/>
          <w:color w:val="auto"/>
        </w:rPr>
        <w:t>subclause (b)(vii)</w:t>
      </w:r>
      <w:r>
        <w:rPr>
          <w:rFonts w:ascii="Times New Roman" w:cs="Times New Roman" w:eastAsia="Times New Roman" w:hAnsi="Times New Roman"/>
          <w:sz w:val="20"/>
          <w:szCs w:val="20"/>
          <w:color w:val="auto"/>
        </w:rPr>
        <w:t xml:space="preserve"> of the definition thereof in the Common Terms Agreement.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HMT</w:t>
      </w:r>
      <w:r>
        <w:rPr>
          <w:rFonts w:ascii="Times New Roman" w:cs="Times New Roman" w:eastAsia="Times New Roman" w:hAnsi="Times New Roman"/>
          <w:sz w:val="20"/>
          <w:szCs w:val="20"/>
          <w:color w:val="auto"/>
        </w:rPr>
        <w:t>” means His Majesty’s Treasury, the economic and finance ministry of the United Kingdom.</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incur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xml:space="preserve">” means any taxes, which term includes any interest, additions to tax or penalties applicable in respect thereof, imposed on or with respect to any payment made by or on account of any obligation of the Company under any Notes Document other than any of the following taxes imposed on or with respect to a Noteholder or required to be withheld or deducted from a payment to a Noteholder: (a) taxes imposed on or measured by net income (however denominated), franchise taxes, and branch profits taxes, in each case, (i) imposed as a result of such Noteholder being organized under the laws of, or having its principal office or its applicable lending office located in, the jurisdiction imposing such tax (or any political subdivision thereof) or (ii) imposed as a result of a present or former connection between such Noteholder and the jurisdiction imposing such tax (other than connections arising from such holder of a Note having executed, delivered, become a party to, performed its obligations under, received payments under, received or perfected a security interest under, engaged in any other transaction pursuant to or enforced any Notes Document, or sold or assigned an interest in any Note or Notes Document), (b) U.S. federal withholding taxes imposed on amounts payable to or for the account of such Noteholder with respect to an applicable interest in a Note pursuant to a law in effect on the date on which (i) such Noteholder acquires such interest in the Note or (ii) such Noteholder changes its lending office, except in each case to the extent that, pursuant to Section 2.15, amounts with respect to such taxes were payable either to an assignor of such Noteholder immediately before such Noteholder acquired the Note or to such Noteholder immediately before it changed its lending office, (c) taxes attributable to the failure of such holder of the Notes to comply with Section </w:t>
      </w:r>
      <w:r>
        <w:rPr>
          <w:rFonts w:ascii="Times New Roman" w:cs="Times New Roman" w:eastAsia="Times New Roman" w:hAnsi="Times New Roman"/>
          <w:sz w:val="20"/>
          <w:szCs w:val="20"/>
          <w:u w:val="single" w:color="auto"/>
          <w:color w:val="auto"/>
        </w:rPr>
        <w:t>2.15(d)</w:t>
      </w:r>
      <w:r>
        <w:rPr>
          <w:rFonts w:ascii="Times New Roman" w:cs="Times New Roman" w:eastAsia="Times New Roman" w:hAnsi="Times New Roman"/>
          <w:sz w:val="20"/>
          <w:szCs w:val="20"/>
          <w:color w:val="auto"/>
        </w:rPr>
        <w:t xml:space="preserve"> and (d) any U.S. federal withholding taxes imposed under FATCA.</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means this Indenture, as amended or supplemented from time to time.</w:t>
      </w:r>
    </w:p>
    <w:p>
      <w:pPr>
        <w:spacing w:after="0" w:line="202" w:lineRule="exact"/>
        <w:rPr>
          <w:sz w:val="20"/>
          <w:szCs w:val="20"/>
          <w:color w:val="auto"/>
        </w:rPr>
      </w:pPr>
    </w:p>
    <w:p>
      <w:pPr>
        <w:jc w:val="both"/>
        <w:ind w:left="740" w:hanging="9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 Debt Service Reserve Amount</w:t>
      </w:r>
      <w:r>
        <w:rPr>
          <w:rFonts w:ascii="Times New Roman" w:cs="Times New Roman" w:eastAsia="Times New Roman" w:hAnsi="Times New Roman"/>
          <w:sz w:val="20"/>
          <w:szCs w:val="20"/>
          <w:color w:val="auto"/>
        </w:rPr>
        <w:t xml:space="preserve">” means as of any date of determination, an amount reasonably projected by the Company to be the amount necessary to pay the forecasted Debt Service in respect of the Notes from such date through (and including) the next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calculation of the amount specified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Debt Service, any final balloon payment or bullet maturity of Senior Secured Debt shall not be taken into account and instead only the equivalent of the principal payment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44" w:name="page45"/>
    <w:bookmarkEnd w:id="44"/>
    <w:p>
      <w:pPr>
        <w:ind w:left="740"/>
        <w:spacing w:after="0"/>
        <w:rPr>
          <w:sz w:val="20"/>
          <w:szCs w:val="20"/>
          <w:color w:val="auto"/>
        </w:rPr>
      </w:pPr>
      <w:r>
        <w:rPr>
          <w:rFonts w:ascii="Times New Roman" w:cs="Times New Roman" w:eastAsia="Times New Roman" w:hAnsi="Times New Roman"/>
          <w:sz w:val="20"/>
          <w:szCs w:val="20"/>
          <w:color w:val="auto"/>
        </w:rPr>
        <w:t>immediately preceding Interest Payment Date prior to such balloon payment or bullet maturity shall be taken into account.</w:t>
      </w:r>
    </w:p>
    <w:p>
      <w:pPr>
        <w:spacing w:after="0" w:line="198" w:lineRule="exact"/>
        <w:rPr>
          <w:sz w:val="20"/>
          <w:szCs w:val="20"/>
          <w:color w:val="auto"/>
        </w:rPr>
      </w:pPr>
    </w:p>
    <w:p>
      <w:pPr>
        <w:jc w:val="both"/>
        <w:ind w:left="740" w:hanging="9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 Projected CFADS</w:t>
      </w:r>
      <w:r>
        <w:rPr>
          <w:rFonts w:ascii="Times New Roman" w:cs="Times New Roman" w:eastAsia="Times New Roman" w:hAnsi="Times New Roman"/>
          <w:sz w:val="20"/>
          <w:szCs w:val="20"/>
          <w:color w:val="auto"/>
        </w:rPr>
        <w:t xml:space="preserve">” means, for any period, an amount equal to (a) the amount of Cash Flow from Contracted Revenues projected to be received by the Company during such period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(b) all amounts projected to be paid during such period pursuant to Sections 3.3(c)(i) and 3.3(c)(ii) (</w:t>
      </w:r>
      <w:r>
        <w:rPr>
          <w:rFonts w:ascii="Times New Roman" w:cs="Times New Roman" w:eastAsia="Times New Roman" w:hAnsi="Times New Roman"/>
          <w:sz w:val="20"/>
          <w:szCs w:val="20"/>
          <w:i w:val="1"/>
          <w:iCs w:val="1"/>
          <w:color w:val="auto"/>
        </w:rPr>
        <w:t>P1 Revenue Account</w:t>
      </w:r>
      <w:r>
        <w:rPr>
          <w:rFonts w:ascii="Times New Roman" w:cs="Times New Roman" w:eastAsia="Times New Roman" w:hAnsi="Times New Roman"/>
          <w:sz w:val="20"/>
          <w:szCs w:val="20"/>
          <w:color w:val="auto"/>
        </w:rPr>
        <w:t>) of the P1 Accounts Agreement (other than any fee projected to be payable to any Senior Secured Party), which amounts under this clause (b) shall exclude any such amounts that (i) are related to the lifting of LNG or (ii) are P1 Project Costs, RCI EPC CAPEX (as defined in the Definitions Agreement), or RCI Owners’ Costs (as defined in the Definitions Agreement), in each case, to the extent funded with Indebtedness or equity.</w:t>
      </w:r>
    </w:p>
    <w:p>
      <w:pPr>
        <w:spacing w:after="0" w:line="160" w:lineRule="exact"/>
        <w:rPr>
          <w:sz w:val="20"/>
          <w:szCs w:val="20"/>
          <w:color w:val="auto"/>
        </w:rPr>
      </w:pPr>
    </w:p>
    <w:p>
      <w:pPr>
        <w:jc w:val="both"/>
        <w:ind w:left="740" w:hanging="9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 Projected DSCR</w:t>
      </w:r>
      <w:r>
        <w:rPr>
          <w:rFonts w:ascii="Times New Roman" w:cs="Times New Roman" w:eastAsia="Times New Roman" w:hAnsi="Times New Roman"/>
          <w:sz w:val="20"/>
          <w:szCs w:val="20"/>
          <w:color w:val="auto"/>
        </w:rPr>
        <w:t xml:space="preserve">” means, for the applicable period, the ratio of (a) Indenture Projected CFADS to (b) Debt Service (other than (i) principal of Working Capital Debt and the principal amount of Senior Secured Debt payable on the Maturity Date thereof, (ii) commitment fees, front-end fees and up-front fees paid prior to the Project Completion Date or, if later, out of the proceeds of Senior Secured Debt, (iii) LC Costs, (iv) interest in respect of the Senior Secured Debt and Senior Secured Obligations under Senior Secured IR Hedge Agreements, in each case, paid prior to the Project Completion Date, (v) amounts payable under Senior Secured Hedge Agreements that are not in respect of interest rates, (vi) without duplication of amounts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P1 Hedge Termination Amounts under Senior Secured Hedge Agreements, and (vii) for purposes of satisfying the conditions set forth in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incremental carrying costs of such Senior Secured Debt and the costs associated with arranging, issuing, and incurring such Senior Secured Debt projected for such period).</w:t>
      </w:r>
    </w:p>
    <w:p>
      <w:pPr>
        <w:spacing w:after="0" w:line="162" w:lineRule="exact"/>
        <w:rPr>
          <w:sz w:val="20"/>
          <w:szCs w:val="20"/>
          <w:color w:val="auto"/>
        </w:rPr>
      </w:pPr>
    </w:p>
    <w:p>
      <w:pPr>
        <w:jc w:val="both"/>
        <w:ind w:left="74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Notes</w:t>
      </w:r>
      <w:r>
        <w:rPr>
          <w:rFonts w:ascii="Times New Roman" w:cs="Times New Roman" w:eastAsia="Times New Roman" w:hAnsi="Times New Roman"/>
          <w:sz w:val="20"/>
          <w:szCs w:val="20"/>
          <w:color w:val="auto"/>
        </w:rPr>
        <w:t>” means $190,000,000 aggregate principal amount of 6.85% Senior Secured Notes due 2047 issued under this Indenture on the date hereof.</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Offtakers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1420" w:hanging="359"/>
        <w:spacing w:after="0"/>
        <w:tabs>
          <w:tab w:leader="none" w:pos="14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China Gas Hongda Energy Trading Co., Ltd.;</w:t>
      </w:r>
    </w:p>
    <w:p>
      <w:pPr>
        <w:spacing w:after="0" w:line="202" w:lineRule="exact"/>
        <w:rPr>
          <w:rFonts w:ascii="Times New Roman" w:cs="Times New Roman" w:eastAsia="Times New Roman" w:hAnsi="Times New Roman"/>
          <w:sz w:val="20"/>
          <w:szCs w:val="20"/>
          <w:color w:val="auto"/>
        </w:rPr>
      </w:pPr>
    </w:p>
    <w:p>
      <w:pPr>
        <w:ind w:left="1420" w:hanging="359"/>
        <w:spacing w:after="0"/>
        <w:tabs>
          <w:tab w:leader="none" w:pos="14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Engie S.A.;</w:t>
      </w:r>
    </w:p>
    <w:p>
      <w:pPr>
        <w:spacing w:after="0" w:line="202" w:lineRule="exact"/>
        <w:rPr>
          <w:rFonts w:ascii="Times New Roman" w:cs="Times New Roman" w:eastAsia="Times New Roman" w:hAnsi="Times New Roman"/>
          <w:sz w:val="20"/>
          <w:szCs w:val="20"/>
          <w:color w:val="auto"/>
        </w:rPr>
      </w:pPr>
    </w:p>
    <w:p>
      <w:pPr>
        <w:ind w:left="1420" w:hanging="359"/>
        <w:spacing w:after="0"/>
        <w:tabs>
          <w:tab w:leader="none" w:pos="14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ENN LNG (Singapore) Pte. Ltd.;</w:t>
      </w:r>
    </w:p>
    <w:p>
      <w:pPr>
        <w:spacing w:after="0" w:line="202" w:lineRule="exact"/>
        <w:rPr>
          <w:rFonts w:ascii="Times New Roman" w:cs="Times New Roman" w:eastAsia="Times New Roman" w:hAnsi="Times New Roman"/>
          <w:sz w:val="20"/>
          <w:szCs w:val="20"/>
          <w:color w:val="auto"/>
        </w:rPr>
      </w:pPr>
    </w:p>
    <w:p>
      <w:pPr>
        <w:ind w:left="1420" w:hanging="359"/>
        <w:spacing w:after="0"/>
        <w:tabs>
          <w:tab w:leader="none" w:pos="14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ExxonMobil Asia Pacific Pte. Ltd.;</w:t>
      </w:r>
    </w:p>
    <w:p>
      <w:pPr>
        <w:spacing w:after="0" w:line="215" w:lineRule="exact"/>
        <w:rPr>
          <w:rFonts w:ascii="Times New Roman" w:cs="Times New Roman" w:eastAsia="Times New Roman" w:hAnsi="Times New Roman"/>
          <w:sz w:val="20"/>
          <w:szCs w:val="20"/>
          <w:color w:val="auto"/>
        </w:rPr>
      </w:pPr>
    </w:p>
    <w:p>
      <w:pPr>
        <w:ind w:left="1420" w:hanging="359"/>
        <w:spacing w:after="0"/>
        <w:tabs>
          <w:tab w:leader="none" w:pos="14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Galp Trading S.A.;</w:t>
      </w:r>
    </w:p>
    <w:p>
      <w:pPr>
        <w:spacing w:after="0" w:line="202" w:lineRule="exact"/>
        <w:rPr>
          <w:rFonts w:ascii="Times New Roman" w:cs="Times New Roman" w:eastAsia="Times New Roman" w:hAnsi="Times New Roman"/>
          <w:sz w:val="20"/>
          <w:szCs w:val="20"/>
          <w:color w:val="auto"/>
        </w:rPr>
      </w:pPr>
    </w:p>
    <w:p>
      <w:pPr>
        <w:ind w:left="1380" w:hanging="319"/>
        <w:spacing w:after="0"/>
        <w:tabs>
          <w:tab w:leader="none" w:pos="1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Guangdong Energy Group Natural Gas Co., Ltd.;</w:t>
      </w:r>
    </w:p>
    <w:p>
      <w:pPr>
        <w:spacing w:after="0" w:line="202" w:lineRule="exact"/>
        <w:rPr>
          <w:rFonts w:ascii="Times New Roman" w:cs="Times New Roman" w:eastAsia="Times New Roman" w:hAnsi="Times New Roman"/>
          <w:sz w:val="20"/>
          <w:szCs w:val="20"/>
          <w:color w:val="auto"/>
        </w:rPr>
      </w:pPr>
    </w:p>
    <w:p>
      <w:pPr>
        <w:ind w:left="1420" w:hanging="359"/>
        <w:spacing w:after="0"/>
        <w:tabs>
          <w:tab w:leader="none" w:pos="14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Guangdong Energy Group Co., Ltd.;</w:t>
      </w:r>
    </w:p>
    <w:p>
      <w:pPr>
        <w:spacing w:after="0" w:line="202" w:lineRule="exact"/>
        <w:rPr>
          <w:rFonts w:ascii="Times New Roman" w:cs="Times New Roman" w:eastAsia="Times New Roman" w:hAnsi="Times New Roman"/>
          <w:sz w:val="20"/>
          <w:szCs w:val="20"/>
          <w:color w:val="auto"/>
        </w:rPr>
      </w:pPr>
    </w:p>
    <w:p>
      <w:pPr>
        <w:ind w:left="1420" w:hanging="359"/>
        <w:spacing w:after="0"/>
        <w:tabs>
          <w:tab w:leader="none" w:pos="14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Itochu Corporation;</w:t>
      </w:r>
    </w:p>
    <w:p>
      <w:pPr>
        <w:spacing w:after="0" w:line="215" w:lineRule="exact"/>
        <w:rPr>
          <w:rFonts w:ascii="Times New Roman" w:cs="Times New Roman" w:eastAsia="Times New Roman" w:hAnsi="Times New Roman"/>
          <w:sz w:val="20"/>
          <w:szCs w:val="20"/>
          <w:color w:val="auto"/>
        </w:rPr>
      </w:pPr>
    </w:p>
    <w:p>
      <w:pPr>
        <w:ind w:left="1380" w:hanging="319"/>
        <w:spacing w:after="0"/>
        <w:tabs>
          <w:tab w:leader="none" w:pos="1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Shell NA LNG LLC; and</w:t>
      </w:r>
    </w:p>
    <w:p>
      <w:pPr>
        <w:spacing w:after="0" w:line="202" w:lineRule="exact"/>
        <w:rPr>
          <w:rFonts w:ascii="Times New Roman" w:cs="Times New Roman" w:eastAsia="Times New Roman" w:hAnsi="Times New Roman"/>
          <w:sz w:val="20"/>
          <w:szCs w:val="20"/>
          <w:color w:val="auto"/>
        </w:rPr>
      </w:pPr>
    </w:p>
    <w:p>
      <w:pPr>
        <w:ind w:left="1380" w:hanging="319"/>
        <w:spacing w:after="0"/>
        <w:tabs>
          <w:tab w:leader="none" w:pos="1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TotalEnergies Gas &amp; Power North America,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Institutional Accredited Investor</w:t>
      </w:r>
      <w:r>
        <w:rPr>
          <w:rFonts w:ascii="Times New Roman" w:cs="Times New Roman" w:eastAsia="Times New Roman" w:hAnsi="Times New Roman"/>
          <w:sz w:val="19"/>
          <w:szCs w:val="19"/>
          <w:color w:val="auto"/>
        </w:rPr>
        <w:t>” means an institution that is an “accredited investor” as defined in Rule 501(a)(1), (2), (3), (7) or</w:t>
      </w:r>
    </w:p>
    <w:p>
      <w:pPr>
        <w:spacing w:after="0" w:line="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(9) under the Securities Act, who is not also a QIB.</w:t>
      </w:r>
    </w:p>
    <w:p>
      <w:pPr>
        <w:spacing w:after="0" w:line="183" w:lineRule="exact"/>
        <w:rPr>
          <w:sz w:val="20"/>
          <w:szCs w:val="20"/>
          <w:color w:val="auto"/>
        </w:rPr>
      </w:pPr>
    </w:p>
    <w:p>
      <w:pPr>
        <w:jc w:val="both"/>
        <w:ind w:left="740" w:hanging="9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Institutional Investor</w:t>
      </w:r>
      <w:r>
        <w:rPr>
          <w:rFonts w:ascii="Times New Roman" w:cs="Times New Roman" w:eastAsia="Times New Roman" w:hAnsi="Times New Roman"/>
          <w:sz w:val="20"/>
          <w:szCs w:val="20"/>
          <w:color w:val="auto"/>
        </w:rPr>
        <w:t>” means (a) any Noteholder holding (together with one or more of its affiliates) more than 15% of the aggregate principal amount of the Notes then outstanding, (b) any bank, trust company, savings and loan association or other financial institution, any pension plan, any investment company, any insurance company, any broker or dealer, or any other similar financial institution or entity, regardless of legal form, and (c) any Related Fund of any Noteholder referred to in clause (a).</w:t>
      </w:r>
    </w:p>
    <w:p>
      <w:pPr>
        <w:spacing w:after="0" w:line="151" w:lineRule="exact"/>
        <w:rPr>
          <w:sz w:val="20"/>
          <w:szCs w:val="20"/>
          <w:color w:val="auto"/>
        </w:rPr>
      </w:pPr>
    </w:p>
    <w:p>
      <w:pPr>
        <w:jc w:val="both"/>
        <w:ind w:left="74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means June 30 and December 30 of each year, commencing on June 30, 2024, or if any such day is not a Business Day, the next succeeding Business Day.</w:t>
      </w:r>
    </w:p>
    <w:p>
      <w:pPr>
        <w:spacing w:after="0" w:line="152" w:lineRule="exact"/>
        <w:rPr>
          <w:sz w:val="20"/>
          <w:szCs w:val="20"/>
          <w:color w:val="auto"/>
        </w:rPr>
      </w:pPr>
    </w:p>
    <w:p>
      <w:pPr>
        <w:jc w:val="both"/>
        <w:ind w:left="74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Grade</w:t>
      </w:r>
      <w:r>
        <w:rPr>
          <w:rFonts w:ascii="Times New Roman" w:cs="Times New Roman" w:eastAsia="Times New Roman" w:hAnsi="Times New Roman"/>
          <w:sz w:val="20"/>
          <w:szCs w:val="20"/>
          <w:color w:val="auto"/>
        </w:rPr>
        <w:t>” means that such person is rated by at least one Recognized Credit Rating Agency and at least one such rating is equal to or better than “Baa3” by Moody’s, “BBB-” by S&amp;P, “BBB-” by Fitch, or a comparable credit rating that is a Recognized Credit Rating Agency.</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Issue Date</w:t>
      </w:r>
      <w:r>
        <w:rPr>
          <w:rFonts w:ascii="Times New Roman" w:cs="Times New Roman" w:eastAsia="Times New Roman" w:hAnsi="Times New Roman"/>
          <w:sz w:val="20"/>
          <w:szCs w:val="20"/>
          <w:color w:val="auto"/>
        </w:rPr>
        <w:t>” means the first date of original issuance of the Notes under this Indenture.</w:t>
      </w:r>
    </w:p>
    <w:p>
      <w:pPr>
        <w:spacing w:after="0" w:line="202" w:lineRule="exact"/>
        <w:rPr>
          <w:sz w:val="20"/>
          <w:szCs w:val="20"/>
          <w:color w:val="auto"/>
        </w:rPr>
      </w:pPr>
    </w:p>
    <w:p>
      <w:pPr>
        <w:jc w:val="both"/>
        <w:ind w:left="74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KYC Requirements</w:t>
      </w:r>
      <w:r>
        <w:rPr>
          <w:rFonts w:ascii="Times New Roman" w:cs="Times New Roman" w:eastAsia="Times New Roman" w:hAnsi="Times New Roman"/>
          <w:sz w:val="20"/>
          <w:szCs w:val="20"/>
          <w:color w:val="auto"/>
        </w:rPr>
        <w:t>” means the consistently applied “know your customer” requirements of the Noteholders under applicable “know your customer” and Anti-Terrorism and Money Laundering Laws, including the USA Patriot Act.</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Legal Defeasance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Liquefaction Owners</w:t>
      </w:r>
      <w:r>
        <w:rPr>
          <w:rFonts w:ascii="Times New Roman" w:cs="Times New Roman" w:eastAsia="Times New Roman" w:hAnsi="Times New Roman"/>
          <w:sz w:val="20"/>
          <w:szCs w:val="20"/>
          <w:color w:val="auto"/>
        </w:rPr>
        <w:t>” means (a) the Company and (b) any other Person that (i) is permitted under the CFAA to construct and own the assets comprising a Train Facility, (ii) has entered into a construction advisor services agreement in respect of a Subsequent Train Facility, and (iii) has acceded to the RG Facility Agreements in accordance therewith.</w:t>
      </w:r>
    </w:p>
    <w:p>
      <w:pPr>
        <w:spacing w:after="0" w:line="148"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Sales Mandatory Prepayment Event</w:t>
      </w:r>
      <w:r>
        <w:rPr>
          <w:rFonts w:ascii="Times New Roman" w:cs="Times New Roman" w:eastAsia="Times New Roman" w:hAnsi="Times New Roman"/>
          <w:sz w:val="20"/>
          <w:szCs w:val="20"/>
          <w:color w:val="auto"/>
        </w:rPr>
        <w:t xml:space="preserve">” means any event triggering a mandatory prepayment or any requirement to make an offer to prepay (including any such requirement pursuant to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of Senior Secured Debt in connection with the termination of a Offtake Agreement or any Impairment of any related Government Approval.</w:t>
      </w:r>
    </w:p>
    <w:p>
      <w:pPr>
        <w:spacing w:after="0" w:line="148"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Sales Mandatory Prepayment</w:t>
      </w:r>
      <w:r>
        <w:rPr>
          <w:rFonts w:ascii="Times New Roman" w:cs="Times New Roman" w:eastAsia="Times New Roman" w:hAnsi="Times New Roman"/>
          <w:sz w:val="20"/>
          <w:szCs w:val="20"/>
          <w:color w:val="auto"/>
        </w:rPr>
        <w:t>” means any prepayment of Senior Secured Debt in connection with an LNG Sales Mandatory Prepayment Event.</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SPA Termination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SPA Termination Prepayment Amount</w:t>
      </w:r>
      <w:r>
        <w:rPr>
          <w:rFonts w:ascii="Times New Roman" w:cs="Times New Roman" w:eastAsia="Times New Roman" w:hAnsi="Times New Roman"/>
          <w:sz w:val="20"/>
          <w:szCs w:val="20"/>
          <w:color w:val="auto"/>
        </w:rPr>
        <w:t xml:space="preserve">” means an amount determined by the Company and allocated to a prepayment offer in respect of the notes pursuant to </w:t>
      </w:r>
      <w:r>
        <w:rPr>
          <w:rFonts w:ascii="Times New Roman" w:cs="Times New Roman" w:eastAsia="Times New Roman" w:hAnsi="Times New Roman"/>
          <w:sz w:val="20"/>
          <w:szCs w:val="20"/>
          <w:u w:val="single" w:color="auto"/>
          <w:color w:val="auto"/>
        </w:rPr>
        <w:t>Section 4.8(a)</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 Proceeds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Make-Whole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Project Party</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means June 30, 2047.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46" w:name="page47"/>
    <w:bookmarkEnd w:id="46"/>
    <w:p>
      <w:pPr>
        <w:jc w:val="both"/>
        <w:ind w:left="74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Mezzanine Financing Facility</w:t>
      </w:r>
      <w:r>
        <w:rPr>
          <w:rFonts w:ascii="Times New Roman" w:cs="Times New Roman" w:eastAsia="Times New Roman" w:hAnsi="Times New Roman"/>
          <w:sz w:val="20"/>
          <w:szCs w:val="20"/>
          <w:color w:val="auto"/>
        </w:rPr>
        <w:t>” means any financing facility entered into at any time by a Person that is a parent of the Pledgor in connection with the Project.</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MTPA</w:t>
      </w:r>
      <w:r>
        <w:rPr>
          <w:rFonts w:ascii="Times New Roman" w:cs="Times New Roman" w:eastAsia="Times New Roman" w:hAnsi="Times New Roman"/>
          <w:sz w:val="20"/>
          <w:szCs w:val="20"/>
          <w:color w:val="auto"/>
        </w:rPr>
        <w:t>” means million metric tonnes per annum.</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 multiemployer plan defined as such in Section 3(37) of ERISA to which contributions have been made by the Company or any ERISA Affiliate in the past five years and which is covered by Title IV of ERISA.</w:t>
      </w:r>
    </w:p>
    <w:p>
      <w:pPr>
        <w:spacing w:after="0" w:line="125" w:lineRule="exact"/>
        <w:rPr>
          <w:sz w:val="20"/>
          <w:szCs w:val="20"/>
          <w:color w:val="auto"/>
        </w:rPr>
      </w:pPr>
    </w:p>
    <w:p>
      <w:pPr>
        <w:jc w:val="both"/>
        <w:ind w:left="740" w:hanging="9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Necessary Senior Secured Debt Instrument</w:t>
      </w:r>
      <w:r>
        <w:rPr>
          <w:rFonts w:ascii="Times New Roman" w:cs="Times New Roman" w:eastAsia="Times New Roman" w:hAnsi="Times New Roman"/>
          <w:sz w:val="20"/>
          <w:szCs w:val="20"/>
          <w:color w:val="auto"/>
        </w:rPr>
        <w:t>” means any Senior Secured Debt Instrument providing for Indebtedness without which the Company could not reasonably expect to have sufficient funds (on the basis of all available funds, including Senior Secured Debt Commitments, cash on deposit in the P1 Construction Account or the Distribution Account, or other committed equity, and projected Contracted Revenues under the Designated Offtake Agreements) to achieve the Project Completion Date by the Date Certain.</w:t>
      </w:r>
    </w:p>
    <w:p>
      <w:pPr>
        <w:spacing w:after="0" w:line="154" w:lineRule="exact"/>
        <w:rPr>
          <w:sz w:val="20"/>
          <w:szCs w:val="20"/>
          <w:color w:val="auto"/>
        </w:rPr>
      </w:pPr>
    </w:p>
    <w:p>
      <w:pPr>
        <w:jc w:val="both"/>
        <w:ind w:left="74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 Guarantee</w:t>
      </w:r>
      <w:r>
        <w:rPr>
          <w:rFonts w:ascii="Times New Roman" w:cs="Times New Roman" w:eastAsia="Times New Roman" w:hAnsi="Times New Roman"/>
          <w:sz w:val="20"/>
          <w:szCs w:val="20"/>
          <w:color w:val="auto"/>
        </w:rPr>
        <w:t>” means the Guarantee by each Guarantor of the Company’s obligations under this Indenture and the Notes, contained in this Indenture or in any Supplemental Indenture.</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Noteholder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Holder</w:t>
      </w:r>
      <w:r>
        <w:rPr>
          <w:rFonts w:ascii="Times New Roman" w:cs="Times New Roman" w:eastAsia="Times New Roman" w:hAnsi="Times New Roman"/>
          <w:sz w:val="20"/>
          <w:szCs w:val="20"/>
          <w:color w:val="auto"/>
        </w:rPr>
        <w:t>” means a Person in whose name a Note is registered.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means the Initial Notes and any Additional Notes, unless the context otherwise requires.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 Documents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216" w:lineRule="exact"/>
        <w:rPr>
          <w:sz w:val="20"/>
          <w:szCs w:val="20"/>
          <w:color w:val="auto"/>
        </w:rPr>
      </w:pPr>
    </w:p>
    <w:p>
      <w:pPr>
        <w:jc w:val="both"/>
        <w:ind w:left="740" w:hanging="90"/>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 Laws</w:t>
      </w:r>
      <w:r>
        <w:rPr>
          <w:rFonts w:ascii="Times New Roman" w:cs="Times New Roman" w:eastAsia="Times New Roman" w:hAnsi="Times New Roman"/>
          <w:sz w:val="20"/>
          <w:szCs w:val="20"/>
          <w:color w:val="auto"/>
        </w:rPr>
        <w:t>” means any laws, regulations, and executive orders relating to the economic sanctions programs administered by OFAC, including the International Emergency Economic Powers Act, 50 U.S.C. sections 1701 et seq.; the Trading with the Enemy Act, 50 App. U.S.C. sections 1 et seq.; and the Office of Foreign Assets Control, Department of the Treasury Regulations, 31 C.F.R. Parts 500 et seq. (implementing the economic sanctions programs administered by OFAC).</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 SDN List</w:t>
      </w:r>
      <w:r>
        <w:rPr>
          <w:rFonts w:ascii="Times New Roman" w:cs="Times New Roman" w:eastAsia="Times New Roman" w:hAnsi="Times New Roman"/>
          <w:sz w:val="20"/>
          <w:szCs w:val="20"/>
          <w:color w:val="auto"/>
        </w:rPr>
        <w:t>” means the list of “Specially Designated Nationals and Blocked Persons” maintained by OFAC.</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740" w:hanging="9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Officer’s Certificate</w:t>
      </w:r>
      <w:r>
        <w:rPr>
          <w:rFonts w:ascii="Times New Roman" w:cs="Times New Roman" w:eastAsia="Times New Roman" w:hAnsi="Times New Roman"/>
          <w:sz w:val="20"/>
          <w:szCs w:val="20"/>
          <w:color w:val="auto"/>
        </w:rPr>
        <w:t xml:space="preserve">” means a certificate signed by one Authorized Officer of the Company, which officer must be the principal executive officer, the principal financial officer, the treasurer, the principal accounting officer or the general counsel and secretary that meets the requirements of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Offtaker</w:t>
      </w:r>
      <w:r>
        <w:rPr>
          <w:rFonts w:ascii="Times New Roman" w:cs="Times New Roman" w:eastAsia="Times New Roman" w:hAnsi="Times New Roman"/>
          <w:sz w:val="20"/>
          <w:szCs w:val="20"/>
          <w:color w:val="auto"/>
        </w:rPr>
        <w:t>” means each counterparty to an Offtake Agreement (but excluding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47" w:name="page48"/>
    <w:bookmarkEnd w:id="47"/>
    <w:p>
      <w:pPr>
        <w:jc w:val="both"/>
        <w:ind w:left="740" w:right="2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Opinion of Counsel</w:t>
      </w:r>
      <w:r>
        <w:rPr>
          <w:rFonts w:ascii="Times New Roman" w:cs="Times New Roman" w:eastAsia="Times New Roman" w:hAnsi="Times New Roman"/>
          <w:sz w:val="20"/>
          <w:szCs w:val="20"/>
          <w:color w:val="auto"/>
        </w:rPr>
        <w:t xml:space="preserve">” means an opinion or opinions from legal counsel who is reasonably acceptable to the Trustee that meets the requirements of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The counsel may be an employee of, or counsel to, the Company or to a Holder, as applicable.</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P1 CASA Advisor</w:t>
      </w:r>
      <w:r>
        <w:rPr>
          <w:rFonts w:ascii="Times New Roman" w:cs="Times New Roman" w:eastAsia="Times New Roman" w:hAnsi="Times New Roman"/>
          <w:sz w:val="20"/>
          <w:szCs w:val="20"/>
          <w:color w:val="auto"/>
        </w:rPr>
        <w:t>” has the meaning assigned to such term in the P1 CASA.</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has the meaning set forth in the Preamble hereto.</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Schedule</w:t>
      </w:r>
      <w:r>
        <w:rPr>
          <w:rFonts w:ascii="Times New Roman" w:cs="Times New Roman" w:eastAsia="Times New Roman" w:hAnsi="Times New Roman"/>
          <w:sz w:val="20"/>
          <w:szCs w:val="20"/>
          <w:color w:val="auto"/>
        </w:rPr>
        <w:t xml:space="preserve">” means the payment and amortization schedule attached hereto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as the same may be adjusted from time to time in accordance with the terms of this Indenture and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PBGC</w:t>
      </w:r>
      <w:r>
        <w:rPr>
          <w:rFonts w:ascii="Times New Roman" w:cs="Times New Roman" w:eastAsia="Times New Roman" w:hAnsi="Times New Roman"/>
          <w:sz w:val="20"/>
          <w:szCs w:val="20"/>
          <w:color w:val="auto"/>
        </w:rPr>
        <w:t>” means the Pension Benefit Guaranty Corporation established pursuant to Subtitle A of Title IV of ERISA (or any successor).</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Liquidated Damages</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16"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any “employee benefit plan” as defined in Section 3(3) of ERISA, including any “employee welfare benefit plan” (as defined in Section 3(1) of ERISA) and/or any “employee pension benefit plan” (as defined in Section 3(2) of ERISA), that is or was maintained or contributed to by the Company or any ERISA Affiliate.</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PLD Excess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PLD Proceeds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74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Private Placement Legend</w:t>
      </w:r>
      <w:r>
        <w:rPr>
          <w:rFonts w:ascii="Times New Roman" w:cs="Times New Roman" w:eastAsia="Times New Roman" w:hAnsi="Times New Roman"/>
          <w:sz w:val="20"/>
          <w:szCs w:val="20"/>
          <w:color w:val="auto"/>
        </w:rPr>
        <w:t xml:space="preserve">” means (a) in the case of the Initial Notes, the legend set forth in </w:t>
      </w:r>
      <w:r>
        <w:rPr>
          <w:rFonts w:ascii="Times New Roman" w:cs="Times New Roman" w:eastAsia="Times New Roman" w:hAnsi="Times New Roman"/>
          <w:sz w:val="20"/>
          <w:szCs w:val="20"/>
          <w:u w:val="single" w:color="auto"/>
          <w:color w:val="auto"/>
        </w:rPr>
        <w:t>Section 2.6(b)(i)</w:t>
      </w:r>
      <w:r>
        <w:rPr>
          <w:rFonts w:ascii="Times New Roman" w:cs="Times New Roman" w:eastAsia="Times New Roman" w:hAnsi="Times New Roman"/>
          <w:sz w:val="20"/>
          <w:szCs w:val="20"/>
          <w:color w:val="auto"/>
        </w:rPr>
        <w:t xml:space="preserve"> and (b) in the case of any Additional Notes, any legend required or permitted by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QIB</w:t>
      </w:r>
      <w:r>
        <w:rPr>
          <w:rFonts w:ascii="Times New Roman" w:cs="Times New Roman" w:eastAsia="Times New Roman" w:hAnsi="Times New Roman"/>
          <w:sz w:val="20"/>
          <w:szCs w:val="20"/>
          <w:color w:val="auto"/>
        </w:rPr>
        <w:t>” means a “qualified institutional buyer” as defined in Rule 144A.</w:t>
      </w:r>
    </w:p>
    <w:p>
      <w:pPr>
        <w:spacing w:after="0" w:line="202" w:lineRule="exact"/>
        <w:rPr>
          <w:sz w:val="20"/>
          <w:szCs w:val="20"/>
          <w:color w:val="auto"/>
        </w:rPr>
      </w:pPr>
    </w:p>
    <w:p>
      <w:pPr>
        <w:jc w:val="both"/>
        <w:ind w:left="740" w:hanging="9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Energy Company</w:t>
      </w:r>
      <w:r>
        <w:rPr>
          <w:rFonts w:ascii="Times New Roman" w:cs="Times New Roman" w:eastAsia="Times New Roman" w:hAnsi="Times New Roman"/>
          <w:sz w:val="20"/>
          <w:szCs w:val="20"/>
          <w:color w:val="auto"/>
        </w:rPr>
        <w:t>” means, to the extent satisfying the KYC Requirements, a person: (a) (i) that is, owns, or is Controlled by, or whose ultimate parent company is, (A) an international reputable oil and gas or LNG company (integrated or non-integrated) substantially involved in the exploration, development, production or marketing of hydrocarbons, or (B) a power company or utility that has not less than 5000 megawatts of power generation assets under ownership, management and operation of which at least 2500 megawatts are attributable to gas-fired power generation assets, or (C) a utility or trading company, a substantial portion of whose business involves the ownership, transportation, liquefaction, regasification or purchase, sale or trading of gas or LNG, (ii) with a tangible net worth of no less than $5,000,000,000, and (iii) that is not, or whose ultimate parent company is not, an affiliate of any Government Authority or (b) that is, or is an affiliate of, the Sponsor or any Approved Owner.</w:t>
      </w:r>
    </w:p>
    <w:p>
      <w:pPr>
        <w:spacing w:after="0" w:line="161" w:lineRule="exact"/>
        <w:rPr>
          <w:sz w:val="20"/>
          <w:szCs w:val="20"/>
          <w:color w:val="auto"/>
        </w:rPr>
      </w:pPr>
    </w:p>
    <w:p>
      <w:pPr>
        <w:jc w:val="both"/>
        <w:ind w:left="74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Investment Entities</w:t>
      </w:r>
      <w:r>
        <w:rPr>
          <w:rFonts w:ascii="Times New Roman" w:cs="Times New Roman" w:eastAsia="Times New Roman" w:hAnsi="Times New Roman"/>
          <w:sz w:val="20"/>
          <w:szCs w:val="20"/>
          <w:color w:val="auto"/>
        </w:rPr>
        <w:t>” means, to the extent satisfying the KYC Requirements, any Person that is managed or advised by a Qualified Investment House or its Related Entities;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48" w:name="page49"/>
    <w:bookmarkEnd w:id="48"/>
    <w:p>
      <w:pPr>
        <w:jc w:val="both"/>
        <w:ind w:left="740"/>
        <w:spacing w:after="0" w:line="261" w:lineRule="auto"/>
        <w:rPr>
          <w:sz w:val="20"/>
          <w:szCs w:val="20"/>
          <w:color w:val="auto"/>
        </w:rPr>
      </w:pPr>
      <w:r>
        <w:rPr>
          <w:rFonts w:ascii="Times New Roman" w:cs="Times New Roman" w:eastAsia="Times New Roman" w:hAnsi="Times New Roman"/>
          <w:sz w:val="20"/>
          <w:szCs w:val="20"/>
          <w:color w:val="auto"/>
        </w:rPr>
        <w:t>where “advised” means being in receipt of implementing advice in relation to the management of investments of a person which (other than in relation to actually making decisions to implement such advice) is substantially the same as the services which would be provided by a fund manager of the relevant Person.</w:t>
      </w:r>
    </w:p>
    <w:p>
      <w:pPr>
        <w:spacing w:after="0" w:line="150" w:lineRule="exact"/>
        <w:rPr>
          <w:sz w:val="20"/>
          <w:szCs w:val="20"/>
          <w:color w:val="auto"/>
        </w:rPr>
      </w:pPr>
    </w:p>
    <w:p>
      <w:pPr>
        <w:jc w:val="both"/>
        <w:ind w:left="740" w:hanging="9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Investment House</w:t>
      </w:r>
      <w:r>
        <w:rPr>
          <w:rFonts w:ascii="Times New Roman" w:cs="Times New Roman" w:eastAsia="Times New Roman" w:hAnsi="Times New Roman"/>
          <w:sz w:val="20"/>
          <w:szCs w:val="20"/>
          <w:color w:val="auto"/>
        </w:rPr>
        <w:t>” means (a) Global Infrastructure Management, LLC or (b) any other investment manager (i) who has aggregate assets under management and committed capital in excess of $10,000,000,000 and (ii) has satisfied the KYC Requirements.</w:t>
      </w:r>
    </w:p>
    <w:p>
      <w:pPr>
        <w:spacing w:after="0" w:line="142" w:lineRule="exact"/>
        <w:rPr>
          <w:sz w:val="20"/>
          <w:szCs w:val="20"/>
          <w:color w:val="auto"/>
        </w:rPr>
      </w:pPr>
    </w:p>
    <w:p>
      <w:pPr>
        <w:jc w:val="both"/>
        <w:ind w:left="740" w:hanging="90"/>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Qualified Manager</w:t>
      </w:r>
      <w:r>
        <w:rPr>
          <w:rFonts w:ascii="Times New Roman" w:cs="Times New Roman" w:eastAsia="Times New Roman" w:hAnsi="Times New Roman"/>
          <w:sz w:val="19"/>
          <w:szCs w:val="19"/>
          <w:color w:val="auto"/>
        </w:rPr>
        <w:t>” means an entity that (a) manages (by contract, as the manager of a limited liability company, or the general partner of a limited partnership) or advises infrastructure funds, private equity funds, pension funds, government sponsored funds or other similar funds (including publicly traded entities commonly referred to as “master limited partnerships”), which collectively hold assets that in the aggregate are valued in excess of $5,000,000,000, (b) has the expertise, experience, and technical resources to successfully manage the relevant managed entity’s ownership interest in the Project, and (c) satisfies the KYC Requirements. For purposes of this definition of “</w:t>
      </w:r>
      <w:r>
        <w:rPr>
          <w:rFonts w:ascii="Times New Roman" w:cs="Times New Roman" w:eastAsia="Times New Roman" w:hAnsi="Times New Roman"/>
          <w:sz w:val="19"/>
          <w:szCs w:val="19"/>
          <w:b w:val="1"/>
          <w:bCs w:val="1"/>
          <w:color w:val="auto"/>
        </w:rPr>
        <w:t>Qualified Manager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advised</w:t>
      </w:r>
      <w:r>
        <w:rPr>
          <w:rFonts w:ascii="Times New Roman" w:cs="Times New Roman" w:eastAsia="Times New Roman" w:hAnsi="Times New Roman"/>
          <w:sz w:val="19"/>
          <w:szCs w:val="19"/>
          <w:color w:val="auto"/>
        </w:rPr>
        <w:t>” means being in receipt of and implementing advice in relation to the management of investments of that person which (other than in relation to actually making decisions to implement such advice) is substantially the same as the services which would be provided by a fund manager of the relevant person.</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Mezzanine Entity</w:t>
      </w:r>
      <w:r>
        <w:rPr>
          <w:rFonts w:ascii="Times New Roman" w:cs="Times New Roman" w:eastAsia="Times New Roman" w:hAnsi="Times New Roman"/>
          <w:sz w:val="20"/>
          <w:szCs w:val="20"/>
          <w:color w:val="auto"/>
        </w:rPr>
        <w:t>” means, in connection with a foreclosure under any Mezzanine Financing Facility, a Person that:</w:t>
      </w:r>
    </w:p>
    <w:p>
      <w:pPr>
        <w:spacing w:after="0" w:line="220" w:lineRule="exact"/>
        <w:rPr>
          <w:sz w:val="20"/>
          <w:szCs w:val="20"/>
          <w:color w:val="auto"/>
        </w:rPr>
      </w:pPr>
    </w:p>
    <w:p>
      <w:pPr>
        <w:jc w:val="both"/>
        <w:ind w:left="1300" w:hanging="563"/>
        <w:spacing w:after="0" w:line="262" w:lineRule="auto"/>
        <w:tabs>
          <w:tab w:leader="none" w:pos="1236"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is one of (i) an agent under such Mezzanine Financing Facility who acquires, holds, or controls the relevant Equity Interests, as agent, pending further disposition thereof for a period not to exceed 270 days (unless, prior to the expiration of such 270 days, a Rating Reaffirmation shall have occurred), (ii) either (A) any infrastructure fund, private equity fund, pension fund, government sponsored fund, or other similar fund (including publicly traded entities commonly referred to as “master limited partnerships”) or an investment vehicle owned directly or indirectly by one or more such entities that is a lender under such Mezzanine Financing Facility and is Controlled by a Qualified Manager or (B) the Qualified Manager of any entity referred to in subpart (A) of this subpart (ii) and, in each of cases (A) and (B) acquires the relevant Equity Interests for its own account or for further disposition thereof, or (iii) a Person who receives the relevant Equity Interests through a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foreclosure over the security interests granted in respect of such Mezzanine Financing Facility and such Person is (A)</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otherwise an Approved Owner, Qualified Investment Entity, Qualified Offtaker Investor, or Qualified Energy Company or</w:t>
      </w:r>
    </w:p>
    <w:p>
      <w:pPr>
        <w:spacing w:after="0" w:line="6" w:lineRule="exact"/>
        <w:rPr>
          <w:sz w:val="20"/>
          <w:szCs w:val="20"/>
          <w:color w:val="auto"/>
        </w:rPr>
      </w:pPr>
    </w:p>
    <w:p>
      <w:pPr>
        <w:ind w:left="1300"/>
        <w:spacing w:after="0" w:line="260" w:lineRule="auto"/>
        <w:rPr>
          <w:sz w:val="20"/>
          <w:szCs w:val="20"/>
          <w:color w:val="auto"/>
        </w:rPr>
      </w:pPr>
      <w:r>
        <w:rPr>
          <w:rFonts w:ascii="Times New Roman" w:cs="Times New Roman" w:eastAsia="Times New Roman" w:hAnsi="Times New Roman"/>
          <w:sz w:val="20"/>
          <w:szCs w:val="20"/>
          <w:color w:val="auto"/>
        </w:rPr>
        <w:t>(B) has caused each Specified Rating Agency then-rating all or a portion of the Notes to provide a Ratings Reaffirmation of such Notes that gives effect to the acquisition, holding or control of such Equity Interests by such Person; and</w:t>
      </w:r>
    </w:p>
    <w:p>
      <w:pPr>
        <w:spacing w:after="0" w:line="154" w:lineRule="exact"/>
        <w:rPr>
          <w:sz w:val="20"/>
          <w:szCs w:val="20"/>
          <w:color w:val="auto"/>
        </w:rPr>
      </w:pPr>
    </w:p>
    <w:p>
      <w:pPr>
        <w:ind w:left="1300" w:hanging="563"/>
        <w:spacing w:after="0" w:line="283" w:lineRule="auto"/>
        <w:tabs>
          <w:tab w:leader="none" w:pos="1257"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and is not 50% or more owned or otherwise Controlled by, and does not own or Control, a Restricted Person and satisfies the KYC Requirements.</w:t>
      </w:r>
    </w:p>
    <w:p>
      <w:pPr>
        <w:spacing w:after="0" w:line="129" w:lineRule="exact"/>
        <w:rPr>
          <w:sz w:val="20"/>
          <w:szCs w:val="20"/>
          <w:color w:val="auto"/>
        </w:rPr>
      </w:pPr>
    </w:p>
    <w:p>
      <w:pPr>
        <w:jc w:val="both"/>
        <w:ind w:left="740" w:hanging="9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Offtake Agreement</w:t>
      </w:r>
      <w:r>
        <w:rPr>
          <w:rFonts w:ascii="Times New Roman" w:cs="Times New Roman" w:eastAsia="Times New Roman" w:hAnsi="Times New Roman"/>
          <w:sz w:val="20"/>
          <w:szCs w:val="20"/>
          <w:color w:val="auto"/>
        </w:rPr>
        <w:t>” means the Initial Offtake Agreements and any other Offtake Agreement that meets each of the following conditions: (a) such Offtake Agreement is entered into for a Qualified Term with a Qualified Offtaker, (b) such Offtake Agreement provides for the delivery of LNG on an FOB or Delivered basis, (c) the Company has delivered to the P1 Intercreditor Agent notice of the proposed terms of such Offtake Agreement and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49" w:name="page50"/>
    <w:bookmarkEnd w:id="49"/>
    <w:p>
      <w:pPr>
        <w:jc w:val="both"/>
        <w:ind w:left="740"/>
        <w:spacing w:after="0" w:line="253" w:lineRule="auto"/>
        <w:rPr>
          <w:sz w:val="20"/>
          <w:szCs w:val="20"/>
          <w:color w:val="auto"/>
        </w:rPr>
      </w:pPr>
      <w:r>
        <w:rPr>
          <w:rFonts w:ascii="Times New Roman" w:cs="Times New Roman" w:eastAsia="Times New Roman" w:hAnsi="Times New Roman"/>
          <w:sz w:val="20"/>
          <w:szCs w:val="20"/>
          <w:color w:val="auto"/>
        </w:rPr>
        <w:t xml:space="preserve">(other than as specified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are consistent, in all material respects with (or not materially less favorable in the aggregate to the interests of the Company than) those set forth in any of Qualified Offtake Agreements then in effect, and (d) the execution of such Qualified Offtake Agreement and performance by the Company of its obligations under such Qualified Offtake Agreement shall not result in a breach of any Qualified Offtake Agreement then in effect, or any Required Export Authorization then in-effect and any additional Required Export Authorizations that are necessary in connection with the execution of such Offtake Agreement.</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Offtaker</w:t>
      </w:r>
      <w:r>
        <w:rPr>
          <w:rFonts w:ascii="Times New Roman" w:cs="Times New Roman" w:eastAsia="Times New Roman" w:hAnsi="Times New Roman"/>
          <w:sz w:val="20"/>
          <w:szCs w:val="20"/>
          <w:color w:val="auto"/>
        </w:rPr>
        <w:t>” means, to the extent satisfying the KYC Requirements:</w:t>
      </w:r>
    </w:p>
    <w:p>
      <w:pPr>
        <w:spacing w:after="0" w:line="233" w:lineRule="exact"/>
        <w:rPr>
          <w:sz w:val="20"/>
          <w:szCs w:val="20"/>
          <w:color w:val="auto"/>
        </w:rPr>
      </w:pPr>
    </w:p>
    <w:p>
      <w:pPr>
        <w:jc w:val="both"/>
        <w:ind w:left="1280" w:hanging="634"/>
        <w:spacing w:after="0" w:line="248" w:lineRule="auto"/>
        <w:tabs>
          <w:tab w:leader="none" w:pos="127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 any Initial Offtaker so long as, either (A) such Initial Offtaker is not required to provide credit support on the Closing Date in respect of its obligations under the Initial Offtake Agreement to which is a party or (B) such Initial Offtaker has entered into the applicable Designated Offtake Agreement after the Closing Date that provides for credit support requirements that are either substantially similar to those included in the applicable Initial Offtake Agreement or more favorable to the Company and (ii) any entity that, as of the Closing Date, provides a guaranty in respect of an Initial Offtaker’s obligations under the Initial Offtake Agreement to which it is a party;</w:t>
      </w:r>
    </w:p>
    <w:p>
      <w:pPr>
        <w:spacing w:after="0" w:line="210" w:lineRule="exact"/>
        <w:rPr>
          <w:rFonts w:ascii="Times New Roman" w:cs="Times New Roman" w:eastAsia="Times New Roman" w:hAnsi="Times New Roman"/>
          <w:sz w:val="22"/>
          <w:szCs w:val="22"/>
          <w:color w:val="auto"/>
        </w:rPr>
      </w:pPr>
    </w:p>
    <w:p>
      <w:pPr>
        <w:jc w:val="both"/>
        <w:ind w:left="1280" w:hanging="634"/>
        <w:spacing w:after="0" w:line="245" w:lineRule="auto"/>
        <w:tabs>
          <w:tab w:leader="none" w:pos="127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any Offtaker under any Offtake Agreement which, as of the date it enters into the applicable Designated Offtake Agreement (or, if later, the date on which the applicable Offtake Agreement is designated as a Designated Offtake Agreement pursuant to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as applicable), is, or whose obligations under such Designated Offtake Agreement are guaranteed by an entity that is, Investment Grade;</w:t>
      </w:r>
    </w:p>
    <w:p>
      <w:pPr>
        <w:spacing w:after="0" w:line="211" w:lineRule="exact"/>
        <w:rPr>
          <w:rFonts w:ascii="Times New Roman" w:cs="Times New Roman" w:eastAsia="Times New Roman" w:hAnsi="Times New Roman"/>
          <w:sz w:val="22"/>
          <w:szCs w:val="22"/>
          <w:color w:val="auto"/>
        </w:rPr>
      </w:pPr>
    </w:p>
    <w:p>
      <w:pPr>
        <w:jc w:val="both"/>
        <w:ind w:left="1280" w:hanging="634"/>
        <w:spacing w:after="0" w:line="250" w:lineRule="auto"/>
        <w:tabs>
          <w:tab w:leader="none" w:pos="127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any Offtaker under any Offtake Agreement that has provided one or more (x) guarantees from a guarantor that is Investment Grade and/or (y) letters of credit issued by a Qualifying LC Issuer (as defined in the P1 Accounts Agreement), that are each issued for the benefit of the Company in respect of its obligations under its applicable Offtake Agreement, in the case of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in an amount (in the aggregate) equal to the greater of:</w:t>
      </w:r>
    </w:p>
    <w:p>
      <w:pPr>
        <w:spacing w:after="0" w:line="192" w:lineRule="exact"/>
        <w:rPr>
          <w:rFonts w:ascii="Times New Roman" w:cs="Times New Roman" w:eastAsia="Times New Roman" w:hAnsi="Times New Roman"/>
          <w:sz w:val="22"/>
          <w:szCs w:val="22"/>
          <w:color w:val="auto"/>
        </w:rPr>
      </w:pPr>
    </w:p>
    <w:p>
      <w:pPr>
        <w:ind w:left="1920" w:hanging="636"/>
        <w:spacing w:after="0" w:line="245" w:lineRule="auto"/>
        <w:tabs>
          <w:tab w:leader="none" w:pos="191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50% of the present value of the Contracted Revenues from the applicable Designated Offtake Agreement during the remaining Qualified Term of such Designated Offtake Agreement; and</w:t>
      </w:r>
    </w:p>
    <w:p>
      <w:pPr>
        <w:spacing w:after="0" w:line="208" w:lineRule="exact"/>
        <w:rPr>
          <w:rFonts w:ascii="Times New Roman" w:cs="Times New Roman" w:eastAsia="Times New Roman" w:hAnsi="Times New Roman"/>
          <w:sz w:val="22"/>
          <w:szCs w:val="22"/>
          <w:color w:val="auto"/>
        </w:rPr>
      </w:pPr>
    </w:p>
    <w:p>
      <w:pPr>
        <w:jc w:val="both"/>
        <w:ind w:left="1920" w:hanging="636"/>
        <w:spacing w:after="0" w:line="248" w:lineRule="auto"/>
        <w:tabs>
          <w:tab w:leader="none" w:pos="191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100% of the present value of the Contracted Revenues from the applicable Designated Offtake Agreement during the lesser of (A) the succeeding seven years under such Designated Offtake Agreement and (B) the remaining term of such Designated Offtake Agreement;</w:t>
      </w:r>
    </w:p>
    <w:p>
      <w:pPr>
        <w:spacing w:after="0" w:line="194" w:lineRule="exact"/>
        <w:rPr>
          <w:rFonts w:ascii="Times New Roman" w:cs="Times New Roman" w:eastAsia="Times New Roman" w:hAnsi="Times New Roman"/>
          <w:sz w:val="22"/>
          <w:szCs w:val="22"/>
          <w:color w:val="auto"/>
        </w:rPr>
      </w:pPr>
    </w:p>
    <w:p>
      <w:pPr>
        <w:ind w:left="1300" w:hanging="644"/>
        <w:spacing w:after="0" w:line="259" w:lineRule="auto"/>
        <w:tabs>
          <w:tab w:leader="none" w:pos="129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of Vitol Inc., Glencore Ltd., Trafigura Pte Ltd, Gunvor Singapore Pte Ltd, NFE North Trading, LLC, Mercuria Energy Group Ltd, Petrobras Global Trading B.V., Axpo Singapore Pte Ltd., and Litasco SA;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50" w:name="page51"/>
    <w:bookmarkEnd w:id="50"/>
    <w:p>
      <w:pPr>
        <w:jc w:val="both"/>
        <w:ind w:left="1300" w:hanging="644"/>
        <w:spacing w:after="0" w:line="250" w:lineRule="auto"/>
        <w:tabs>
          <w:tab w:leader="none" w:pos="129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so long as the Company has other Designated Offtake Agreements for at least 12.25 MTPA of ACQ with an Offtaker that satisfies the criteria set forth in any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any Offtaker that has, or whose obligations under the applicable Designated Offtake Agreement are guaranteed by an entity that has, a tangible net worth of at least $3,000,000,000 per 1.0 MTPA of ACQ.</w:t>
      </w:r>
    </w:p>
    <w:p>
      <w:pPr>
        <w:spacing w:after="0" w:line="161" w:lineRule="exact"/>
        <w:rPr>
          <w:sz w:val="20"/>
          <w:szCs w:val="20"/>
          <w:color w:val="auto"/>
        </w:rPr>
      </w:pPr>
    </w:p>
    <w:p>
      <w:pPr>
        <w:jc w:val="right"/>
        <w:ind w:left="640"/>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Qualified Offtaker Investors</w:t>
      </w:r>
      <w:r>
        <w:rPr>
          <w:rFonts w:ascii="Times New Roman" w:cs="Times New Roman" w:eastAsia="Times New Roman" w:hAnsi="Times New Roman"/>
          <w:sz w:val="19"/>
          <w:szCs w:val="19"/>
          <w:color w:val="auto"/>
        </w:rPr>
        <w:t>” means (a) any Initial Offtaker that is not required to provide credit support on the Closing Date in respect of its obligations under the Initial Offtake Agreement to which is a party, (b) any entity that, as of the Closing Date, provides a guaranty in respect of an Initial Offtaker’s obligations under the Initial Offtake Agreement to which such Initial Offtaker is a party,</w:t>
      </w:r>
    </w:p>
    <w:p>
      <w:pPr>
        <w:jc w:val="both"/>
        <w:ind w:left="740" w:hanging="3"/>
        <w:spacing w:after="0" w:line="253" w:lineRule="auto"/>
        <w:tabs>
          <w:tab w:leader="none" w:pos="101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entity that provides a guaranty as contemplated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“Qualified Offtaker”, (d) any entity referred to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the definition of “Qualified Offtaker”, and (e) to the extent satisfying the KYC Requirements, any entity that Controls any of the foregoing.</w:t>
      </w:r>
    </w:p>
    <w:p>
      <w:pPr>
        <w:spacing w:after="0" w:line="158" w:lineRule="exact"/>
        <w:rPr>
          <w:sz w:val="20"/>
          <w:szCs w:val="20"/>
          <w:color w:val="auto"/>
        </w:rPr>
      </w:pPr>
    </w:p>
    <w:p>
      <w:pPr>
        <w:jc w:val="both"/>
        <w:ind w:left="740" w:hanging="9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Public Company</w:t>
      </w:r>
      <w:r>
        <w:rPr>
          <w:rFonts w:ascii="Times New Roman" w:cs="Times New Roman" w:eastAsia="Times New Roman" w:hAnsi="Times New Roman"/>
          <w:sz w:val="20"/>
          <w:szCs w:val="20"/>
          <w:color w:val="auto"/>
        </w:rPr>
        <w:t>” means any publicly listed indirect parent of the Company following a Qualified Public Offering, so long as following such Qualified Public Offering, no person (other than such entity, the Sponsor, the Approved Owners, Qualified Investment Entities, Qualified Offtaker Investors, Qualified Energy Companies, such publicly listed parent company following such Qualified Public Offering or any underwriter or placement agent participating in such Qualified Public Offering) or persons constituting a “group” (within the meaning of Section 13(d) of the Securities Exchange Act of 1934 or any successor provision) (excluding employee benefit plans of the Company or any of its Affiliates and any person or entity acting in its capacity as trustee, agent or other fiduciary or administrator of any such plan) becomes the Beneficial Owner, directly or indirectly, of more than 50% of the economic interests in the Company and, directly or indirectly, Controls the Company.</w:t>
      </w:r>
    </w:p>
    <w:p>
      <w:pPr>
        <w:spacing w:after="0" w:line="174" w:lineRule="exact"/>
        <w:rPr>
          <w:sz w:val="20"/>
          <w:szCs w:val="20"/>
          <w:color w:val="auto"/>
        </w:rPr>
      </w:pPr>
    </w:p>
    <w:p>
      <w:pPr>
        <w:jc w:val="both"/>
        <w:ind w:left="740" w:right="2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Public Offering</w:t>
      </w:r>
      <w:r>
        <w:rPr>
          <w:rFonts w:ascii="Times New Roman" w:cs="Times New Roman" w:eastAsia="Times New Roman" w:hAnsi="Times New Roman"/>
          <w:sz w:val="20"/>
          <w:szCs w:val="20"/>
          <w:color w:val="auto"/>
        </w:rPr>
        <w:t>” means any public offering of the Sponsor or its Affiliates with any indirect ownership interest in the Company or any direct or indirect shareholder of the Company.</w:t>
      </w:r>
    </w:p>
    <w:p>
      <w:pPr>
        <w:spacing w:after="0" w:line="152" w:lineRule="exact"/>
        <w:rPr>
          <w:sz w:val="20"/>
          <w:szCs w:val="20"/>
          <w:color w:val="auto"/>
        </w:rPr>
      </w:pPr>
    </w:p>
    <w:p>
      <w:pPr>
        <w:jc w:val="both"/>
        <w:ind w:left="740" w:hanging="9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Term</w:t>
      </w:r>
      <w:r>
        <w:rPr>
          <w:rFonts w:ascii="Times New Roman" w:cs="Times New Roman" w:eastAsia="Times New Roman" w:hAnsi="Times New Roman"/>
          <w:sz w:val="20"/>
          <w:szCs w:val="20"/>
          <w:color w:val="auto"/>
        </w:rPr>
        <w:t>” means (a) with respect to any Designated Offtake Agreement other than a replacement Designated Offtake Agreement, the term of such Offtake Agreement used in the Base Case Forecast when determining the applicable quantum of Senior Secured Debt that could be incurred based on the revenues projected to be generated under such Offtake Agreement and (b) with respect to one or more Offtake Agreements entered into to replace any terminated Designated Offtake Agreement, (i) a term at least as long, taken as a whole, as the remaining term of the terminated Designated Offtake Agreement that such Offtake Agreement(s) are replacing or (ii) the term for such replacement Offtake Agreement(s) used in the Base Case Forecast to calculate the quantum of Senior Secured Debt required to be prepaid as a result of the terminated Designated Offtake Agreement and entry into such replacement Offtake Agreement(s).</w:t>
      </w:r>
    </w:p>
    <w:p>
      <w:pPr>
        <w:spacing w:after="0" w:line="161"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Rating Reaffirmation</w:t>
      </w:r>
      <w:r>
        <w:rPr>
          <w:rFonts w:ascii="Times New Roman" w:cs="Times New Roman" w:eastAsia="Times New Roman" w:hAnsi="Times New Roman"/>
          <w:sz w:val="20"/>
          <w:szCs w:val="20"/>
          <w:color w:val="auto"/>
        </w:rPr>
        <w:t>” means, with respect to any matter under this Indenture requiring a Rating Reaffirmation, that any two Specified Rating Agencies that are then rating the Notes (or, if only one Specified Rating Agency is then rating the Notes, such agency) have considered the matter and confirmed that, if implemented (or if such matter is an Event of Default, if such event continued), they would reaffirm the then current rating or provide a more favorable rating.</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40" w:right="339"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S</w:t>
      </w:r>
      <w:r>
        <w:rPr>
          <w:rFonts w:ascii="Times New Roman" w:cs="Times New Roman" w:eastAsia="Times New Roman" w:hAnsi="Times New Roman"/>
          <w:sz w:val="20"/>
          <w:szCs w:val="20"/>
          <w:color w:val="auto"/>
        </w:rPr>
        <w:t>” means Regulation S promulgated under the Securities Act.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Reinstatement Debt</w:t>
      </w:r>
      <w:r>
        <w:rPr>
          <w:rFonts w:ascii="Times New Roman" w:cs="Times New Roman" w:eastAsia="Times New Roman" w:hAnsi="Times New Roman"/>
          <w:sz w:val="20"/>
          <w:szCs w:val="20"/>
          <w:color w:val="auto"/>
        </w:rPr>
        <w:t>” means Relevering Debt that satisfies (a) the conditions set forth in Section 2.5 (</w:t>
      </w:r>
      <w:r>
        <w:rPr>
          <w:rFonts w:ascii="Times New Roman" w:cs="Times New Roman" w:eastAsia="Times New Roman" w:hAnsi="Times New Roman"/>
          <w:sz w:val="20"/>
          <w:szCs w:val="20"/>
          <w:i w:val="1"/>
          <w:iCs w:val="1"/>
          <w:color w:val="auto"/>
        </w:rPr>
        <w:t>Relevering Debt</w:t>
      </w:r>
      <w:r>
        <w:rPr>
          <w:rFonts w:ascii="Times New Roman" w:cs="Times New Roman" w:eastAsia="Times New Roman" w:hAnsi="Times New Roman"/>
          <w:sz w:val="20"/>
          <w:szCs w:val="20"/>
          <w:color w:val="auto"/>
        </w:rPr>
        <w:t>) of the</w:t>
      </w:r>
    </w:p>
    <w:p>
      <w:pPr>
        <w:spacing w:after="0" w:line="3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Common Terms Agreement and (b) the following conditions:</w:t>
      </w:r>
    </w:p>
    <w:p>
      <w:pPr>
        <w:spacing w:after="0" w:line="200" w:lineRule="exact"/>
        <w:rPr>
          <w:sz w:val="20"/>
          <w:szCs w:val="20"/>
          <w:color w:val="auto"/>
        </w:rPr>
      </w:pPr>
    </w:p>
    <w:p>
      <w:pPr>
        <w:spacing w:after="0" w:line="257" w:lineRule="exact"/>
        <w:rPr>
          <w:sz w:val="20"/>
          <w:szCs w:val="20"/>
          <w:color w:val="auto"/>
        </w:rPr>
      </w:pPr>
    </w:p>
    <w:p>
      <w:pPr>
        <w:ind w:left="1940" w:hanging="636"/>
        <w:spacing w:after="0"/>
        <w:tabs>
          <w:tab w:leader="none" w:pos="19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LNG Sales Mandatory Prepayment Event has occurred;</w:t>
      </w:r>
    </w:p>
    <w:p>
      <w:pPr>
        <w:spacing w:after="0" w:line="233" w:lineRule="exact"/>
        <w:rPr>
          <w:rFonts w:ascii="Times New Roman" w:cs="Times New Roman" w:eastAsia="Times New Roman" w:hAnsi="Times New Roman"/>
          <w:sz w:val="22"/>
          <w:szCs w:val="22"/>
          <w:color w:val="auto"/>
        </w:rPr>
      </w:pPr>
    </w:p>
    <w:p>
      <w:pPr>
        <w:ind w:left="1960" w:hanging="656"/>
        <w:spacing w:after="0" w:line="245" w:lineRule="auto"/>
        <w:tabs>
          <w:tab w:leader="none" w:pos="195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LNG Sales Mandatory Prepayment Event shall have been cured pursuant to each applicable Senior Secured Debt Instrument;</w:t>
      </w:r>
    </w:p>
    <w:p>
      <w:pPr>
        <w:spacing w:after="0" w:line="222" w:lineRule="exact"/>
        <w:rPr>
          <w:rFonts w:ascii="Times New Roman" w:cs="Times New Roman" w:eastAsia="Times New Roman" w:hAnsi="Times New Roman"/>
          <w:sz w:val="22"/>
          <w:szCs w:val="22"/>
          <w:color w:val="auto"/>
        </w:rPr>
      </w:pPr>
    </w:p>
    <w:p>
      <w:pPr>
        <w:jc w:val="both"/>
        <w:ind w:left="1960" w:hanging="656"/>
        <w:spacing w:after="0" w:line="248" w:lineRule="auto"/>
        <w:tabs>
          <w:tab w:leader="none" w:pos="19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Reinstatement Debt is incurred no later than two years after all applicable LNG Sales Mandatory Prepayments in respect of such LNG Sales Mandatory Prepayment Event have been made pursuant to the applicable Senior Secured Debt Instruments;</w:t>
      </w:r>
    </w:p>
    <w:p>
      <w:pPr>
        <w:spacing w:after="0" w:line="221" w:lineRule="exact"/>
        <w:rPr>
          <w:rFonts w:ascii="Times New Roman" w:cs="Times New Roman" w:eastAsia="Times New Roman" w:hAnsi="Times New Roman"/>
          <w:sz w:val="22"/>
          <w:szCs w:val="22"/>
          <w:color w:val="auto"/>
        </w:rPr>
      </w:pPr>
    </w:p>
    <w:p>
      <w:pPr>
        <w:jc w:val="both"/>
        <w:ind w:left="1960" w:hanging="656"/>
        <w:spacing w:after="0" w:line="248" w:lineRule="auto"/>
        <w:tabs>
          <w:tab w:leader="none" w:pos="194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principal amount of such Reinstatement Debt does not exceed: (A) the amount of such LNG Sales Mandatory Prepayment,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all premiums, fees, costs, expenses and reserves (including any incremental increase in the DSRA Reserve Amounts resulting from the incurrence of such Reinstatement Debt) associated with arranging, issuing and incurring such Reinstatement Debt,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(C) 105% of the P1 IR Hedge Termination Amounts reasonably projected as of such date of incurrence to be due and payable by the Company with respect to any Senior Secured IR Hedge Agreement to be terminated in connection with any such incurrence;</w:t>
      </w:r>
    </w:p>
    <w:p>
      <w:pPr>
        <w:spacing w:after="0" w:line="210" w:lineRule="exact"/>
        <w:rPr>
          <w:rFonts w:ascii="Times New Roman" w:cs="Times New Roman" w:eastAsia="Times New Roman" w:hAnsi="Times New Roman"/>
          <w:sz w:val="22"/>
          <w:szCs w:val="22"/>
          <w:color w:val="auto"/>
        </w:rPr>
      </w:pPr>
    </w:p>
    <w:p>
      <w:pPr>
        <w:jc w:val="both"/>
        <w:ind w:left="1960" w:hanging="656"/>
        <w:spacing w:after="0" w:line="249" w:lineRule="auto"/>
        <w:tabs>
          <w:tab w:leader="none" w:pos="195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Company shall have demonstrated by delivery to the Trustee of an updated Base Case Forecast that all Senior Secured Debt (after taking into account the incurrence of such Reinstatement Debt) outstanding at such time is capable of amortization such that the Indenture Projected DSCR commencing on the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the Debt Service used to calculate the Indenture Projected DSCR shall assume, if such Reinstatement Debt is incurred prior to the Term Conversion Date, that all Senior Secured Debt Commitments will be fully drawn; and</w:t>
      </w:r>
    </w:p>
    <w:p>
      <w:pPr>
        <w:spacing w:after="0" w:line="209" w:lineRule="exact"/>
        <w:rPr>
          <w:rFonts w:ascii="Times New Roman" w:cs="Times New Roman" w:eastAsia="Times New Roman" w:hAnsi="Times New Roman"/>
          <w:sz w:val="22"/>
          <w:szCs w:val="22"/>
          <w:color w:val="auto"/>
        </w:rPr>
      </w:pPr>
    </w:p>
    <w:p>
      <w:pPr>
        <w:jc w:val="both"/>
        <w:ind w:left="1960" w:hanging="656"/>
        <w:spacing w:after="0" w:line="248" w:lineRule="auto"/>
        <w:tabs>
          <w:tab w:leader="none" w:pos="194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concurrently with the incurrence of any Reinstatement Debt, the Company shall apply the proceeds of such Reinstatement Debt in the following order: (A)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pay all premiums, fees, costs, expenses and reserves (including any incremental increase in the DSRA Reserve Amount resulting from the incurrence of such Reinstatement Debt) associated with arranging, issuing, and incurring such Reinstatement Debt; (B)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fund any reserves (including any incremental increase in the DSRA Reserve Amount) resulting from the incurrence of such Reinstatement Debt; (C)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(1) pay any P1 IR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52" w:name="page53"/>
    <w:bookmarkEnd w:id="52"/>
    <w:p>
      <w:pPr>
        <w:jc w:val="both"/>
        <w:ind w:left="1960"/>
        <w:spacing w:after="0" w:line="265" w:lineRule="auto"/>
        <w:rPr>
          <w:sz w:val="20"/>
          <w:szCs w:val="20"/>
          <w:color w:val="auto"/>
        </w:rPr>
      </w:pPr>
      <w:r>
        <w:rPr>
          <w:rFonts w:ascii="Times New Roman" w:cs="Times New Roman" w:eastAsia="Times New Roman" w:hAnsi="Times New Roman"/>
          <w:sz w:val="19"/>
          <w:szCs w:val="19"/>
          <w:color w:val="auto"/>
        </w:rPr>
        <w:t>Termination Amount that is or will be due and payable with respect to any Senior Secured IR Hedge Agreement to be terminated in connection with any such incurrence or (2) reserve an amount equal to 105% of the P1 IR Hedge Termination Amounts reasonably projected as of such date of incurrence to be due and payable by the Company with respect to any Senior Secured IR Hedge Agreement to be terminated in connection with any such incurrence; and</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make Distributions to the Pledgor.</w:t>
      </w:r>
    </w:p>
    <w:p>
      <w:pPr>
        <w:spacing w:after="0" w:line="203" w:lineRule="exact"/>
        <w:rPr>
          <w:sz w:val="20"/>
          <w:szCs w:val="20"/>
          <w:color w:val="auto"/>
        </w:rPr>
      </w:pPr>
    </w:p>
    <w:p>
      <w:pPr>
        <w:jc w:val="both"/>
        <w:ind w:left="740" w:hanging="90"/>
        <w:spacing w:after="0" w:line="287" w:lineRule="auto"/>
        <w:rPr>
          <w:sz w:val="20"/>
          <w:szCs w:val="20"/>
          <w:color w:val="auto"/>
        </w:rPr>
      </w:pPr>
      <w:r>
        <w:rPr>
          <w:rFonts w:ascii="Times New Roman" w:cs="Times New Roman" w:eastAsia="Times New Roman" w:hAnsi="Times New Roman"/>
          <w:sz w:val="20"/>
          <w:szCs w:val="20"/>
          <w:b w:val="1"/>
          <w:bCs w:val="1"/>
          <w:color w:val="auto"/>
        </w:rPr>
        <w:t>“Related Entity</w:t>
      </w:r>
      <w:r>
        <w:rPr>
          <w:rFonts w:ascii="Times New Roman" w:cs="Times New Roman" w:eastAsia="Times New Roman" w:hAnsi="Times New Roman"/>
          <w:sz w:val="20"/>
          <w:szCs w:val="20"/>
          <w:color w:val="auto"/>
        </w:rPr>
        <w:t>” means, with respect to any Person, any other person directly or indirectly Controlling, Controlled by or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 or indirect common Control with such Person.</w:t>
      </w:r>
    </w:p>
    <w:p>
      <w:pPr>
        <w:spacing w:after="0" w:line="125" w:lineRule="exact"/>
        <w:rPr>
          <w:sz w:val="20"/>
          <w:szCs w:val="20"/>
          <w:color w:val="auto"/>
        </w:rPr>
      </w:pPr>
    </w:p>
    <w:p>
      <w:pPr>
        <w:jc w:val="both"/>
        <w:ind w:left="74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Fund</w:t>
      </w:r>
      <w:r>
        <w:rPr>
          <w:rFonts w:ascii="Times New Roman" w:cs="Times New Roman" w:eastAsia="Times New Roman" w:hAnsi="Times New Roman"/>
          <w:sz w:val="20"/>
          <w:szCs w:val="20"/>
          <w:color w:val="auto"/>
        </w:rPr>
        <w:t>” means, with respect to any Noteholder, any fund or entity that (a) invests in securities or bank loans, and (b) is advised or managed by such Noteholder, the same investment advisor as such Noteholder or by an Affiliate of such Noteholder or such investment advisor.</w:t>
      </w:r>
    </w:p>
    <w:p>
      <w:pPr>
        <w:spacing w:after="0" w:line="148" w:lineRule="exact"/>
        <w:rPr>
          <w:sz w:val="20"/>
          <w:szCs w:val="20"/>
          <w:color w:val="auto"/>
        </w:rPr>
      </w:pPr>
    </w:p>
    <w:p>
      <w:pPr>
        <w:jc w:val="both"/>
        <w:ind w:left="740" w:hanging="9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Export Authorization</w:t>
      </w:r>
      <w:r>
        <w:rPr>
          <w:rFonts w:ascii="Times New Roman" w:cs="Times New Roman" w:eastAsia="Times New Roman" w:hAnsi="Times New Roman"/>
          <w:sz w:val="20"/>
          <w:szCs w:val="20"/>
          <w:color w:val="auto"/>
        </w:rPr>
        <w:t>” means, with respect to each Designated Offtake Agreement at any time, the DOE Export Authorization and any other export authorization that the Company designates as a “Required Export Authorization” in connection with the entry into, or designation of, a Designated Offtake Agreement, in each case, to the extent that, at such time, the volumes permitted to be exported under the DOE Export Authorization or such export authorization, as the case may be, are required in order to enable the sale of such Designated Offtake Agreement’s share of the then-applicable Base Committed Quantity of LNG in accordance with the terms of such Designated Offtake Agreement.</w:t>
      </w:r>
    </w:p>
    <w:p>
      <w:pPr>
        <w:spacing w:after="0" w:line="160" w:lineRule="exact"/>
        <w:rPr>
          <w:sz w:val="20"/>
          <w:szCs w:val="20"/>
          <w:color w:val="auto"/>
        </w:rPr>
      </w:pPr>
    </w:p>
    <w:p>
      <w:pPr>
        <w:jc w:val="both"/>
        <w:ind w:left="740" w:hanging="9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when used with respect to the Trustee, means any officer within the corporate trust department of the Trustee (or any successor division or unit of the Trustee) located at the Corporate Trust Office of the Trustee, who has direct responsibility for the administration of this Indenture and also means any other officer to whom such matter is referred because of his knowledge of and familiarity with the particular subject.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Definitive Note</w:t>
      </w:r>
      <w:r>
        <w:rPr>
          <w:rFonts w:ascii="Times New Roman" w:cs="Times New Roman" w:eastAsia="Times New Roman" w:hAnsi="Times New Roman"/>
          <w:sz w:val="20"/>
          <w:szCs w:val="20"/>
          <w:color w:val="auto"/>
        </w:rPr>
        <w:t>” means a Definitive Note bearing the Private Placement Legend.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means the forty-day distribution compliance period as defined in Regulation S.</w:t>
      </w:r>
    </w:p>
    <w:p>
      <w:pPr>
        <w:spacing w:after="0" w:line="202" w:lineRule="exact"/>
        <w:rPr>
          <w:sz w:val="20"/>
          <w:szCs w:val="20"/>
          <w:color w:val="auto"/>
        </w:rPr>
      </w:pPr>
    </w:p>
    <w:p>
      <w:pPr>
        <w:jc w:val="right"/>
        <w:ind w:left="64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Person</w:t>
      </w:r>
      <w:r>
        <w:rPr>
          <w:rFonts w:ascii="Times New Roman" w:cs="Times New Roman" w:eastAsia="Times New Roman" w:hAnsi="Times New Roman"/>
          <w:sz w:val="20"/>
          <w:szCs w:val="20"/>
          <w:color w:val="auto"/>
        </w:rPr>
        <w:t>” means a Person that is: (a) the target of Sanctions Regulations; (b) a Canada Blocked Person, (c) a Person listed on, or acting on behalf of a Person listed on, any Sanctions List; (d) a Person located, organized, or ordinarily resident in a country, territory, or region that is, or whose government is, the target of country-wide or territory-wide comprehensive Sanctions Regulations (as of the date of this Agreement, Cuba, Iran, North Korea, Syria, the Crimea region of Ukraine, the so-called Donetsk People’s Republic, and the so-called Luhansk People’s Republic) but excluding, for the elimination of doubt, the United States; or</w:t>
      </w:r>
    </w:p>
    <w:p>
      <w:pPr>
        <w:spacing w:after="0" w:line="5" w:lineRule="exact"/>
        <w:rPr>
          <w:sz w:val="20"/>
          <w:szCs w:val="20"/>
          <w:color w:val="auto"/>
        </w:rPr>
      </w:pPr>
    </w:p>
    <w:p>
      <w:pPr>
        <w:ind w:left="640" w:right="60" w:firstLine="97"/>
        <w:spacing w:after="0" w:line="440" w:lineRule="auto"/>
        <w:tabs>
          <w:tab w:leader="none" w:pos="10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owned more than 50% by or otherwise controlled by a Person or Persons, country, territory or region in (a) through (d). “</w:t>
      </w:r>
      <w:r>
        <w:rPr>
          <w:rFonts w:ascii="Times New Roman" w:cs="Times New Roman" w:eastAsia="Times New Roman" w:hAnsi="Times New Roman"/>
          <w:sz w:val="20"/>
          <w:szCs w:val="20"/>
          <w:b w:val="1"/>
          <w:bCs w:val="1"/>
          <w:color w:val="auto"/>
        </w:rPr>
        <w:t>Rule 144</w:t>
      </w:r>
      <w:r>
        <w:rPr>
          <w:rFonts w:ascii="Times New Roman" w:cs="Times New Roman" w:eastAsia="Times New Roman" w:hAnsi="Times New Roman"/>
          <w:sz w:val="20"/>
          <w:szCs w:val="20"/>
          <w:color w:val="auto"/>
        </w:rPr>
        <w:t>” means Rule 144 promulgated under the Securities Act.</w:t>
      </w:r>
    </w:p>
    <w:p>
      <w:pPr>
        <w:spacing w:after="0" w:line="1" w:lineRule="exact"/>
        <w:rPr>
          <w:rFonts w:ascii="Times New Roman" w:cs="Times New Roman" w:eastAsia="Times New Roman" w:hAnsi="Times New Roman"/>
          <w:sz w:val="20"/>
          <w:szCs w:val="20"/>
          <w:color w:val="auto"/>
        </w:rPr>
      </w:pPr>
    </w:p>
    <w:p>
      <w:pPr>
        <w:ind w:left="640" w:right="5020"/>
        <w:spacing w:after="0" w:line="5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Rule 144A</w:t>
      </w:r>
      <w:r>
        <w:rPr>
          <w:rFonts w:ascii="Times New Roman" w:cs="Times New Roman" w:eastAsia="Times New Roman" w:hAnsi="Times New Roman"/>
          <w:sz w:val="19"/>
          <w:szCs w:val="19"/>
          <w:color w:val="auto"/>
        </w:rPr>
        <w:t>” means Rule 144A promulgated under the Securities Act. “</w:t>
      </w:r>
      <w:r>
        <w:rPr>
          <w:rFonts w:ascii="Times New Roman" w:cs="Times New Roman" w:eastAsia="Times New Roman" w:hAnsi="Times New Roman"/>
          <w:sz w:val="19"/>
          <w:szCs w:val="19"/>
          <w:b w:val="1"/>
          <w:bCs w:val="1"/>
          <w:color w:val="auto"/>
        </w:rPr>
        <w:t>Rule 144A Information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4.3</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53" w:name="page54"/>
    <w:bookmarkEnd w:id="53"/>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903</w:t>
      </w:r>
      <w:r>
        <w:rPr>
          <w:rFonts w:ascii="Times New Roman" w:cs="Times New Roman" w:eastAsia="Times New Roman" w:hAnsi="Times New Roman"/>
          <w:sz w:val="20"/>
          <w:szCs w:val="20"/>
          <w:color w:val="auto"/>
        </w:rPr>
        <w:t>” means Rule 903 promulgated under the Securities Act.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904</w:t>
      </w:r>
      <w:r>
        <w:rPr>
          <w:rFonts w:ascii="Times New Roman" w:cs="Times New Roman" w:eastAsia="Times New Roman" w:hAnsi="Times New Roman"/>
          <w:sz w:val="20"/>
          <w:szCs w:val="20"/>
          <w:color w:val="auto"/>
        </w:rPr>
        <w:t>” means Rule 904 promulgated under the Securities Act.</w:t>
      </w:r>
    </w:p>
    <w:p>
      <w:pPr>
        <w:spacing w:after="0" w:line="216" w:lineRule="exact"/>
        <w:rPr>
          <w:sz w:val="20"/>
          <w:szCs w:val="20"/>
          <w:color w:val="auto"/>
        </w:rPr>
      </w:pPr>
    </w:p>
    <w:p>
      <w:pPr>
        <w:jc w:val="both"/>
        <w:ind w:left="740" w:hanging="90"/>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Authorities</w:t>
      </w:r>
      <w:r>
        <w:rPr>
          <w:rFonts w:ascii="Times New Roman" w:cs="Times New Roman" w:eastAsia="Times New Roman" w:hAnsi="Times New Roman"/>
          <w:sz w:val="20"/>
          <w:szCs w:val="20"/>
          <w:color w:val="auto"/>
        </w:rPr>
        <w:t>” means (a) the United States; (b) the United Nations (acting through the United Nations Security Council as a whole and not each individual member or member state); (c) the European Union (as a whole and not each member state); (d) the United Kingdom; (e) Canada; or (f) the respective governmental institutions and agencies of any of the foregoing, including OFAC, the United States Department of State, and HMT.</w:t>
      </w:r>
    </w:p>
    <w:p>
      <w:pPr>
        <w:spacing w:after="0" w:line="170" w:lineRule="exact"/>
        <w:rPr>
          <w:sz w:val="20"/>
          <w:szCs w:val="20"/>
          <w:color w:val="auto"/>
        </w:rPr>
      </w:pPr>
    </w:p>
    <w:p>
      <w:pPr>
        <w:jc w:val="both"/>
        <w:ind w:left="740" w:hanging="90"/>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List</w:t>
      </w:r>
      <w:r>
        <w:rPr>
          <w:rFonts w:ascii="Times New Roman" w:cs="Times New Roman" w:eastAsia="Times New Roman" w:hAnsi="Times New Roman"/>
          <w:sz w:val="20"/>
          <w:szCs w:val="20"/>
          <w:color w:val="auto"/>
        </w:rPr>
        <w:t>” means the OFAC SDN List, the Consolidated List of Financial Sanctions Targets and the Investment Ban List maintained by HMT, or any similar list maintained by, or public announcement of sanctions designation under Sanctions Regulations made by, any of the Sanctions Authorities but excluding, in all cases, to the extent such list is made by any Sanctions Authority and targeted against the United States or Persons in or connected to the United States.</w:t>
      </w:r>
    </w:p>
    <w:p>
      <w:pPr>
        <w:spacing w:after="0" w:line="170" w:lineRule="exact"/>
        <w:rPr>
          <w:sz w:val="20"/>
          <w:szCs w:val="20"/>
          <w:color w:val="auto"/>
        </w:rPr>
      </w:pPr>
    </w:p>
    <w:p>
      <w:pPr>
        <w:jc w:val="both"/>
        <w:ind w:left="74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Regulations</w:t>
      </w:r>
      <w:r>
        <w:rPr>
          <w:rFonts w:ascii="Times New Roman" w:cs="Times New Roman" w:eastAsia="Times New Roman" w:hAnsi="Times New Roman"/>
          <w:sz w:val="20"/>
          <w:szCs w:val="20"/>
          <w:color w:val="auto"/>
        </w:rPr>
        <w:t>” means the applicable economic sanctions laws, regulations, embargoes or restrictive measures administered, enacted or enforced by the Sanctions Authorities, including the OFAC Laws but excluding, in all cases, to the extent administered, enacted or enforced by any other Sanctions Authority against the United States.</w:t>
      </w:r>
    </w:p>
    <w:p>
      <w:pPr>
        <w:spacing w:after="0" w:line="148" w:lineRule="exact"/>
        <w:rPr>
          <w:sz w:val="20"/>
          <w:szCs w:val="20"/>
          <w:color w:val="auto"/>
        </w:rPr>
      </w:pPr>
    </w:p>
    <w:p>
      <w:pPr>
        <w:jc w:val="both"/>
        <w:ind w:left="740" w:hanging="9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Screened Affiliate</w:t>
      </w:r>
      <w:r>
        <w:rPr>
          <w:rFonts w:ascii="Times New Roman" w:cs="Times New Roman" w:eastAsia="Times New Roman" w:hAnsi="Times New Roman"/>
          <w:sz w:val="20"/>
          <w:szCs w:val="20"/>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Securities and Exchange Commission.</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 xml:space="preserve">“Senior Financial Officer” </w:t>
      </w:r>
      <w:r>
        <w:rPr>
          <w:rFonts w:ascii="Times New Roman" w:cs="Times New Roman" w:eastAsia="Times New Roman" w:hAnsi="Times New Roman"/>
          <w:sz w:val="19"/>
          <w:szCs w:val="19"/>
          <w:color w:val="auto"/>
        </w:rPr>
        <w:t>means the chief financial officer, principal accounting officer, treasurer or comptroller of the Company.</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Bank Debt</w:t>
      </w:r>
      <w:r>
        <w:rPr>
          <w:rFonts w:ascii="Times New Roman" w:cs="Times New Roman" w:eastAsia="Times New Roman" w:hAnsi="Times New Roman"/>
          <w:sz w:val="20"/>
          <w:szCs w:val="20"/>
          <w:color w:val="auto"/>
        </w:rPr>
        <w:t>” has the meaning set forth in the Collateral and Intercreditor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Bank Debt Holder Representative</w:t>
      </w:r>
      <w:r>
        <w:rPr>
          <w:rFonts w:ascii="Times New Roman" w:cs="Times New Roman" w:eastAsia="Times New Roman" w:hAnsi="Times New Roman"/>
          <w:sz w:val="20"/>
          <w:szCs w:val="20"/>
          <w:color w:val="auto"/>
        </w:rPr>
        <w:t>” has the meaning set forth in the Collateral and Intercreditor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Creditor Representative</w:t>
      </w:r>
      <w:r>
        <w:rPr>
          <w:rFonts w:ascii="Times New Roman" w:cs="Times New Roman" w:eastAsia="Times New Roman" w:hAnsi="Times New Roman"/>
          <w:sz w:val="20"/>
          <w:szCs w:val="20"/>
          <w:color w:val="auto"/>
        </w:rPr>
        <w:t>” has the meaning set forth in the Collateral and Intercreditor Agreement.</w:t>
      </w:r>
    </w:p>
    <w:p>
      <w:pPr>
        <w:spacing w:after="0" w:line="202" w:lineRule="exact"/>
        <w:rPr>
          <w:sz w:val="20"/>
          <w:szCs w:val="20"/>
          <w:color w:val="auto"/>
        </w:rPr>
      </w:pPr>
    </w:p>
    <w:p>
      <w:pPr>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Rating Agency</w:t>
      </w:r>
      <w:r>
        <w:rPr>
          <w:rFonts w:ascii="Times New Roman" w:cs="Times New Roman" w:eastAsia="Times New Roman" w:hAnsi="Times New Roman"/>
          <w:sz w:val="20"/>
          <w:szCs w:val="20"/>
          <w:color w:val="auto"/>
        </w:rPr>
        <w:t>” means Moody’s, S&amp;P, Fitch or DBRS or such other nationally recognized rating agency as approved by Noteholders that individually or collectively hold at least 25% of the then outstanding principal amount of the Notes.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54" w:name="page55"/>
    <w:bookmarkEnd w:id="54"/>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Subsequent Train Facility</w:t>
      </w:r>
      <w:r>
        <w:rPr>
          <w:rFonts w:ascii="Times New Roman" w:cs="Times New Roman" w:eastAsia="Times New Roman" w:hAnsi="Times New Roman"/>
          <w:sz w:val="20"/>
          <w:szCs w:val="20"/>
          <w:color w:val="auto"/>
        </w:rPr>
        <w:t>” has the meaning assigned to such term in the Definitions Agreement.</w:t>
      </w:r>
    </w:p>
    <w:p>
      <w:pPr>
        <w:spacing w:after="0" w:line="202" w:lineRule="exact"/>
        <w:rPr>
          <w:sz w:val="20"/>
          <w:szCs w:val="20"/>
          <w:color w:val="auto"/>
        </w:rPr>
      </w:pPr>
    </w:p>
    <w:p>
      <w:pPr>
        <w:jc w:val="both"/>
        <w:ind w:left="740" w:hanging="9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Supplemental Indenture</w:t>
      </w:r>
      <w:r>
        <w:rPr>
          <w:rFonts w:ascii="Times New Roman" w:cs="Times New Roman" w:eastAsia="Times New Roman" w:hAnsi="Times New Roman"/>
          <w:sz w:val="20"/>
          <w:szCs w:val="20"/>
          <w:color w:val="auto"/>
        </w:rPr>
        <w:t xml:space="preserve">” means any indenture supplemental to this Indenture governing the terms and conditions of any Additional Notes issued from time to time pursuant to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in each case, to the extent that the Indebtedness evidence by any Additional Notes, and the terms and conditions of any such Indebtedness, Additional Notes and Supplemental Indenture, are permitted by this Indenture, including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Train Facility</w:t>
      </w:r>
      <w:r>
        <w:rPr>
          <w:rFonts w:ascii="Times New Roman" w:cs="Times New Roman" w:eastAsia="Times New Roman" w:hAnsi="Times New Roman"/>
          <w:sz w:val="20"/>
          <w:szCs w:val="20"/>
          <w:color w:val="auto"/>
        </w:rPr>
        <w:t>” has the meaning assigned to such term in the Definitions Agreement.</w:t>
      </w:r>
    </w:p>
    <w:p>
      <w:pPr>
        <w:spacing w:after="0" w:line="216" w:lineRule="exact"/>
        <w:rPr>
          <w:sz w:val="20"/>
          <w:szCs w:val="20"/>
          <w:color w:val="auto"/>
        </w:rPr>
      </w:pPr>
    </w:p>
    <w:p>
      <w:pPr>
        <w:jc w:val="both"/>
        <w:ind w:left="740" w:hanging="9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Treasury Rate</w:t>
      </w:r>
      <w:r>
        <w:rPr>
          <w:rFonts w:ascii="Times New Roman" w:cs="Times New Roman" w:eastAsia="Times New Roman" w:hAnsi="Times New Roman"/>
          <w:sz w:val="20"/>
          <w:szCs w:val="20"/>
          <w:color w:val="auto"/>
        </w:rPr>
        <w:t>” means, with respect to any redemption date, the yield determined by the Company in accordance with the following two paragraphs.</w:t>
      </w:r>
    </w:p>
    <w:p>
      <w:pPr>
        <w:spacing w:after="0" w:line="142" w:lineRule="exact"/>
        <w:rPr>
          <w:sz w:val="20"/>
          <w:szCs w:val="20"/>
          <w:color w:val="auto"/>
        </w:rPr>
      </w:pPr>
    </w:p>
    <w:p>
      <w:pPr>
        <w:jc w:val="both"/>
        <w:ind w:left="740"/>
        <w:spacing w:after="0" w:line="250" w:lineRule="auto"/>
        <w:rPr>
          <w:sz w:val="20"/>
          <w:szCs w:val="20"/>
          <w:color w:val="auto"/>
        </w:rPr>
      </w:pPr>
      <w:r>
        <w:rPr>
          <w:rFonts w:ascii="Times New Roman" w:cs="Times New Roman" w:eastAsia="Times New Roman" w:hAnsi="Times New Roman"/>
          <w:sz w:val="20"/>
          <w:szCs w:val="20"/>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3" w:lineRule="exact"/>
        <w:rPr>
          <w:sz w:val="20"/>
          <w:szCs w:val="20"/>
          <w:color w:val="auto"/>
        </w:rPr>
      </w:pPr>
    </w:p>
    <w:p>
      <w:pPr>
        <w:jc w:val="both"/>
        <w:ind w:left="740"/>
        <w:spacing w:after="0" w:line="250" w:lineRule="auto"/>
        <w:rPr>
          <w:sz w:val="20"/>
          <w:szCs w:val="20"/>
          <w:color w:val="auto"/>
        </w:rPr>
      </w:pPr>
      <w:r>
        <w:rPr>
          <w:rFonts w:ascii="Times New Roman" w:cs="Times New Roman" w:eastAsia="Times New Roman" w:hAnsi="Times New Roman"/>
          <w:sz w:val="20"/>
          <w:szCs w:val="20"/>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55" w:name="page56"/>
    <w:bookmarkEnd w:id="55"/>
    <w:p>
      <w:pPr>
        <w:jc w:val="both"/>
        <w:ind w:left="740"/>
        <w:spacing w:after="0" w:line="258" w:lineRule="auto"/>
        <w:rPr>
          <w:sz w:val="20"/>
          <w:szCs w:val="20"/>
          <w:color w:val="auto"/>
        </w:rPr>
      </w:pPr>
      <w:r>
        <w:rPr>
          <w:rFonts w:ascii="Times New Roman" w:cs="Times New Roman" w:eastAsia="Times New Roman" w:hAnsi="Times New Roman"/>
          <w:sz w:val="20"/>
          <w:szCs w:val="20"/>
          <w:color w:val="auto"/>
        </w:rPr>
        <w:t>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55" w:lineRule="exact"/>
        <w:rPr>
          <w:sz w:val="20"/>
          <w:szCs w:val="20"/>
          <w:color w:val="auto"/>
        </w:rPr>
      </w:pPr>
    </w:p>
    <w:p>
      <w:pPr>
        <w:jc w:val="both"/>
        <w:ind w:left="740" w:right="20" w:hanging="9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means Wilmington Trust, National Association, until a successor replaces it in accordance with the applicable provisions of this Indenture and thereafter means the successor serving hereunder.</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 Person</w:t>
      </w:r>
      <w:r>
        <w:rPr>
          <w:rFonts w:ascii="Times New Roman" w:cs="Times New Roman" w:eastAsia="Times New Roman" w:hAnsi="Times New Roman"/>
          <w:sz w:val="20"/>
          <w:szCs w:val="20"/>
          <w:color w:val="auto"/>
        </w:rPr>
        <w:t>” means a “U.S. person” as defined in Rule 902(k) promulgated under the Securities Act.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Unrestricted Definitive Note</w:t>
      </w:r>
      <w:r>
        <w:rPr>
          <w:rFonts w:ascii="Times New Roman" w:cs="Times New Roman" w:eastAsia="Times New Roman" w:hAnsi="Times New Roman"/>
          <w:sz w:val="19"/>
          <w:szCs w:val="19"/>
          <w:color w:val="auto"/>
        </w:rPr>
        <w:t>” means a Definitive Note that does not bear and is not required to bear the Private Placement Legend.</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Noteholder</w:t>
      </w:r>
      <w:r>
        <w:rPr>
          <w:rFonts w:ascii="Times New Roman" w:cs="Times New Roman" w:eastAsia="Times New Roman" w:hAnsi="Times New Roman"/>
          <w:sz w:val="20"/>
          <w:szCs w:val="20"/>
          <w:color w:val="auto"/>
        </w:rPr>
        <w:t>” means a Noteholder that is a U.S. Person.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means a “United States Person” as defined in Section 7701(a)(30) of the Code.</w:t>
      </w:r>
    </w:p>
    <w:p>
      <w:pPr>
        <w:spacing w:after="0" w:line="202"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USA Patriot Act</w:t>
      </w:r>
      <w:r>
        <w:rPr>
          <w:rFonts w:ascii="Times New Roman" w:cs="Times New Roman" w:eastAsia="Times New Roman" w:hAnsi="Times New Roman"/>
          <w:sz w:val="20"/>
          <w:szCs w:val="20"/>
          <w:color w:val="auto"/>
        </w:rPr>
        <w:t>” means United States Public Law 107-56, Uniting and Strengthening America by Providing Appropriate Tools Required to Intercept and Obstruct Terrorism (USA PATRIOT ACT) of 2001, and the rules and regulations promulgated thereunder from time to time in effect.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Voluntary Equity Contributions</w:t>
      </w:r>
      <w:r>
        <w:rPr>
          <w:rFonts w:ascii="Times New Roman" w:cs="Times New Roman" w:eastAsia="Times New Roman" w:hAnsi="Times New Roman"/>
          <w:sz w:val="20"/>
          <w:szCs w:val="20"/>
          <w:color w:val="auto"/>
        </w:rPr>
        <w:t>” has the meaning assigned to such term in the P1 Equity Contribution Agreement.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Waive</w:t>
      </w:r>
      <w:r>
        <w:rPr>
          <w:rFonts w:ascii="Times New Roman" w:cs="Times New Roman" w:eastAsia="Times New Roman" w:hAnsi="Times New Roman"/>
          <w:sz w:val="20"/>
          <w:szCs w:val="20"/>
          <w:color w:val="auto"/>
        </w:rPr>
        <w:t>” has the meaning set forth in the Collateral and Intercreditor Agreement.</w:t>
      </w:r>
    </w:p>
    <w:p>
      <w:pPr>
        <w:spacing w:after="0" w:line="202"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Interpretation</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In this Indenture, except to the extent specified to the contrary or where context otherwise requires, the provisions of Section 1.2 (</w:t>
      </w:r>
      <w:r>
        <w:rPr>
          <w:rFonts w:ascii="Times New Roman" w:cs="Times New Roman" w:eastAsia="Times New Roman" w:hAnsi="Times New Roman"/>
          <w:sz w:val="20"/>
          <w:szCs w:val="20"/>
          <w:i w:val="1"/>
          <w:iCs w:val="1"/>
          <w:color w:val="auto"/>
        </w:rPr>
        <w:t>Interpretation</w:t>
      </w:r>
      <w:r>
        <w:rPr>
          <w:rFonts w:ascii="Times New Roman" w:cs="Times New Roman" w:eastAsia="Times New Roman" w:hAnsi="Times New Roman"/>
          <w:sz w:val="20"/>
          <w:szCs w:val="20"/>
          <w:color w:val="auto"/>
        </w:rPr>
        <w:t>) of the Common Terms Agreement shall be applied.</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UCC Terms</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used herein that are defined in the UCC shall have the respective meanings given to those terms in the UCC.</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Accounting and Financial Determinations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Except as otherwise expressly provided herein, all terms of an accounting or financial nature shall be construed in accordance with GAAP, as in effect from time to time. If at any time any change in GAAP would affect the computation of any financial ratio or requirement set forth herein, then such ratio or requirement shall be modified in a manner determined as soon as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56" w:name="page57"/>
    <w:bookmarkEnd w:id="56"/>
    <w:p>
      <w:pPr>
        <w:ind w:left="640"/>
        <w:spacing w:after="0" w:line="283" w:lineRule="auto"/>
        <w:rPr>
          <w:sz w:val="20"/>
          <w:szCs w:val="20"/>
          <w:color w:val="auto"/>
        </w:rPr>
      </w:pPr>
      <w:r>
        <w:rPr>
          <w:rFonts w:ascii="Times New Roman" w:cs="Times New Roman" w:eastAsia="Times New Roman" w:hAnsi="Times New Roman"/>
          <w:sz w:val="20"/>
          <w:szCs w:val="20"/>
          <w:color w:val="auto"/>
        </w:rPr>
        <w:t>practicable and in good faith by the Company and set forth in a written notice to the Trustee that preserves the original intent thereof in light of such change in GAAP.</w:t>
      </w:r>
    </w:p>
    <w:p>
      <w:pPr>
        <w:spacing w:after="0" w:line="129"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NOTES</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Form and Dating</w:t>
      </w:r>
    </w:p>
    <w:p>
      <w:pPr>
        <w:spacing w:after="0" w:line="198" w:lineRule="exact"/>
        <w:rPr>
          <w:sz w:val="20"/>
          <w:szCs w:val="20"/>
          <w:color w:val="auto"/>
        </w:rPr>
      </w:pPr>
    </w:p>
    <w:p>
      <w:pPr>
        <w:jc w:val="both"/>
        <w:ind w:left="1280" w:hanging="634"/>
        <w:spacing w:after="0" w:line="260" w:lineRule="auto"/>
        <w:tabs>
          <w:tab w:leader="none" w:pos="12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The terms and provisions contained in the Notes will constitute, and are hereby expressly made, a part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50" w:lineRule="exact"/>
        <w:rPr>
          <w:rFonts w:ascii="Times New Roman" w:cs="Times New Roman" w:eastAsia="Times New Roman" w:hAnsi="Times New Roman"/>
          <w:sz w:val="20"/>
          <w:szCs w:val="20"/>
          <w:color w:val="auto"/>
        </w:rPr>
      </w:pPr>
    </w:p>
    <w:p>
      <w:pPr>
        <w:ind w:left="1280" w:hanging="634"/>
        <w:spacing w:after="0" w:line="287" w:lineRule="auto"/>
        <w:tabs>
          <w:tab w:leader="none" w:pos="127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Additional Notes</w:t>
      </w:r>
      <w:r>
        <w:rPr>
          <w:rFonts w:ascii="Times New Roman" w:cs="Times New Roman" w:eastAsia="Times New Roman" w:hAnsi="Times New Roman"/>
          <w:sz w:val="20"/>
          <w:szCs w:val="20"/>
          <w:color w:val="auto"/>
        </w:rPr>
        <w:t>. Subject to compliance with the provisions of this Indenture, the Company may from time to time after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Issue Date issue Additional Notes as provided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which is incorporated by reference in this </w:t>
      </w:r>
      <w:r>
        <w:rPr>
          <w:rFonts w:ascii="Times New Roman" w:cs="Times New Roman" w:eastAsia="Times New Roman" w:hAnsi="Times New Roman"/>
          <w:sz w:val="20"/>
          <w:szCs w:val="20"/>
          <w:u w:val="single" w:color="auto"/>
          <w:color w:val="auto"/>
        </w:rPr>
        <w:t>Section 2.1(b).</w:t>
      </w:r>
    </w:p>
    <w:p>
      <w:pPr>
        <w:spacing w:after="0" w:line="124" w:lineRule="exact"/>
        <w:rPr>
          <w:rFonts w:ascii="Times New Roman" w:cs="Times New Roman" w:eastAsia="Times New Roman" w:hAnsi="Times New Roman"/>
          <w:sz w:val="20"/>
          <w:szCs w:val="20"/>
          <w:color w:val="auto"/>
        </w:rPr>
      </w:pPr>
    </w:p>
    <w:p>
      <w:pPr>
        <w:jc w:val="both"/>
        <w:ind w:left="1280" w:hanging="634"/>
        <w:spacing w:after="0" w:line="251" w:lineRule="auto"/>
        <w:tabs>
          <w:tab w:leader="none" w:pos="12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 Schedule and Adjustments</w:t>
      </w:r>
      <w:r>
        <w:rPr>
          <w:rFonts w:ascii="Times New Roman" w:cs="Times New Roman" w:eastAsia="Times New Roman" w:hAnsi="Times New Roman"/>
          <w:sz w:val="20"/>
          <w:szCs w:val="20"/>
          <w:color w:val="auto"/>
        </w:rPr>
        <w:t>. The terms and provisions contained in the Payment Schedule will constitute, and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hereby expressly made, a part of this Indenture, and the Company and each Holder of Notes by acceptance thereof, expressly agrees to such terms and provisions and to be bound thereby. The Payment Schedule shall be appropriately adjusted (whereby scheduled payments of principal set out in the Payment Schedule are decreased in the manner set forth in Annex A of this Indenture) in any circumstance (each an “</w:t>
      </w:r>
      <w:r>
        <w:rPr>
          <w:rFonts w:ascii="Times New Roman" w:cs="Times New Roman" w:eastAsia="Times New Roman" w:hAnsi="Times New Roman"/>
          <w:sz w:val="20"/>
          <w:szCs w:val="20"/>
          <w:b w:val="1"/>
          <w:bCs w:val="1"/>
          <w:color w:val="auto"/>
        </w:rPr>
        <w:t>Applicable Prepayment</w:t>
      </w:r>
      <w:r>
        <w:rPr>
          <w:rFonts w:ascii="Times New Roman" w:cs="Times New Roman" w:eastAsia="Times New Roman" w:hAnsi="Times New Roman"/>
          <w:sz w:val="20"/>
          <w:szCs w:val="20"/>
          <w:color w:val="auto"/>
        </w:rPr>
        <w:t xml:space="preserve">”) in which Notes are redeemed, repurchased, repaid (prior to maturity), prepaid or purchased and submitted for cancellation by the Company in accordance with this Indenture, in each case, other than after acceleration (which shall be governed by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of this Indenture). If the Company elects or is required to make an Applicable Prepayment, it must furnish to the Trustee, at least three days (or such shorter period reasonably acceptable to the Trustee) but not more than thirty days before the effective date of the Applicable Prepayment, an Officer’s Certificate setting forth the Payment Schedule adjusted in accordance with the terms of Annex A. For clarity, any adjustments to the Payment Schedule undertaken pursuant to and in accordance with this </w:t>
      </w:r>
      <w:r>
        <w:rPr>
          <w:rFonts w:ascii="Times New Roman" w:cs="Times New Roman" w:eastAsia="Times New Roman" w:hAnsi="Times New Roman"/>
          <w:sz w:val="20"/>
          <w:szCs w:val="20"/>
          <w:u w:val="single" w:color="auto"/>
          <w:color w:val="auto"/>
        </w:rPr>
        <w:t>Section 2.1(c)</w:t>
      </w:r>
      <w:r>
        <w:rPr>
          <w:rFonts w:ascii="Times New Roman" w:cs="Times New Roman" w:eastAsia="Times New Roman" w:hAnsi="Times New Roman"/>
          <w:sz w:val="20"/>
          <w:szCs w:val="20"/>
          <w:color w:val="auto"/>
        </w:rPr>
        <w:t xml:space="preserve"> do not require consent of, or action by, any Holder</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Execution and Authentication</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At least one Authorized Officer must sign the Notes for the Company by manual or electronically imaged signature.</w:t>
      </w:r>
    </w:p>
    <w:p>
      <w:pPr>
        <w:spacing w:after="0" w:line="216" w:lineRule="exact"/>
        <w:rPr>
          <w:sz w:val="20"/>
          <w:szCs w:val="20"/>
          <w:color w:val="auto"/>
        </w:rPr>
      </w:pPr>
    </w:p>
    <w:p>
      <w:pPr>
        <w:jc w:val="both"/>
        <w:ind w:left="640" w:right="20"/>
        <w:spacing w:after="0" w:line="269" w:lineRule="auto"/>
        <w:rPr>
          <w:sz w:val="20"/>
          <w:szCs w:val="20"/>
          <w:color w:val="auto"/>
        </w:rPr>
      </w:pPr>
      <w:r>
        <w:rPr>
          <w:rFonts w:ascii="Times New Roman" w:cs="Times New Roman" w:eastAsia="Times New Roman" w:hAnsi="Times New Roman"/>
          <w:sz w:val="20"/>
          <w:szCs w:val="20"/>
          <w:color w:val="auto"/>
        </w:rPr>
        <w:t>If an Authorized Officer whose signature is on a Note no longer holds that office at the time a Note is authenticated, the Note will nevertheless be valid.</w:t>
      </w:r>
    </w:p>
    <w:p>
      <w:pPr>
        <w:spacing w:after="0" w:line="146"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A Note will not be valid until authenticated by the manual or electronically imaged signature of the Trustee. The signature will be conclusive evidence that the Note has been authenticated under this Indenture.</w:t>
      </w:r>
    </w:p>
    <w:p>
      <w:pPr>
        <w:spacing w:after="0" w:line="129"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The Trustee will, upon receipt of a written order of the Company signed by at least one Authorized Officer (an “</w:t>
      </w:r>
      <w:r>
        <w:rPr>
          <w:rFonts w:ascii="Times New Roman" w:cs="Times New Roman" w:eastAsia="Times New Roman" w:hAnsi="Times New Roman"/>
          <w:sz w:val="20"/>
          <w:szCs w:val="20"/>
          <w:b w:val="1"/>
          <w:bCs w:val="1"/>
          <w:color w:val="auto"/>
        </w:rPr>
        <w:t>Authentication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authenticate Notes for original issue that may be validly issued under this Indenture, including any Additional Notes.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aggregate principal amount of Notes outstanding at any time may not exceed the aggregate principal amount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20"/>
          <w:szCs w:val="20"/>
          <w:color w:val="auto"/>
        </w:rPr>
        <w:t xml:space="preserve">authorized for issuance by the Company pursuant to one or more Authentication Orders, except as provided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Noteholders or an Affiliate of the Company.</w:t>
      </w:r>
    </w:p>
    <w:p>
      <w:pPr>
        <w:spacing w:after="0" w:line="15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The Initial Notes and the Additional Notes shall be treated as a single class for all purposes under this Indenture, and unless the context otherwise requires, all references to the Notes shall include the Initial Notes and any Additional Notes. Nothing in this paragraph shall be deemed to modify, replace or otherwise affect the restrictions on transfer applicable to Restricted Definitive Notes set forth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Registrar and Paying Agent</w:t>
      </w:r>
    </w:p>
    <w:p>
      <w:pPr>
        <w:spacing w:after="0" w:line="21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Trustee is hereby appointed “</w:t>
      </w:r>
      <w:r>
        <w:rPr>
          <w:rFonts w:ascii="Times New Roman" w:cs="Times New Roman" w:eastAsia="Times New Roman" w:hAnsi="Times New Roman"/>
          <w:sz w:val="20"/>
          <w:szCs w:val="20"/>
          <w:b w:val="1"/>
          <w:bCs w:val="1"/>
          <w:color w:val="auto"/>
        </w:rPr>
        <w:t>Registrar</w:t>
      </w:r>
      <w:r>
        <w:rPr>
          <w:rFonts w:ascii="Times New Roman" w:cs="Times New Roman" w:eastAsia="Times New Roman" w:hAnsi="Times New Roman"/>
          <w:sz w:val="20"/>
          <w:szCs w:val="20"/>
          <w:color w:val="auto"/>
        </w:rPr>
        <w:t>” for the purpose of registering Notes and transfers of Notes as herein provided (including any temporary Notes). The Registrar shall keep a register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in which, subject to such reasonable regulations as it may prescribe, the Registrar shall, subject to the provisions hereof, provide for the registration of Notes and transfers of Notes. The Register is intended to cause each Note and other obligation hereunder to be in registered form within the meaning of Section 5f.103-1(c) of the United States Treasury Regulations and Proposed Treasury Regulations Section 1.163-5(b) (or any amended or successor version) and within the meaning of Sections 163(f), 871(h)(2) and 881(c)(2) of the Code and any related United States Treasury Regulations (or any other relevant or successor provisions of the Code or of such United States Treasury Regulations). The entries in the Register shall be conclusive and binding for all purposes, absent manifest error, and the Company, the Trustee, and the Holders shall treat each Person whose name is recorded in the Register pursuant to the terms of this Indenture as a Holder for all purposes of this Indenture. The Register shall be available for inspection by the Company and each Holder (but only as to its own holdings), at any reasonable time and from time to time upon reasonable prior notice.</w:t>
      </w:r>
    </w:p>
    <w:p>
      <w:pPr>
        <w:spacing w:after="0" w:line="16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Subject to the provisions hereof upon surrender for registration of transfer of any Definitive Note of any series to the Trustee, the Company shall execute, and the Trustee shall authenticate and deliver, in the name of the designated transferee or transferees, one or more new Definitive Notes of the same series of any authorized denominations and of a like aggregate principal amount.</w:t>
      </w:r>
    </w:p>
    <w:p>
      <w:pPr>
        <w:spacing w:after="0" w:line="154"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Subject to the provisions hereof, at the option of the Noteholder, Definitive Notes of any series may be exchanged for other Definitive Notes of the same series, of any authorized denominations and of a like aggregate principal amount, upon surrender of the Definitive Notes to be exchanged at such office or agency. Whenever any Definitive Notes are so surrendered for exchange, the Company shall execute, and the Trustee shall authenticate and deliver, the Definitive Notes which the Noteholder making the exchange is entitled to receive.</w:t>
      </w:r>
    </w:p>
    <w:p>
      <w:pPr>
        <w:spacing w:after="0" w:line="15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All Notes issued upon any registration of transfer or exchange of Notes shall be the valid obligations of the Company, evidencing the same debt, and entitled to the same benefits and subject to the same obligations under this Indenture, as the Notes surrendered upon such registration of transfer 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58" w:name="page59"/>
    <w:bookmarkEnd w:id="58"/>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Every Note presented or surrendered for registration of transfer or for exchange shall (if so required by the Company or the Trustee) be duly endorsed, or be accompanied by a written instrument of transfer, in form satisfactory to the Company and the Registrar, duly executed by the Noteholder thereof or its attorney duly authorized in writing.</w:t>
      </w:r>
    </w:p>
    <w:p>
      <w:pPr>
        <w:spacing w:after="0" w:line="154"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All Notes shall be issued in the form of Definitive Notes, which Notes shall be issued to and delivered to each applicable Noteholder or, at the Noteholder’s option, the Custodian.</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Company initially appoints the Trustee to act as paying agent with respect to the Notes (the “</w:t>
      </w: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Paying Agent to Hold Money in Trust</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Company will require each Paying Agent other than the Trustee to agree in writing that the Paying Agent will hold in trust for the benefit of the Noteholders or the Trustee all money held by the Paying Agent for the payment of principal, premium,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will have no further liability for the money. If the Company acts as Paying Agent, it will segregate and hold in a separate trust fund for the benefit of the Noteholders all money held by it as Paying Agent. Upon any bankruptcy or reorganization proceedings relating to the Company, the Trustee will serve as Paying Agent for the Notes.</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Noteholder Lists</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Trustee will preserve in as current a form as is reasonably practicable the most recent list available to it of the names and addresses of all Noteholders.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Noteholders.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Transfer and Exchange</w:t>
      </w:r>
    </w:p>
    <w:p>
      <w:pPr>
        <w:spacing w:after="0" w:line="212" w:lineRule="exact"/>
        <w:rPr>
          <w:sz w:val="20"/>
          <w:szCs w:val="20"/>
          <w:color w:val="auto"/>
        </w:rPr>
      </w:pPr>
    </w:p>
    <w:p>
      <w:pPr>
        <w:jc w:val="both"/>
        <w:ind w:left="1280" w:hanging="634"/>
        <w:spacing w:after="0" w:line="252" w:lineRule="auto"/>
        <w:tabs>
          <w:tab w:leader="none" w:pos="12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and Exchange of Definitive Notes for Definitive Notes</w:t>
      </w:r>
      <w:r>
        <w:rPr>
          <w:rFonts w:ascii="Times New Roman" w:cs="Times New Roman" w:eastAsia="Times New Roman" w:hAnsi="Times New Roman"/>
          <w:sz w:val="20"/>
          <w:szCs w:val="20"/>
          <w:color w:val="auto"/>
        </w:rPr>
        <w:t>. Upon request by a Noteholder of Definitive Notes and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Noteholder’s compliance with the provisions of this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 xml:space="preserve">, the Registrar will register the transfer or exchange of Definitive Notes. Prior to such registration of transfer or exchange, the requesting Noteholder must present or surrender to the Registrar the Definitive Notes duly endorsed or accompanied by a written instruction of transfer in form satisfactory to the Registrar duly executed by such Noteholder or by its attorney, duly authorized in writing. In addition, the requesting Noteholder must provide any additional certifications, documents and information, as applicable, required pursuant to the following provisions of this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1920" w:hanging="636"/>
        <w:spacing w:after="0" w:line="263" w:lineRule="auto"/>
        <w:tabs>
          <w:tab w:leader="none" w:pos="1915"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Restricted Definitive Notes to Restricted Definitive Notes</w:t>
      </w:r>
      <w:r>
        <w:rPr>
          <w:rFonts w:ascii="Times New Roman" w:cs="Times New Roman" w:eastAsia="Times New Roman" w:hAnsi="Times New Roman"/>
          <w:sz w:val="20"/>
          <w:szCs w:val="20"/>
          <w:color w:val="auto"/>
        </w:rPr>
        <w:t>. Any Restricted Definitive Note may be transferred to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registered in the name of Persons who take delivery thereof in the form of a Restricted Definitive Note if the Registrar receives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59" w:name="page60"/>
    <w:bookmarkEnd w:id="59"/>
    <w:p>
      <w:pPr>
        <w:ind w:left="2560" w:hanging="639"/>
        <w:spacing w:after="0" w:line="283" w:lineRule="auto"/>
        <w:tabs>
          <w:tab w:leader="none" w:pos="254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144A,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(1) thereof;</w:t>
      </w:r>
    </w:p>
    <w:p>
      <w:pPr>
        <w:spacing w:after="0" w:line="132" w:lineRule="exact"/>
        <w:rPr>
          <w:rFonts w:ascii="Times New Roman" w:cs="Times New Roman" w:eastAsia="Times New Roman" w:hAnsi="Times New Roman"/>
          <w:sz w:val="20"/>
          <w:szCs w:val="20"/>
          <w:color w:val="auto"/>
        </w:rPr>
      </w:pPr>
    </w:p>
    <w:p>
      <w:pPr>
        <w:ind w:left="2560" w:hanging="639"/>
        <w:spacing w:after="0" w:line="269" w:lineRule="auto"/>
        <w:tabs>
          <w:tab w:leader="none" w:pos="255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(2) thereof; and</w:t>
      </w:r>
    </w:p>
    <w:p>
      <w:pPr>
        <w:spacing w:after="0" w:line="159" w:lineRule="exact"/>
        <w:rPr>
          <w:rFonts w:ascii="Times New Roman" w:cs="Times New Roman" w:eastAsia="Times New Roman" w:hAnsi="Times New Roman"/>
          <w:sz w:val="20"/>
          <w:szCs w:val="20"/>
          <w:color w:val="auto"/>
        </w:rPr>
      </w:pPr>
    </w:p>
    <w:p>
      <w:pPr>
        <w:jc w:val="both"/>
        <w:ind w:left="2560" w:hanging="639"/>
        <w:spacing w:after="0" w:line="261" w:lineRule="auto"/>
        <w:tabs>
          <w:tab w:leader="none" w:pos="255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certificates and Opinion of Counsel required by item (3) thereof, if applicable.</w:t>
      </w:r>
    </w:p>
    <w:p>
      <w:pPr>
        <w:spacing w:after="0" w:line="150" w:lineRule="exact"/>
        <w:rPr>
          <w:rFonts w:ascii="Times New Roman" w:cs="Times New Roman" w:eastAsia="Times New Roman" w:hAnsi="Times New Roman"/>
          <w:sz w:val="20"/>
          <w:szCs w:val="20"/>
          <w:color w:val="auto"/>
        </w:rPr>
      </w:pPr>
    </w:p>
    <w:p>
      <w:pPr>
        <w:jc w:val="both"/>
        <w:ind w:left="1920" w:hanging="636"/>
        <w:spacing w:after="0" w:line="263" w:lineRule="auto"/>
        <w:tabs>
          <w:tab w:leader="none" w:pos="191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Restricted Definitive Notes to Unrestricted Definitive Notes</w:t>
      </w:r>
      <w:r>
        <w:rPr>
          <w:rFonts w:ascii="Times New Roman" w:cs="Times New Roman" w:eastAsia="Times New Roman" w:hAnsi="Times New Roman"/>
          <w:sz w:val="20"/>
          <w:szCs w:val="20"/>
          <w:color w:val="auto"/>
        </w:rPr>
        <w:t>. Any Restricted Definitive Note may be exchanged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Noteholder thereof for an Unrestricted Definitive Note or transferred to a Person or Persons who take delivery thereof in the form of an Unrestricted Definitive Note if the Registrar receives the following:</w:t>
      </w:r>
    </w:p>
    <w:p>
      <w:pPr>
        <w:spacing w:after="0" w:line="165" w:lineRule="exact"/>
        <w:rPr>
          <w:rFonts w:ascii="Times New Roman" w:cs="Times New Roman" w:eastAsia="Times New Roman" w:hAnsi="Times New Roman"/>
          <w:sz w:val="20"/>
          <w:szCs w:val="20"/>
          <w:color w:val="auto"/>
        </w:rPr>
      </w:pPr>
    </w:p>
    <w:p>
      <w:pPr>
        <w:jc w:val="both"/>
        <w:ind w:left="2560" w:hanging="639"/>
        <w:spacing w:after="0" w:line="261" w:lineRule="auto"/>
        <w:tabs>
          <w:tab w:leader="none" w:pos="254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of such Restricted Definitive Notes proposes to exchange such Notes for an Unrestricted Definitive Note, a certificate from such Noteholder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including the certifications in item (1)(a) thereof; or</w:t>
      </w:r>
    </w:p>
    <w:p>
      <w:pPr>
        <w:spacing w:after="0" w:line="154" w:lineRule="exact"/>
        <w:rPr>
          <w:rFonts w:ascii="Times New Roman" w:cs="Times New Roman" w:eastAsia="Times New Roman" w:hAnsi="Times New Roman"/>
          <w:sz w:val="20"/>
          <w:szCs w:val="20"/>
          <w:color w:val="auto"/>
        </w:rPr>
      </w:pPr>
    </w:p>
    <w:p>
      <w:pPr>
        <w:jc w:val="both"/>
        <w:ind w:left="2560" w:hanging="639"/>
        <w:spacing w:after="0" w:line="261" w:lineRule="auto"/>
        <w:tabs>
          <w:tab w:leader="none" w:pos="255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of such Restricted Definitive Notes proposes to transfer such Notes to a Person who shall take delivery thereof in the form of an Unrestricted Definitive Note, a certificate from such Noteholder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(4) thereof;</w:t>
      </w:r>
    </w:p>
    <w:p>
      <w:pPr>
        <w:spacing w:after="0" w:line="154" w:lineRule="exact"/>
        <w:rPr>
          <w:sz w:val="20"/>
          <w:szCs w:val="20"/>
          <w:color w:val="auto"/>
        </w:rPr>
      </w:pPr>
    </w:p>
    <w:p>
      <w:pPr>
        <w:jc w:val="both"/>
        <w:ind w:left="1920"/>
        <w:spacing w:after="0" w:line="258" w:lineRule="auto"/>
        <w:rPr>
          <w:sz w:val="20"/>
          <w:szCs w:val="20"/>
          <w:color w:val="auto"/>
        </w:rPr>
      </w:pPr>
      <w:r>
        <w:rPr>
          <w:rFonts w:ascii="Times New Roman" w:cs="Times New Roman" w:eastAsia="Times New Roman" w:hAnsi="Times New Roman"/>
          <w:sz w:val="20"/>
          <w:szCs w:val="20"/>
          <w:color w:val="auto"/>
        </w:rPr>
        <w:t>and, in each such case,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5" w:lineRule="exact"/>
        <w:rPr>
          <w:sz w:val="20"/>
          <w:szCs w:val="20"/>
          <w:color w:val="auto"/>
        </w:rPr>
      </w:pPr>
    </w:p>
    <w:p>
      <w:pPr>
        <w:jc w:val="both"/>
        <w:ind w:left="1920" w:hanging="636"/>
        <w:spacing w:after="0" w:line="260" w:lineRule="auto"/>
        <w:tabs>
          <w:tab w:leader="none" w:pos="1917"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Unrestricted Definitive Notes to Unrestricted Definitive Notes</w:t>
      </w:r>
      <w:r>
        <w:rPr>
          <w:rFonts w:ascii="Times New Roman" w:cs="Times New Roman" w:eastAsia="Times New Roman" w:hAnsi="Times New Roman"/>
          <w:sz w:val="20"/>
          <w:szCs w:val="20"/>
          <w:color w:val="auto"/>
        </w:rPr>
        <w:t>. A Noteholder of Unrestricted Definitive Notes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Noteholder thereof.</w:t>
      </w:r>
    </w:p>
    <w:p>
      <w:pPr>
        <w:spacing w:after="0" w:line="164" w:lineRule="exact"/>
        <w:rPr>
          <w:rFonts w:ascii="Times New Roman" w:cs="Times New Roman" w:eastAsia="Times New Roman" w:hAnsi="Times New Roman"/>
          <w:sz w:val="20"/>
          <w:szCs w:val="20"/>
          <w:color w:val="auto"/>
        </w:rPr>
      </w:pPr>
    </w:p>
    <w:p>
      <w:pPr>
        <w:ind w:left="1280" w:right="20" w:hanging="634"/>
        <w:spacing w:after="0" w:line="300" w:lineRule="auto"/>
        <w:tabs>
          <w:tab w:leader="none" w:pos="1277"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Legends</w:t>
      </w:r>
      <w:r>
        <w:rPr>
          <w:rFonts w:ascii="Times New Roman" w:cs="Times New Roman" w:eastAsia="Times New Roman" w:hAnsi="Times New Roman"/>
          <w:sz w:val="19"/>
          <w:szCs w:val="19"/>
          <w:color w:val="auto"/>
        </w:rPr>
        <w:t>. The following legends will appear on the face of all Definitive Notes issued under this Indenture unless specifically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stated otherwise in the applicable provisions of this Indenture or any Supplemental Indenture governing Additional Notes.</w:t>
      </w:r>
    </w:p>
    <w:p>
      <w:pPr>
        <w:spacing w:after="0" w:line="115" w:lineRule="exact"/>
        <w:rPr>
          <w:rFonts w:ascii="Times New Roman" w:cs="Times New Roman" w:eastAsia="Times New Roman" w:hAnsi="Times New Roman"/>
          <w:sz w:val="19"/>
          <w:szCs w:val="19"/>
          <w:color w:val="auto"/>
        </w:rPr>
      </w:pPr>
    </w:p>
    <w:p>
      <w:pPr>
        <w:ind w:left="1920" w:hanging="636"/>
        <w:spacing w:after="0"/>
        <w:tabs>
          <w:tab w:leader="none" w:pos="192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Private Placement Legend</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2560" w:hanging="639"/>
        <w:spacing w:after="0" w:line="269" w:lineRule="auto"/>
        <w:tabs>
          <w:tab w:leader="none" w:pos="2548"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permitted by </w:t>
      </w:r>
      <w:r>
        <w:rPr>
          <w:rFonts w:ascii="Times New Roman" w:cs="Times New Roman" w:eastAsia="Times New Roman" w:hAnsi="Times New Roman"/>
          <w:sz w:val="20"/>
          <w:szCs w:val="20"/>
          <w:u w:val="single" w:color="auto"/>
          <w:color w:val="auto"/>
        </w:rPr>
        <w:t>subparagraph (B)</w:t>
      </w:r>
      <w:r>
        <w:rPr>
          <w:rFonts w:ascii="Times New Roman" w:cs="Times New Roman" w:eastAsia="Times New Roman" w:hAnsi="Times New Roman"/>
          <w:sz w:val="20"/>
          <w:szCs w:val="20"/>
          <w:color w:val="auto"/>
        </w:rPr>
        <w:t xml:space="preserve"> below, each Definitive Note (and all Notes issued in exchange therefor or substitution thereof) shall bear the legend in substantially the following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60" w:name="page61"/>
    <w:bookmarkEnd w:id="60"/>
    <w:p>
      <w:pPr>
        <w:jc w:val="both"/>
        <w:ind w:left="2600"/>
        <w:spacing w:after="0" w:line="250" w:lineRule="auto"/>
        <w:rPr>
          <w:sz w:val="20"/>
          <w:szCs w:val="20"/>
          <w:color w:val="auto"/>
        </w:rPr>
      </w:pPr>
      <w:r>
        <w:rPr>
          <w:rFonts w:ascii="Times New Roman" w:cs="Times New Roman" w:eastAsia="Times New Roman" w:hAnsi="Times New Roman"/>
          <w:sz w:val="20"/>
          <w:szCs w:val="20"/>
          <w:color w:val="auto"/>
        </w:rPr>
        <w:t>THE NOTES EVIDENCED BY THIS CERTIFICATE HAVE NOT BEEN REGISTERED UNDER THE UNITED STATES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xml:space="preserve">”), AND MAY NOT BE SOLD OR OTHERWISE TRANSFERRED IN THE ABSENCE OF SUCH REGISTRATION OR AN APPLICABLE EXEMPTION THEREFROM. SUCH NOTES MAY NOT BE REOFFERED, SOLD, PLEDGED, OR OTHERWISE TRANSFERRED EXCEPT (A) TO THE COMPANY (UPON REDEMPTION OR OTHERWISE), (B) PURSUANT TO RULE 144 UNDER THE SECURITIES ACT (IF AVAILABLE) OR PURSUANT TO ANOTHER APPLICABLE EXEMPTION FROM REGISTRATION UNDER THE SECURITIES ACT, OR (C) PURSUANT TO AN EFFECTIVE REGISTRATION STATEMENT UNDER THE SECURITIES ACT, AND, IN EACH CASE, IN ACCORDANCE WITH ALL APPLICABLE SECURITIES LAWS OF THE STATES OF THE UNITED STATES AND OTHER JURISDICTIONS;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SALE OR TRANSFER SHALL BE SUBJECT TO THE CONSENT OF THE COMPANY (TO THE EXTENT SET FORTH IN THE INDENTURE) AND THE RESTRICTIONS CONTAINED IN SECTIONS 2.3 AND 2.6 OF THE INDENTURE AMONG THE PARTIES THERETO.</w:t>
      </w:r>
    </w:p>
    <w:p>
      <w:pPr>
        <w:spacing w:after="0" w:line="170" w:lineRule="exact"/>
        <w:rPr>
          <w:sz w:val="20"/>
          <w:szCs w:val="20"/>
          <w:color w:val="auto"/>
        </w:rPr>
      </w:pPr>
    </w:p>
    <w:p>
      <w:pPr>
        <w:jc w:val="both"/>
        <w:ind w:left="2560" w:hanging="639"/>
        <w:spacing w:after="0" w:line="261" w:lineRule="auto"/>
        <w:tabs>
          <w:tab w:leader="none" w:pos="2550"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any Definitive Note issued pursuant to </w:t>
      </w:r>
      <w:r>
        <w:rPr>
          <w:rFonts w:ascii="Times New Roman" w:cs="Times New Roman" w:eastAsia="Times New Roman" w:hAnsi="Times New Roman"/>
          <w:sz w:val="20"/>
          <w:szCs w:val="20"/>
          <w:u w:val="single" w:color="auto"/>
          <w:color w:val="auto"/>
        </w:rPr>
        <w:t>subparagraphs</w:t>
      </w:r>
      <w:r>
        <w:rPr>
          <w:rFonts w:ascii="Times New Roman" w:cs="Times New Roman" w:eastAsia="Times New Roman" w:hAnsi="Times New Roman"/>
          <w:sz w:val="20"/>
          <w:szCs w:val="20"/>
          <w:color w:val="auto"/>
        </w:rPr>
        <w:t xml:space="preserve"> (a)(ii) or (a)(iii) of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(and all Notes issued in exchange therefor or substitution thereof) will not bear the Private Placement Legend.</w:t>
      </w:r>
    </w:p>
    <w:p>
      <w:pPr>
        <w:spacing w:after="0" w:line="150"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 Provisions Relating to Transfers and Exchanges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920" w:hanging="636"/>
        <w:spacing w:after="0" w:line="254" w:lineRule="auto"/>
        <w:tabs>
          <w:tab w:leader="none" w:pos="1915"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service charge will be made to a Noteholder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ind w:left="1920" w:hanging="636"/>
        <w:spacing w:after="0" w:line="269" w:lineRule="auto"/>
        <w:tabs>
          <w:tab w:leader="none" w:pos="1916"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Registrar will not be required to register the transfer of or exchange of any Note selected for redemption in whole or in part, except the unredeemed portion of any Note being redeemed in part.</w:t>
      </w:r>
    </w:p>
    <w:p>
      <w:pPr>
        <w:spacing w:after="0" w:line="159" w:lineRule="exact"/>
        <w:rPr>
          <w:rFonts w:ascii="Times New Roman" w:cs="Times New Roman" w:eastAsia="Times New Roman" w:hAnsi="Times New Roman"/>
          <w:sz w:val="20"/>
          <w:szCs w:val="20"/>
          <w:color w:val="auto"/>
        </w:rPr>
      </w:pPr>
    </w:p>
    <w:p>
      <w:pPr>
        <w:jc w:val="both"/>
        <w:ind w:left="1920" w:hanging="636"/>
        <w:spacing w:after="0" w:line="261" w:lineRule="auto"/>
        <w:tabs>
          <w:tab w:leader="none" w:pos="1917"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Definitive Notes issued upon any registration of transfer or exchange of Definitive Notes will be the valid obligations of the Company, evidencing the same debt, and entitled to the same benefits under this Indenture, as the Definitive Notes surrendered upon such registration of transfer or exchange.</w:t>
      </w:r>
    </w:p>
    <w:p>
      <w:pPr>
        <w:spacing w:after="0" w:line="154"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Registrar nor the Company will be required:</w:t>
      </w:r>
    </w:p>
    <w:p>
      <w:pPr>
        <w:spacing w:after="0" w:line="202" w:lineRule="exact"/>
        <w:rPr>
          <w:rFonts w:ascii="Times New Roman" w:cs="Times New Roman" w:eastAsia="Times New Roman" w:hAnsi="Times New Roman"/>
          <w:sz w:val="20"/>
          <w:szCs w:val="20"/>
          <w:color w:val="auto"/>
        </w:rPr>
      </w:pPr>
    </w:p>
    <w:p>
      <w:pPr>
        <w:ind w:left="2560" w:hanging="639"/>
        <w:spacing w:after="0" w:line="283" w:lineRule="auto"/>
        <w:tabs>
          <w:tab w:leader="none" w:pos="2548" w:val="left"/>
        </w:tabs>
        <w:numPr>
          <w:ilvl w:val="2"/>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issue, to register the transfer of or to exchange any Notes during a period beginning at the opening of business fifteen days before the day of</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61" w:name="page62"/>
    <w:bookmarkEnd w:id="61"/>
    <w:p>
      <w:pPr>
        <w:ind w:left="2560" w:right="20"/>
        <w:spacing w:after="0" w:line="283" w:lineRule="auto"/>
        <w:rPr>
          <w:sz w:val="20"/>
          <w:szCs w:val="20"/>
          <w:color w:val="auto"/>
        </w:rPr>
      </w:pPr>
      <w:r>
        <w:rPr>
          <w:rFonts w:ascii="Times New Roman" w:cs="Times New Roman" w:eastAsia="Times New Roman" w:hAnsi="Times New Roman"/>
          <w:sz w:val="20"/>
          <w:szCs w:val="20"/>
          <w:color w:val="auto"/>
        </w:rPr>
        <w:t xml:space="preserve">any selection of Notes for redemption under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and ending at the close of business on the day of selection;</w:t>
      </w:r>
    </w:p>
    <w:p>
      <w:pPr>
        <w:spacing w:after="0" w:line="133" w:lineRule="exact"/>
        <w:rPr>
          <w:sz w:val="20"/>
          <w:szCs w:val="20"/>
          <w:color w:val="auto"/>
        </w:rPr>
      </w:pPr>
    </w:p>
    <w:p>
      <w:pPr>
        <w:ind w:left="2560" w:right="20" w:hanging="639"/>
        <w:spacing w:after="0" w:line="269" w:lineRule="auto"/>
        <w:tabs>
          <w:tab w:leader="none" w:pos="255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register the transfer of or to exchange any Note selected for redemption in whole or in part, except the unredeemed portion of any Note being redeemed in part; or</w:t>
      </w:r>
    </w:p>
    <w:p>
      <w:pPr>
        <w:spacing w:after="0" w:line="159" w:lineRule="exact"/>
        <w:rPr>
          <w:rFonts w:ascii="Times New Roman" w:cs="Times New Roman" w:eastAsia="Times New Roman" w:hAnsi="Times New Roman"/>
          <w:sz w:val="20"/>
          <w:szCs w:val="20"/>
          <w:color w:val="auto"/>
        </w:rPr>
      </w:pPr>
    </w:p>
    <w:p>
      <w:pPr>
        <w:ind w:left="2560" w:hanging="639"/>
        <w:spacing w:after="0" w:line="269" w:lineRule="auto"/>
        <w:tabs>
          <w:tab w:leader="none" w:pos="255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register the transfer of or to exchange a Note between a record date and the next succeeding Interest Payment Date.</w:t>
      </w:r>
    </w:p>
    <w:p>
      <w:pPr>
        <w:spacing w:after="0" w:line="159" w:lineRule="exact"/>
        <w:rPr>
          <w:rFonts w:ascii="Times New Roman" w:cs="Times New Roman" w:eastAsia="Times New Roman" w:hAnsi="Times New Roman"/>
          <w:sz w:val="20"/>
          <w:szCs w:val="20"/>
          <w:color w:val="auto"/>
        </w:rPr>
      </w:pPr>
    </w:p>
    <w:p>
      <w:pPr>
        <w:jc w:val="both"/>
        <w:ind w:left="1920" w:hanging="636"/>
        <w:spacing w:after="0" w:line="254" w:lineRule="auto"/>
        <w:tabs>
          <w:tab w:leader="none" w:pos="191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173" w:lineRule="exact"/>
        <w:rPr>
          <w:rFonts w:ascii="Times New Roman" w:cs="Times New Roman" w:eastAsia="Times New Roman" w:hAnsi="Times New Roman"/>
          <w:sz w:val="20"/>
          <w:szCs w:val="20"/>
          <w:color w:val="auto"/>
        </w:rPr>
      </w:pPr>
    </w:p>
    <w:p>
      <w:pPr>
        <w:jc w:val="both"/>
        <w:ind w:left="1920" w:hanging="636"/>
        <w:spacing w:after="0" w:line="253" w:lineRule="auto"/>
        <w:tabs>
          <w:tab w:leader="none" w:pos="19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no Notes (and no portions of any Notes) may be exchanged with, transferred, syndicated, assigned, sold, participated, or any interest therein otherwise conveyed to, in any case (a) without the consent of the Company (not to be unreasonably withheld, conditioned or delayed) unless an Event of Default shall have occurred and be continuing or (b) to any Disqualified Institutions (whether or not any Event of Default shall have occurred and be continuing), and any such transaction in violation of this clause (vi) shall be null and void, ab initio.</w:t>
      </w:r>
    </w:p>
    <w:p>
      <w:pPr>
        <w:spacing w:after="0" w:line="165" w:lineRule="exact"/>
        <w:rPr>
          <w:rFonts w:ascii="Times New Roman" w:cs="Times New Roman" w:eastAsia="Times New Roman" w:hAnsi="Times New Roman"/>
          <w:sz w:val="20"/>
          <w:szCs w:val="20"/>
          <w:color w:val="auto"/>
        </w:rPr>
      </w:pPr>
    </w:p>
    <w:p>
      <w:pPr>
        <w:ind w:left="1900" w:hanging="616"/>
        <w:spacing w:after="0"/>
        <w:tabs>
          <w:tab w:leader="none" w:pos="1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will authenticate Definitive Notes in accordance with the provisions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1920" w:hanging="636"/>
        <w:spacing w:after="0" w:line="253" w:lineRule="auto"/>
        <w:tabs>
          <w:tab w:leader="none" w:pos="19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certifications, certificates and Opinions of Counsel required to be submitted to the Registrar pursuant to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to effect a registration of transfer or exchange may be submitted electronically. None of the Trustee, the Paying Agent or the Registrar shall have any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5" w:lineRule="exact"/>
        <w:rPr>
          <w:rFonts w:ascii="Times New Roman" w:cs="Times New Roman" w:eastAsia="Times New Roman" w:hAnsi="Times New Roman"/>
          <w:sz w:val="20"/>
          <w:szCs w:val="20"/>
          <w:color w:val="auto"/>
        </w:rPr>
      </w:pPr>
    </w:p>
    <w:p>
      <w:pPr>
        <w:jc w:val="both"/>
        <w:ind w:left="1920" w:hanging="636"/>
        <w:spacing w:after="0" w:line="261" w:lineRule="auto"/>
        <w:tabs>
          <w:tab w:leader="none" w:pos="19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Noteholder agrees to indemnify the Company and the Trustee against any liability that may result from the transfer, exchange or assignment of such Noteholder’s Note in violation of any provision of this Indenture and/or applicable United States Federal or state securities law.</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Replacement Notes</w:t>
      </w:r>
    </w:p>
    <w:p>
      <w:pPr>
        <w:spacing w:after="0" w:line="21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62" w:name="page63"/>
    <w:bookmarkEnd w:id="62"/>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Trustee’s requirements are met. If required by the Trustee or the Company, an indemnity bond must be supplied by the Noteholder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spacing w:after="0" w:line="159"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Every replacement Note is an additional obligation of the Company and will be entitled to all of the benefits of this Indenture equally and proportionately with all other Notes duly issued hereunder.</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Outstanding Notes</w:t>
      </w:r>
    </w:p>
    <w:p>
      <w:pPr>
        <w:spacing w:after="0" w:line="202"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9"/>
          <w:szCs w:val="19"/>
          <w:color w:val="auto"/>
        </w:rPr>
        <w:t xml:space="preserve">The Notes outstanding at any time are all the Notes authenticated by the Trustee except for those canceled by it, those delivered to it for cancellation, and those described in this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xml:space="preserve"> as not outstanding. Except as set forth in </w:t>
      </w:r>
      <w:r>
        <w:rPr>
          <w:rFonts w:ascii="Times New Roman" w:cs="Times New Roman" w:eastAsia="Times New Roman" w:hAnsi="Times New Roman"/>
          <w:sz w:val="19"/>
          <w:szCs w:val="19"/>
          <w:u w:val="single" w:color="auto"/>
          <w:color w:val="auto"/>
        </w:rPr>
        <w:t>Section 2.9</w:t>
      </w:r>
      <w:r>
        <w:rPr>
          <w:rFonts w:ascii="Times New Roman" w:cs="Times New Roman" w:eastAsia="Times New Roman" w:hAnsi="Times New Roman"/>
          <w:sz w:val="19"/>
          <w:szCs w:val="19"/>
          <w:color w:val="auto"/>
        </w:rPr>
        <w:t xml:space="preserve">, a Note does not cease to be outstanding because the Company or an Affiliate of the Company holds the Note;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Notes held by the Company or an Affiliate of the Company (other than any Debt Fund Affiliate) shall not be deemed to be outstanding for purposes of </w:t>
      </w:r>
      <w:r>
        <w:rPr>
          <w:rFonts w:ascii="Times New Roman" w:cs="Times New Roman" w:eastAsia="Times New Roman" w:hAnsi="Times New Roman"/>
          <w:sz w:val="19"/>
          <w:szCs w:val="19"/>
          <w:u w:val="single" w:color="auto"/>
          <w:color w:val="auto"/>
        </w:rPr>
        <w:t>Section 3.7</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If a Note is replaced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it ceases to be outstanding unless the Trustee receives proof satisfactory to it that the replacement Note is held by a “protected purchaser” under the UCC.</w:t>
      </w:r>
    </w:p>
    <w:p>
      <w:pPr>
        <w:spacing w:after="0" w:line="133"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If the principal amount of any Note is considered paid under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it ceases to be outstanding and interest on it ceases to accrue.</w:t>
      </w:r>
    </w:p>
    <w:p>
      <w:pPr>
        <w:spacing w:after="0" w:line="13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the Paying Agent (other than the Company or an Affiliate thereof) holds, on a redemption date or the Maturity Date, money sufficient to pay Notes payable on that date, then on and after that date such Notes will be deemed to be no longer outstanding and will cease to accrue interest.</w:t>
      </w:r>
    </w:p>
    <w:p>
      <w:pPr>
        <w:spacing w:after="0" w:line="154"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Any Note that has been fully purchased and paid for (by the Company or the Paying Agent) in accordance with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will be deemed to be no longer outstanding and will cease to accrue interest from and after the applicable Purchase Date.</w:t>
      </w:r>
    </w:p>
    <w:p>
      <w:pPr>
        <w:spacing w:after="0" w:line="13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Any Note that has been fully purchased and paid for by the Paying Agent on any Change of Control Payment Date in accordance with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will be deemed to be no longer outstanding and will cease to accrue interest from and after the Change of Control Payment Date.</w:t>
      </w:r>
    </w:p>
    <w:p>
      <w:pPr>
        <w:spacing w:after="0" w:line="16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Any Note that has been purchased by the Company in accordance with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and delivered to the Trustee for cancelation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will be deemed to be no longer outstanding and will cease to accrue interest from and after the date on which such Note is delivered to the Trustee for cancellation.</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Treasury Notes</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In determining whether the Noteholders of the required principal amount of Notes have concurred in any direction, waiver or consent, Notes owned by the Company or by any Person directly or indirectly controlling or controlled by or under direct or indirect common control with the Company (other than any Debt Fund Affiliate) will be considered as though not outstanding, except that for the purposes of determining whether the Trustee will be protected in relying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63" w:name="page64"/>
    <w:bookmarkEnd w:id="63"/>
    <w:p>
      <w:pPr>
        <w:ind w:left="640"/>
        <w:spacing w:after="0"/>
        <w:rPr>
          <w:sz w:val="20"/>
          <w:szCs w:val="20"/>
          <w:color w:val="auto"/>
        </w:rPr>
      </w:pPr>
      <w:r>
        <w:rPr>
          <w:rFonts w:ascii="Times New Roman" w:cs="Times New Roman" w:eastAsia="Times New Roman" w:hAnsi="Times New Roman"/>
          <w:sz w:val="20"/>
          <w:szCs w:val="20"/>
          <w:color w:val="auto"/>
        </w:rPr>
        <w:t>any such direction, waiver or consent, only Notes that the Trustee knows are so owned will be so disregarded.</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Temporary Notes</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Noteholders of temporary Notes will be entitled to all of the benefits of this Indenture.</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Cancellation</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(subject to the record retention requirement of the Exchange Act). Certification of the cancellation of Notes will be delivered to the Company upon the Company’s written request. The Company may not issue new Notes to replace Notes that it has paid or that have been delivered to the Trustee for cancellation.</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Defaulted Interest</w:t>
      </w:r>
    </w:p>
    <w:p>
      <w:pPr>
        <w:spacing w:after="0" w:line="198"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0"/>
          <w:szCs w:val="20"/>
          <w:color w:val="auto"/>
        </w:rPr>
        <w:t xml:space="preserve">If the Company defaults in a payment of interest on the Notes, it will pay the defaulted interest in any lawful manner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to the extent lawful, interest payable on the defaulted interest, to the Persons who are Noteholders on a subsequent special record date, in each case at the rate provided in the Notes and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The Company will notify the Trustee in writing of the amount of defaulted interest proposed to be paid on each Note and the date of the proposed payment. The Company will fix or cause to be fixed each such special record date and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special record date may be less than ten days prior to the related payment date for such defaulted interest. At least fifteen days before the special record date, the Company (or, upon the written request of the Company and provision of such notice information, the Trustee in the name and at the expense of the Company) will mail or cause to be mailed or deliver electronically to Noteholders a notice that states the special record date, the related payment date and the amount of such interest to be paid.</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CUSIP Numbers / PPN</w:t>
      </w:r>
    </w:p>
    <w:p>
      <w:pPr>
        <w:spacing w:after="0" w:line="198"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The Company in issuing the Notes may use “CUSIP” numbers or private placement numbers (“</w:t>
      </w:r>
      <w:r>
        <w:rPr>
          <w:rFonts w:ascii="Times New Roman" w:cs="Times New Roman" w:eastAsia="Times New Roman" w:hAnsi="Times New Roman"/>
          <w:sz w:val="20"/>
          <w:szCs w:val="20"/>
          <w:b w:val="1"/>
          <w:bCs w:val="1"/>
          <w:color w:val="auto"/>
        </w:rPr>
        <w:t>PPNs</w:t>
      </w:r>
      <w:r>
        <w:rPr>
          <w:rFonts w:ascii="Times New Roman" w:cs="Times New Roman" w:eastAsia="Times New Roman" w:hAnsi="Times New Roman"/>
          <w:sz w:val="20"/>
          <w:szCs w:val="20"/>
          <w:color w:val="auto"/>
        </w:rPr>
        <w:t>”) (if then generally in use), and, if so, the Trustee shall use “CUSIP” numbers or PPNs in notices of redemption as a convenience to Holders; provided that the Trustee shall have no liability for any defect in the “CUSIP” numbers or PPNs as they appear on the any Note, notice or elsewhere, and, provided further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64" w:name="page65"/>
    <w:bookmarkEnd w:id="64"/>
    <w:p>
      <w:pPr>
        <w:ind w:left="640"/>
        <w:spacing w:after="0"/>
        <w:rPr>
          <w:sz w:val="20"/>
          <w:szCs w:val="20"/>
          <w:color w:val="auto"/>
        </w:rPr>
      </w:pPr>
      <w:r>
        <w:rPr>
          <w:rFonts w:ascii="Times New Roman" w:cs="Times New Roman" w:eastAsia="Times New Roman" w:hAnsi="Times New Roman"/>
          <w:sz w:val="20"/>
          <w:szCs w:val="20"/>
          <w:color w:val="auto"/>
        </w:rPr>
        <w:t>numbers. The Company will promptly notify the Trustee in writing of any change in the “CUSIP” numbers or PPNs, as applicable.</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Tax Withholding</w:t>
      </w:r>
    </w:p>
    <w:p>
      <w:pPr>
        <w:spacing w:after="0" w:line="216"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Notwithstanding any other provision to the contrary, the Company shall be entitled to deduct and withhold from any amounts payable or otherwise deliverable with respect to a Note such amounts as may be required to be deducted or withheld therefrom under any provision of applicable law, and to be provided any necessary tax forms and information, including Internal Revenue Service Form W-9 or appropriate version of Internal Revenue Service Form W-8, as applicable, from each beneficial owner of the Note. The Company shall, at least five business days prior to the date the applicable payment is scheduled to be made, provide the Noteholder with (i) written notice of the intent to deduct and withhold, which notice shall include the basis for the withholding and an estimate of the amount proposed to be deducted and withheld, and (ii) a reasonable opportunity to provide forms or other evidence that would exempt such amounts from withholding. To the extent such amounts are so deducted or withheld and paid over to the appropriate taxing authority, such amounts shall be treated for all purposes as having been paid to the person to whom such amounts otherwise would have been paid.</w:t>
      </w:r>
    </w:p>
    <w:p>
      <w:pPr>
        <w:spacing w:after="0" w:line="1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Net of Taxes</w:t>
      </w:r>
    </w:p>
    <w:p>
      <w:pPr>
        <w:spacing w:after="0" w:line="202" w:lineRule="exact"/>
        <w:rPr>
          <w:sz w:val="20"/>
          <w:szCs w:val="20"/>
          <w:color w:val="auto"/>
        </w:rPr>
      </w:pPr>
    </w:p>
    <w:p>
      <w:pPr>
        <w:jc w:val="both"/>
        <w:ind w:left="1280" w:hanging="634"/>
        <w:spacing w:after="0" w:line="257" w:lineRule="auto"/>
        <w:tabs>
          <w:tab w:leader="none" w:pos="12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deduction or withholding of any tax is required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then if such Tax is an Indemnified Tax, the amounts payable or otherwise deliverable with respect to a Note by the Company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applicable Noteholder receives an amount equal to the sum it would have received had no such deduction or withholding been made.</w:t>
      </w:r>
    </w:p>
    <w:p>
      <w:pPr>
        <w:spacing w:after="0" w:line="159" w:lineRule="exact"/>
        <w:rPr>
          <w:rFonts w:ascii="Times New Roman" w:cs="Times New Roman" w:eastAsia="Times New Roman" w:hAnsi="Times New Roman"/>
          <w:sz w:val="20"/>
          <w:szCs w:val="20"/>
          <w:color w:val="auto"/>
        </w:rPr>
      </w:pPr>
    </w:p>
    <w:p>
      <w:pPr>
        <w:jc w:val="both"/>
        <w:ind w:left="1280" w:hanging="634"/>
        <w:spacing w:after="0" w:line="253" w:lineRule="auto"/>
        <w:tabs>
          <w:tab w:leader="none" w:pos="127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and any applicable Guarantor shall, jointly and severally, indemnify each Noteholder,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payable or paid by such Noteholder or required to be withheld or deducted from a payment to such Noteholder and any reasonable expenses arising therefrom or with respect thereto, whether or not such Indemnified Taxes were correctly or legally imposed or asserted by the relevant governmental authority. A certificate as to the amount of such payment or liability delivered to the Company or other applicable Guarantor by a Noteholder shall be conclusive absent manifest error.</w:t>
      </w:r>
    </w:p>
    <w:p>
      <w:pPr>
        <w:spacing w:after="0" w:line="165"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practicable after any payment of taxes by the Company or a Guarantor to a governmental authority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Company or such Guarantor shall deliver to the Noteholder the original or a certified copy of a receipt issued by such governmental authority evidencing such payment, a copy of the return reporting such payment or other evidence of such payment reasonably satisfactory to the Noteholder.</w:t>
      </w:r>
    </w:p>
    <w:p>
      <w:pPr>
        <w:spacing w:after="0" w:line="158"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Noteholder that is entitled to an exemption from or reduction of withholding tax with respect to payments made under the Notes Purchase Agreement, Indenture, or Collateral and Intercreditor Agreement (the “</w:t>
      </w:r>
      <w:r>
        <w:rPr>
          <w:rFonts w:ascii="Times New Roman" w:cs="Times New Roman" w:eastAsia="Times New Roman" w:hAnsi="Times New Roman"/>
          <w:sz w:val="20"/>
          <w:szCs w:val="20"/>
          <w:u w:val="single" w:color="auto"/>
          <w:color w:val="auto"/>
        </w:rPr>
        <w:t>Notes Documents</w:t>
      </w:r>
      <w:r>
        <w:rPr>
          <w:rFonts w:ascii="Times New Roman" w:cs="Times New Roman" w:eastAsia="Times New Roman" w:hAnsi="Times New Roman"/>
          <w:sz w:val="20"/>
          <w:szCs w:val="20"/>
          <w:color w:val="auto"/>
        </w:rPr>
        <w:t>”) shall deliver to the Company, at the time or times reasonably requested by the Company, such properly completed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65" w:name="page66"/>
    <w:bookmarkEnd w:id="65"/>
    <w:p>
      <w:pPr>
        <w:jc w:val="both"/>
        <w:ind w:left="1280"/>
        <w:spacing w:after="0" w:line="252" w:lineRule="auto"/>
        <w:rPr>
          <w:sz w:val="20"/>
          <w:szCs w:val="20"/>
          <w:color w:val="auto"/>
        </w:rPr>
      </w:pPr>
      <w:r>
        <w:rPr>
          <w:rFonts w:ascii="Times New Roman" w:cs="Times New Roman" w:eastAsia="Times New Roman" w:hAnsi="Times New Roman"/>
          <w:sz w:val="20"/>
          <w:szCs w:val="20"/>
          <w:color w:val="auto"/>
        </w:rPr>
        <w:t xml:space="preserve">executed documentation reasonably requested by the Company as will permit such payments to be made without withholding or at a reduced rate of withholding. In addition, any Noteholder, if reasonably requested by the Company, shall deliver such other documentation prescribed by applicable law or reasonably requested by the Company as will enable the Company to determine whether or not such Noteholder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2.15(d)(i)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2.15(d)(ii)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2.15(d)(iv)</w:t>
      </w:r>
      <w:r>
        <w:rPr>
          <w:rFonts w:ascii="Times New Roman" w:cs="Times New Roman" w:eastAsia="Times New Roman" w:hAnsi="Times New Roman"/>
          <w:sz w:val="20"/>
          <w:szCs w:val="20"/>
          <w:color w:val="auto"/>
        </w:rPr>
        <w:t xml:space="preserve"> below) shall not be required if in the reasonable judgment of the Noteholder such completion, execution or submission would subject such Noteholder to any material unreimbursed cost or expense or would materially prejudice the legal or commercial position of such Noteholder. Without limiting the generality of the foregoing:</w:t>
      </w:r>
    </w:p>
    <w:p>
      <w:pPr>
        <w:spacing w:after="0" w:line="162" w:lineRule="exact"/>
        <w:rPr>
          <w:sz w:val="20"/>
          <w:szCs w:val="20"/>
          <w:color w:val="auto"/>
        </w:rPr>
      </w:pPr>
    </w:p>
    <w:p>
      <w:pPr>
        <w:jc w:val="both"/>
        <w:ind w:left="1920" w:hanging="636"/>
        <w:spacing w:after="0" w:line="261" w:lineRule="auto"/>
        <w:tabs>
          <w:tab w:leader="none" w:pos="191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U.S. Noteholder shall deliver to the Company on or prior to the date on which such Person becomes a U.S. Noteholder (and from time to time thereafter upon the reasonable request of the Company), executed copies of IRS Form W-9 certifying that such U.S. Noteholder is exempt from U.S. federal backup withholding tax;</w:t>
      </w:r>
    </w:p>
    <w:p>
      <w:pPr>
        <w:spacing w:after="0" w:line="154" w:lineRule="exact"/>
        <w:rPr>
          <w:rFonts w:ascii="Times New Roman" w:cs="Times New Roman" w:eastAsia="Times New Roman" w:hAnsi="Times New Roman"/>
          <w:sz w:val="20"/>
          <w:szCs w:val="20"/>
          <w:color w:val="auto"/>
        </w:rPr>
      </w:pPr>
    </w:p>
    <w:p>
      <w:pPr>
        <w:jc w:val="both"/>
        <w:ind w:left="1920" w:hanging="636"/>
        <w:spacing w:after="0" w:line="258" w:lineRule="auto"/>
        <w:tabs>
          <w:tab w:leader="none" w:pos="191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Noteholder shall, to the extent it is legally entitled to do so, deliver to the Company (in such number of copies as shall be requested by the Company) on or prior to the date on which such Person becomes a Foreign Noteholder (and from time to time thereafter upon the reasonable request of the Company), whichever of the following is applicable:</w:t>
      </w:r>
    </w:p>
    <w:p>
      <w:pPr>
        <w:spacing w:after="0" w:line="158" w:lineRule="exact"/>
        <w:rPr>
          <w:rFonts w:ascii="Times New Roman" w:cs="Times New Roman" w:eastAsia="Times New Roman" w:hAnsi="Times New Roman"/>
          <w:sz w:val="20"/>
          <w:szCs w:val="20"/>
          <w:color w:val="auto"/>
        </w:rPr>
      </w:pPr>
    </w:p>
    <w:p>
      <w:pPr>
        <w:jc w:val="both"/>
        <w:ind w:left="2560" w:hanging="639"/>
        <w:spacing w:after="0" w:line="253" w:lineRule="auto"/>
        <w:tabs>
          <w:tab w:leader="none" w:pos="254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Noteholder claiming the benefits of an income tax treaty to which the United States is a party (x) with respect to payments of interest under any Notes Document, executed copies of IRS Form W-8BEN-E or W-8BEN, as applicable, establishing an exemption from, or reduction of, U.S. federal withholding tax pursuant to the “interest” article of such tax treaty and (y) with respect to any other applicable payments under any Notes Document, IRS Form W-8BEN-E or W-8BEN, as applicable, establishing an exemption from, or reduction of, U.S. federal withholding tax pursuant to the “business profits” or “other income” article of such tax treaty;</w:t>
      </w:r>
    </w:p>
    <w:p>
      <w:pPr>
        <w:spacing w:after="0" w:line="165" w:lineRule="exact"/>
        <w:rPr>
          <w:rFonts w:ascii="Times New Roman" w:cs="Times New Roman" w:eastAsia="Times New Roman" w:hAnsi="Times New Roman"/>
          <w:sz w:val="20"/>
          <w:szCs w:val="20"/>
          <w:color w:val="auto"/>
        </w:rPr>
      </w:pPr>
    </w:p>
    <w:p>
      <w:pPr>
        <w:ind w:left="2540" w:hanging="619"/>
        <w:spacing w:after="0"/>
        <w:tabs>
          <w:tab w:leader="none" w:pos="254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2560" w:hanging="639"/>
        <w:spacing w:after="0" w:line="253" w:lineRule="auto"/>
        <w:tabs>
          <w:tab w:leader="none" w:pos="255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Noteholder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2.15-A</w:t>
      </w:r>
      <w:r>
        <w:rPr>
          <w:rFonts w:ascii="Times New Roman" w:cs="Times New Roman" w:eastAsia="Times New Roman" w:hAnsi="Times New Roman"/>
          <w:sz w:val="20"/>
          <w:szCs w:val="20"/>
          <w:color w:val="auto"/>
        </w:rPr>
        <w:t xml:space="preserve"> to the effect that such Foreign Noteholder is not a “bank” within the meaning of Section 881(c)(3)(A) of the Code, a “10 percent shareholder” of the Company within the meaning of Section 871(h)(3)(B) of the Code, or a “controlled foreign corporation” described in Section 881(c)(3)(C) of the Code and (y) executed copies of IRS Form W-8BEN-E or W-8BEN, as applicable; or</w:t>
      </w:r>
    </w:p>
    <w:p>
      <w:pPr>
        <w:spacing w:after="0" w:line="165" w:lineRule="exact"/>
        <w:rPr>
          <w:rFonts w:ascii="Times New Roman" w:cs="Times New Roman" w:eastAsia="Times New Roman" w:hAnsi="Times New Roman"/>
          <w:sz w:val="20"/>
          <w:szCs w:val="20"/>
          <w:color w:val="auto"/>
        </w:rPr>
      </w:pPr>
    </w:p>
    <w:p>
      <w:pPr>
        <w:ind w:left="2560" w:hanging="639"/>
        <w:spacing w:after="0" w:line="269" w:lineRule="auto"/>
        <w:tabs>
          <w:tab w:leader="none" w:pos="254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Foreign Noteholder is not the beneficial owner, executed copies of IRS Form W-8IMY, accompanied by IRS Form W-8ECI,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66" w:name="page67"/>
    <w:bookmarkEnd w:id="66"/>
    <w:p>
      <w:pPr>
        <w:jc w:val="both"/>
        <w:ind w:left="2560"/>
        <w:spacing w:after="0" w:line="253" w:lineRule="auto"/>
        <w:rPr>
          <w:sz w:val="20"/>
          <w:szCs w:val="20"/>
          <w:color w:val="auto"/>
        </w:rPr>
      </w:pPr>
      <w:r>
        <w:rPr>
          <w:rFonts w:ascii="Times New Roman" w:cs="Times New Roman" w:eastAsia="Times New Roman" w:hAnsi="Times New Roman"/>
          <w:sz w:val="20"/>
          <w:szCs w:val="20"/>
          <w:color w:val="auto"/>
        </w:rPr>
        <w:t xml:space="preserve">Form W-8BEN-E or W-8BEN, a certificate substantially in the form of </w:t>
      </w:r>
      <w:r>
        <w:rPr>
          <w:rFonts w:ascii="Times New Roman" w:cs="Times New Roman" w:eastAsia="Times New Roman" w:hAnsi="Times New Roman"/>
          <w:sz w:val="20"/>
          <w:szCs w:val="20"/>
          <w:u w:val="single" w:color="auto"/>
          <w:color w:val="auto"/>
        </w:rPr>
        <w:t>Exhibit 2.15-B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2.15-C</w:t>
      </w:r>
      <w:r>
        <w:rPr>
          <w:rFonts w:ascii="Times New Roman" w:cs="Times New Roman" w:eastAsia="Times New Roman" w:hAnsi="Times New Roman"/>
          <w:sz w:val="20"/>
          <w:szCs w:val="20"/>
          <w:color w:val="auto"/>
        </w:rPr>
        <w:t xml:space="preserve">, IRS Form W-9, and/or other certification documents from each beneficial owner, as applicable; provided that if the Foreign Noteholder is a partnership and one or more direct or indirect partners of such Foreign Noteholder are claiming the portfolio interest exemption, such Foreign Noteholder may provide a certificate substantially in the form of </w:t>
      </w:r>
      <w:r>
        <w:rPr>
          <w:rFonts w:ascii="Times New Roman" w:cs="Times New Roman" w:eastAsia="Times New Roman" w:hAnsi="Times New Roman"/>
          <w:sz w:val="20"/>
          <w:szCs w:val="20"/>
          <w:u w:val="single" w:color="auto"/>
          <w:color w:val="auto"/>
        </w:rPr>
        <w:t>Exhibit 2.15-D</w:t>
      </w:r>
      <w:r>
        <w:rPr>
          <w:rFonts w:ascii="Times New Roman" w:cs="Times New Roman" w:eastAsia="Times New Roman" w:hAnsi="Times New Roman"/>
          <w:sz w:val="20"/>
          <w:szCs w:val="20"/>
          <w:color w:val="auto"/>
        </w:rPr>
        <w:t xml:space="preserve"> on behalf of each such direct and indirect partner;</w:t>
      </w:r>
    </w:p>
    <w:p>
      <w:pPr>
        <w:spacing w:after="0" w:line="178" w:lineRule="exact"/>
        <w:rPr>
          <w:sz w:val="20"/>
          <w:szCs w:val="20"/>
          <w:color w:val="auto"/>
        </w:rPr>
      </w:pPr>
    </w:p>
    <w:p>
      <w:pPr>
        <w:jc w:val="both"/>
        <w:ind w:left="1920" w:hanging="636"/>
        <w:spacing w:after="0" w:line="253" w:lineRule="auto"/>
        <w:tabs>
          <w:tab w:leader="none" w:pos="1917"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Noteholder shall, to the extent it is legally entitled to do so, deliver to the Company (in such number of copies as shall be requested by the Company) on or prior to the date on which such Person becomes a Foreign Noteholder (and from time to time thereafter upon the reasonable request of the Company), executed copies of any other form prescribed by applicable law as a basis for claiming exemption from or a reduction in U.S. federal withholding tax, duly completed, together with such supplementary documentation as may be prescribed by applicable law to permit the Company to determine the withholding or deduction required to be made;</w:t>
      </w:r>
    </w:p>
    <w:p>
      <w:pPr>
        <w:spacing w:after="0" w:line="165" w:lineRule="exact"/>
        <w:rPr>
          <w:rFonts w:ascii="Times New Roman" w:cs="Times New Roman" w:eastAsia="Times New Roman" w:hAnsi="Times New Roman"/>
          <w:sz w:val="20"/>
          <w:szCs w:val="20"/>
          <w:color w:val="auto"/>
        </w:rPr>
      </w:pPr>
    </w:p>
    <w:p>
      <w:pPr>
        <w:jc w:val="both"/>
        <w:ind w:left="1920" w:hanging="636"/>
        <w:spacing w:after="0" w:line="266" w:lineRule="auto"/>
        <w:tabs>
          <w:tab w:leader="none" w:pos="1920"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payment made to a Noteholder under any Notes Document would be subject to U.S. federal withholding tax imposed by FATCA if such Noteholder were to fail to comply with the applicable reporting requirements of FATCA (including those contained in Section 1471(b) or 1472(b) of the Code, as applicable), such Noteholder shall deliver to the Company at the time or times prescribed by law and at such time or times reasonably requested by the Company such documentation prescribed by applicable law (including as prescribed by Section 1471(b)(3)(C)(i) of the Code) and such additional documentation reasonably requested by the Company as may be necessary for the Company to comply with its obligations under FATCA and to determine that such Noteholder has complied with its obligations under FATCA or to determine the amount to deduct and withhold from such payment. Solely for purposes of this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“FATCA” shall include any amendments made to FATCA after the date of this Agreement; and</w:t>
      </w:r>
    </w:p>
    <w:p>
      <w:pPr>
        <w:spacing w:after="0" w:line="156" w:lineRule="exact"/>
        <w:rPr>
          <w:rFonts w:ascii="Times New Roman" w:cs="Times New Roman" w:eastAsia="Times New Roman" w:hAnsi="Times New Roman"/>
          <w:sz w:val="19"/>
          <w:szCs w:val="19"/>
          <w:color w:val="auto"/>
        </w:rPr>
      </w:pPr>
    </w:p>
    <w:p>
      <w:pPr>
        <w:jc w:val="both"/>
        <w:ind w:left="1920" w:hanging="636"/>
        <w:spacing w:after="0" w:line="261" w:lineRule="auto"/>
        <w:tabs>
          <w:tab w:leader="none" w:pos="1919"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Noteholder agrees that if any form or certification it previously delivered expires or becomes obsolete or inaccurate in any respect, it shall update such form or certification or promptly notify the Company in writing of its legal inability to do so.</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51" w:lineRule="auto"/>
        <w:tabs>
          <w:tab w:leader="none" w:pos="12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Noteholder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67" w:name="page68"/>
    <w:bookmarkEnd w:id="67"/>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 xml:space="preserve">refund to such governmental authority. Notwithstanding anything to the contrary in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6" w:lineRule="exact"/>
        <w:rPr>
          <w:sz w:val="20"/>
          <w:szCs w:val="20"/>
          <w:color w:val="auto"/>
        </w:rPr>
      </w:pPr>
    </w:p>
    <w:p>
      <w:pPr>
        <w:jc w:val="both"/>
        <w:ind w:left="1280" w:hanging="634"/>
        <w:spacing w:after="0" w:line="261" w:lineRule="auto"/>
        <w:tabs>
          <w:tab w:leader="none" w:pos="127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Company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will survive the payment or transfer of any Note, the enforcement, amendment or waiver of any provision of this Agreement, the Notes, or any other Notes Document, and the termination of this Agreement or any other Notes Document.</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53" w:lineRule="auto"/>
        <w:tabs>
          <w:tab w:leader="none" w:pos="1277"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of the foregoing,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is solely for the benefit of the Foreign Noteholders existing as of the date hereof and any of their Affiliates that become holders of the Notes through a permitted transfer, and not for any other successors or assigns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Affiliate of a Noteholder shall not be entitled to additional amounts on Notes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if, at the time such Affiliate became the holder of the Notes, a law was in place, that caused the Notes held by such Affiliate to be subject to the payment of additional amounts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that would not have otherwise been applicable to the transferor of such Notes (but an Affiliate shall be entitled to additional amounts attributable to a change in law occurring after the date it became a holder of Notes).</w:t>
      </w:r>
    </w:p>
    <w:p>
      <w:pPr>
        <w:spacing w:after="0" w:line="161"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REDEMPTION AND PREPAYMENT</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Notices to Trustee</w:t>
      </w:r>
    </w:p>
    <w:p>
      <w:pPr>
        <w:spacing w:after="0" w:line="216" w:lineRule="exact"/>
        <w:rPr>
          <w:sz w:val="20"/>
          <w:szCs w:val="20"/>
          <w:color w:val="auto"/>
        </w:rPr>
      </w:pPr>
    </w:p>
    <w:p>
      <w:pPr>
        <w:jc w:val="both"/>
        <w:ind w:left="640" w:right="20"/>
        <w:spacing w:after="0" w:line="261" w:lineRule="auto"/>
        <w:rPr>
          <w:sz w:val="20"/>
          <w:szCs w:val="20"/>
          <w:color w:val="auto"/>
        </w:rPr>
      </w:pPr>
      <w:r>
        <w:rPr>
          <w:rFonts w:ascii="Times New Roman" w:cs="Times New Roman" w:eastAsia="Times New Roman" w:hAnsi="Times New Roman"/>
          <w:sz w:val="20"/>
          <w:szCs w:val="20"/>
          <w:color w:val="auto"/>
        </w:rPr>
        <w:t xml:space="preserve">If the Company elects to redeem Notes pursuant to the optional redemption provisions of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it must furnish to the Trustee, at least fifteen days (unless a shorter period is acceptable to the Trustee) but not more than sixty days before a redemption date, an Officer’s Certificate setting forth:</w:t>
      </w:r>
    </w:p>
    <w:p>
      <w:pPr>
        <w:spacing w:after="0" w:line="154" w:lineRule="exact"/>
        <w:rPr>
          <w:sz w:val="20"/>
          <w:szCs w:val="20"/>
          <w:color w:val="auto"/>
        </w:rPr>
      </w:pPr>
    </w:p>
    <w:p>
      <w:pPr>
        <w:ind w:left="1280" w:hanging="634"/>
        <w:spacing w:after="0"/>
        <w:tabs>
          <w:tab w:leader="none" w:pos="1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Section of this Indenture pursuant to which the redemption shall occur;</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21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series, or more than one series, if applicable, of Notes to be redeemed;</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Notes to be redeemed;</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 and</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number or PPN of the Notes to be redeemed; and</w:t>
      </w:r>
    </w:p>
    <w:p>
      <w:pPr>
        <w:spacing w:after="0" w:line="21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manner in which the aggregate principal amount of the Notes redeemed will be applied to the Payment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68" w:name="page69"/>
    <w:bookmarkEnd w:id="68"/>
    <w:p>
      <w:pPr>
        <w:spacing w:after="0"/>
        <w:tabs>
          <w:tab w:leader="none" w:pos="62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Selection of Notes to Be Redeemed</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 xml:space="preserve">If less than all of the Notes, or less than all of the Notes of a particular series, are to be redeemed at any time, the Trustee will select Notes and any portions thereof for redemption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and, if applicable, with such adjustments so that only Notes in denominations of $100,000 or whole multiples of $1,000 in excess thereof will be purchased unless otherwise required by law, or applicable stock exchange requirements;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only Notes of a particular series are to be redeemed, such selection by the Trustee shall be limited to Notes of such series.</w:t>
      </w:r>
    </w:p>
    <w:p>
      <w:pPr>
        <w:spacing w:after="0" w:line="15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In the event of partial redemption, the particular Notes to be redeemed will be selected, unless otherwise provided herein, not less than fifteen nor more than sixty days prior to the redemption or purchase date by the Trustee from the outstanding Notes not previously called for redemption.</w:t>
      </w:r>
    </w:p>
    <w:p>
      <w:pPr>
        <w:spacing w:after="0" w:line="154"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Trustee will promptly notify the Company in writing of the Notes selected for redemption and, in the case of any Note selected for partial redemption, the principal amount thereof to be redeemed. Notes and portions of Notes selected will be in amounts of $100,000 or whole multiples of $1,000 in excess thereof;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that if all of the Notes of a Noteholder are to be redeemed, the entire outstanding amount of Notes held by such Noteholder, even if not in the amount of $100,000 or a whole multiple of $1,000 thereof, shall be redeemed. Except as provided in the preceding sentence, provisions of this Indenture that apply to Notes called for redemption also apply to portions of Notes called for redemption.</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Notice of Redemption</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At least fifteen days but not more than sixty days before a redemption date, the Company will mail or cause to be mailed by first class mail or delivered electronically, a notice of redemption to each Noteholder whose Notes are to be redeemed at its registered address, except that redemption notices may be mailed or delivered electronically more than sixty days prior to a redemption date if the notice is issued in connection with a defeasance of the Notes or a satisfaction and discharge of this Indenture pursuant to Articles 8 or 11.</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notice will identify the Notes to be redeemed and will state:</w:t>
      </w:r>
    </w:p>
    <w:p>
      <w:pPr>
        <w:spacing w:after="0" w:line="216" w:lineRule="exact"/>
        <w:rPr>
          <w:sz w:val="20"/>
          <w:szCs w:val="20"/>
          <w:color w:val="auto"/>
        </w:rPr>
      </w:pPr>
    </w:p>
    <w:p>
      <w:pPr>
        <w:ind w:left="1280" w:hanging="634"/>
        <w:spacing w:after="0"/>
        <w:tabs>
          <w:tab w:leader="none" w:pos="1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w:t>
      </w:r>
    </w:p>
    <w:p>
      <w:pPr>
        <w:spacing w:after="0" w:line="202" w:lineRule="exact"/>
        <w:rPr>
          <w:rFonts w:ascii="Times New Roman" w:cs="Times New Roman" w:eastAsia="Times New Roman" w:hAnsi="Times New Roman"/>
          <w:sz w:val="20"/>
          <w:szCs w:val="20"/>
          <w:color w:val="auto"/>
        </w:rPr>
      </w:pPr>
    </w:p>
    <w:p>
      <w:pPr>
        <w:jc w:val="both"/>
        <w:ind w:left="1280" w:hanging="634"/>
        <w:spacing w:after="0" w:line="257" w:lineRule="auto"/>
        <w:tabs>
          <w:tab w:leader="none" w:pos="1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Note is being redeemed in part, the portion of the principal amount of such Note to be redeemed, the manner in which the aggregate principal amount of the Notes redeemed will be applied to the Payment Schedule (which will be adjusted with respect to remaining payments pursuant to </w:t>
      </w:r>
      <w:r>
        <w:rPr>
          <w:rFonts w:ascii="Times New Roman" w:cs="Times New Roman" w:eastAsia="Times New Roman" w:hAnsi="Times New Roman"/>
          <w:sz w:val="20"/>
          <w:szCs w:val="20"/>
          <w:u w:val="single" w:color="auto"/>
          <w:color w:val="auto"/>
        </w:rPr>
        <w:t>Section 2.1(c))</w:t>
      </w:r>
      <w:r>
        <w:rPr>
          <w:rFonts w:ascii="Times New Roman" w:cs="Times New Roman" w:eastAsia="Times New Roman" w:hAnsi="Times New Roman"/>
          <w:sz w:val="20"/>
          <w:szCs w:val="20"/>
          <w:color w:val="auto"/>
        </w:rPr>
        <w:t xml:space="preserve"> and that, after the redemption date upon surrender of such Note, a new Note or Notes in principal amount equal to the unredeemed portion will be issued in the name of the Noteholder upon cancellation of the original Note;</w:t>
      </w:r>
    </w:p>
    <w:p>
      <w:pPr>
        <w:spacing w:after="0" w:line="159"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Notes called for redemption must be surrendered to the Paying Agent to collect the 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69" w:name="page70"/>
    <w:bookmarkEnd w:id="69"/>
    <w:p>
      <w:pPr>
        <w:ind w:left="1280" w:hanging="634"/>
        <w:spacing w:after="0" w:line="283" w:lineRule="auto"/>
        <w:tabs>
          <w:tab w:leader="none" w:pos="127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unless the Company defaults in making such redemption payment, interest on Notes called for redemption ceases to accrue on and after the redemption date (as it may be delayed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ind w:left="1280" w:hanging="634"/>
        <w:spacing w:after="0" w:line="269" w:lineRule="auto"/>
        <w:tabs>
          <w:tab w:leader="none" w:pos="127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paragraph of the Notes and/or Section of this Indenture pursuant to which the Notes called for redemption are being redeemed; and</w:t>
      </w:r>
    </w:p>
    <w:p>
      <w:pPr>
        <w:spacing w:after="0" w:line="159" w:lineRule="exact"/>
        <w:rPr>
          <w:rFonts w:ascii="Times New Roman" w:cs="Times New Roman" w:eastAsia="Times New Roman" w:hAnsi="Times New Roman"/>
          <w:sz w:val="20"/>
          <w:szCs w:val="20"/>
          <w:color w:val="auto"/>
        </w:rPr>
      </w:pPr>
    </w:p>
    <w:p>
      <w:pPr>
        <w:ind w:left="1280" w:hanging="634"/>
        <w:spacing w:after="0" w:line="269" w:lineRule="auto"/>
        <w:tabs>
          <w:tab w:leader="none" w:pos="127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representation is made as to the correctness or accuracy of the CUSIP number or PPN, if any, listed in such notice or printed on the Notes.</w:t>
      </w:r>
    </w:p>
    <w:p>
      <w:pPr>
        <w:spacing w:after="0" w:line="15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 xml:space="preserve">At the Company’s request, the Trustee will give the notice of redemption in the Company’s name and at its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Company has delivered to the Trustee, at least thirty days prior to the redemption date (unless a shorter period is acceptable to the Trustee), an Officer’s Certificate requesting that the Trustee give such notice and setting forth the information to be stated in such notice as provided in the preceding paragraph.</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Effect of Notice of Redemption</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Once notice of redemption is mailed or delivered electronically in accordance with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Notes called for redemption become irrevocably due and payable on the redemption date at the redemption price;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notice of redemption may be conditional (in which case such Notes shall become irrevocably due and payable on the redemption date at the redemption price upon the satisfaction or waiver of any such conditions).</w:t>
      </w:r>
    </w:p>
    <w:p>
      <w:pPr>
        <w:spacing w:after="0" w:line="15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If the redemption is delayed pursuant to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and the terms of the applicable notice of redemption, such redemption date as so delayed may occur at any time after the original redemption date set forth in the applicable notice of redemption and after the satisfaction of any applicable conditions precedent, including, without limitation, on a date that is less than fifteen days after the original redemption date or more than sixty days after the date of the applicable notice of redemption.</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Deposit of Redemption or Purchase Price</w:t>
      </w:r>
    </w:p>
    <w:p>
      <w:pPr>
        <w:spacing w:after="0" w:line="202"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9"/>
          <w:szCs w:val="19"/>
          <w:color w:val="auto"/>
        </w:rPr>
        <w:t>At least one Business Day prior to the redemption date, the Company will deposit or will cause to be deposited with the Trustee or with the Paying Agent money sufficient to pay the redemption price of and accrued interest on all Notes to be redeemed on that date. The Trustee or the Paying Agent will promptly return to the Company any money deposited with the Trustee or the Paying Agent by the Company in excess of the amounts necessary to pay the redemption price of, and accrued interest on all Notes to be redeemed.</w:t>
      </w:r>
    </w:p>
    <w:p>
      <w:pPr>
        <w:spacing w:after="0" w:line="143"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If the Company complies with the provisions of the preceding paragraph, on and after the redemption date, interest will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70" w:name="page71"/>
    <w:bookmarkEnd w:id="70"/>
    <w:p>
      <w:pPr>
        <w:spacing w:after="0"/>
        <w:tabs>
          <w:tab w:leader="none" w:pos="62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u w:val="single" w:color="auto"/>
          <w:color w:val="auto"/>
        </w:rPr>
        <w:t>Notes Redeemed in Part</w:t>
      </w:r>
    </w:p>
    <w:p>
      <w:pPr>
        <w:spacing w:after="0" w:line="202" w:lineRule="exact"/>
        <w:rPr>
          <w:sz w:val="20"/>
          <w:szCs w:val="20"/>
          <w:color w:val="auto"/>
        </w:rPr>
      </w:pPr>
    </w:p>
    <w:p>
      <w:pPr>
        <w:jc w:val="both"/>
        <w:ind w:left="640" w:right="20"/>
        <w:spacing w:after="0" w:line="261" w:lineRule="auto"/>
        <w:rPr>
          <w:sz w:val="20"/>
          <w:szCs w:val="20"/>
          <w:color w:val="auto"/>
        </w:rPr>
      </w:pPr>
      <w:r>
        <w:rPr>
          <w:rFonts w:ascii="Times New Roman" w:cs="Times New Roman" w:eastAsia="Times New Roman" w:hAnsi="Times New Roman"/>
          <w:sz w:val="20"/>
          <w:szCs w:val="20"/>
          <w:color w:val="auto"/>
        </w:rPr>
        <w:t>Upon surrender of a Note that is redeemed in part, the Company will issue and, upon receipt of an Authentication Order, the Trustee will authenticate for the Noteholder at the expense of the Company a new Note equal in principal amount to the unredeemed portion of the Note surrendered.</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u w:val="single" w:color="auto"/>
          <w:color w:val="auto"/>
        </w:rPr>
        <w:t>Optional Redemption</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At any time or from time to time prior to the Par Call Date of the Notes, the Company may, at its option, redeem all or a part of the Notes, at a redemption price equal to the Make-Whole Price (subject to the right of Noteholders of record on the relevant record date to receive interest due on an Interest Payment Date that is on or prior to the redemption date, without duplication).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Make-Whole Price</w:t>
      </w:r>
      <w:r>
        <w:rPr>
          <w:rFonts w:ascii="Times New Roman" w:cs="Times New Roman" w:eastAsia="Times New Roman" w:hAnsi="Times New Roman"/>
          <w:sz w:val="20"/>
          <w:szCs w:val="20"/>
          <w:color w:val="auto"/>
        </w:rPr>
        <w:t>” shall mean the greater of:</w:t>
      </w:r>
    </w:p>
    <w:p>
      <w:pPr>
        <w:spacing w:after="0" w:line="216" w:lineRule="exact"/>
        <w:rPr>
          <w:sz w:val="20"/>
          <w:szCs w:val="20"/>
          <w:color w:val="auto"/>
        </w:rPr>
      </w:pPr>
    </w:p>
    <w:p>
      <w:pPr>
        <w:jc w:val="both"/>
        <w:ind w:left="1280" w:hanging="634"/>
        <w:spacing w:after="0" w:line="254" w:lineRule="auto"/>
        <w:tabs>
          <w:tab w:leader="none" w:pos="12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50 basis points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(b) interest accrued to, but excluding, the redemption date; and</w:t>
      </w:r>
    </w:p>
    <w:p>
      <w:pPr>
        <w:spacing w:after="0" w:line="173"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principal amount of the Notes to be redeemed,</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in either case, accrued and unpaid interest thereon to, but excluding, the redemption date.</w:t>
      </w:r>
    </w:p>
    <w:p>
      <w:pPr>
        <w:spacing w:after="0" w:line="20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On or after March 30, 2047 (three months prior to the Maturity Date) (the “</w:t>
      </w:r>
      <w:r>
        <w:rPr>
          <w:rFonts w:ascii="Times New Roman" w:cs="Times New Roman" w:eastAsia="Times New Roman" w:hAnsi="Times New Roman"/>
          <w:sz w:val="20"/>
          <w:szCs w:val="20"/>
          <w:u w:val="single" w:color="auto"/>
          <w:color w:val="auto"/>
        </w:rPr>
        <w:t>Par Call Date</w:t>
      </w:r>
      <w:r>
        <w:rPr>
          <w:rFonts w:ascii="Times New Roman" w:cs="Times New Roman" w:eastAsia="Times New Roman" w:hAnsi="Times New Roman"/>
          <w:sz w:val="20"/>
          <w:szCs w:val="20"/>
          <w:color w:val="auto"/>
        </w:rPr>
        <w:t>”), the Company may redeem the Notes, in whole or in part, at any time and from time to time, at a redemption price equal to 100% of the principal amount of the Notes being redeemed plus accrued and unpaid interest thereon to, but excluding, the redemption date.</w:t>
      </w:r>
    </w:p>
    <w:p>
      <w:pPr>
        <w:spacing w:after="0" w:line="16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The notice of redemption with respect to the foregoing redemption need not set forth the Make-Whole Price but only the manner of calculation thereof. The Company will notify the Trustee of the Make-Whole Price with respect to any redemption promptly after the calculation, and the Trustee shall not be responsible for such calculation.</w:t>
      </w:r>
    </w:p>
    <w:p>
      <w:pPr>
        <w:spacing w:after="0" w:line="15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For the avoidance of doubt and notwithstanding any other provision of the Indenture or the Notes, (x) the Noteholders shall not be entitled to specific performance of the optional redemption provisions applicable to any Notes described under this Section 3.7 and no premium (including any Make-Whole Price) will be due or available as a remedy, in each case in connection with (1) any Default or Event of Default or (2) any acceleration (automatic or otherwise) of all, or any portion of, the Notes (other than an acceleration in respect of an Event of Default for failing to pay the redemption price when due following the Company’s voluntary election, if any, to redeem Notes pursuant to the optional redemption provisions applicable to the Notes under this Section 3.7, to the extent any premium is due in connection therewith), and (y) the requirement to pay any premium (including any Make-Whole Price) shall only arise in connection with the Company’s voluntary election, if any, to redeem Notes pursuant to the optional redemption provisions applicable to Notes described under this Section 3.7, and not in connection with any other payment, distribution, satisfaction or other recovery in respect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71" w:name="page72"/>
    <w:bookmarkEnd w:id="71"/>
    <w:p>
      <w:pPr>
        <w:spacing w:after="0"/>
        <w:tabs>
          <w:tab w:leader="none" w:pos="62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u w:val="single" w:color="auto"/>
          <w:color w:val="auto"/>
        </w:rPr>
        <w:t>Open Market Purchases; No Mandatory Redemption</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The Company may at any time and from time to time purchase Notes in the open market or otherwise; provided that the Company may not make purchases in excess of $25,000,000 in aggregate principal amount in any calendar year unless (i) it purchases Notes through a pro-rata offer on substantially the same terms to all Holders and (ii) the Company and its Affiliates are in compliance with </w:t>
      </w:r>
      <w:r>
        <w:rPr>
          <w:rFonts w:ascii="Times New Roman" w:cs="Times New Roman" w:eastAsia="Times New Roman" w:hAnsi="Times New Roman"/>
          <w:sz w:val="20"/>
          <w:szCs w:val="20"/>
          <w:u w:val="single" w:color="auto"/>
          <w:color w:val="auto"/>
        </w:rPr>
        <w:t>Section 4.27</w:t>
      </w:r>
      <w:r>
        <w:rPr>
          <w:rFonts w:ascii="Times New Roman" w:cs="Times New Roman" w:eastAsia="Times New Roman" w:hAnsi="Times New Roman"/>
          <w:sz w:val="20"/>
          <w:szCs w:val="20"/>
          <w:color w:val="auto"/>
        </w:rPr>
        <w:t>. The Company is not required to make mandatory redemption payments with respect to the Notes.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u w:val="single" w:color="auto"/>
          <w:color w:val="auto"/>
        </w:rPr>
        <w:t>Offer to Purchase by Application of Collateral Proceeds; LNG SPA Termination Offer</w:t>
      </w:r>
    </w:p>
    <w:p>
      <w:pPr>
        <w:spacing w:after="0" w:line="21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In the event that, pursuant to </w:t>
      </w:r>
      <w:r>
        <w:rPr>
          <w:rFonts w:ascii="Times New Roman" w:cs="Times New Roman" w:eastAsia="Times New Roman" w:hAnsi="Times New Roman"/>
          <w:sz w:val="20"/>
          <w:szCs w:val="20"/>
          <w:u w:val="single" w:color="auto"/>
          <w:color w:val="auto"/>
        </w:rPr>
        <w:t>Sections 4.8,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the Company is required to commence an offer to all Noteholders to purchase Notes (a “</w:t>
      </w:r>
      <w:r>
        <w:rPr>
          <w:rFonts w:ascii="Times New Roman" w:cs="Times New Roman" w:eastAsia="Times New Roman" w:hAnsi="Times New Roman"/>
          <w:sz w:val="20"/>
          <w:szCs w:val="20"/>
          <w:b w:val="1"/>
          <w:bCs w:val="1"/>
          <w:color w:val="auto"/>
        </w:rPr>
        <w:t>LNG SPA Termination Offer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Loss Proceeds Offer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Asset Sale Offer</w:t>
      </w:r>
      <w:r>
        <w:rPr>
          <w:rFonts w:ascii="Times New Roman" w:cs="Times New Roman" w:eastAsia="Times New Roman" w:hAnsi="Times New Roman"/>
          <w:sz w:val="20"/>
          <w:szCs w:val="20"/>
          <w:color w:val="auto"/>
        </w:rPr>
        <w:t>,” or a “</w:t>
      </w:r>
      <w:r>
        <w:rPr>
          <w:rFonts w:ascii="Times New Roman" w:cs="Times New Roman" w:eastAsia="Times New Roman" w:hAnsi="Times New Roman"/>
          <w:sz w:val="20"/>
          <w:szCs w:val="20"/>
          <w:b w:val="1"/>
          <w:bCs w:val="1"/>
          <w:color w:val="auto"/>
        </w:rPr>
        <w:t>PLD Proceeds Offer,</w:t>
      </w:r>
      <w:r>
        <w:rPr>
          <w:rFonts w:ascii="Times New Roman" w:cs="Times New Roman" w:eastAsia="Times New Roman" w:hAnsi="Times New Roman"/>
          <w:sz w:val="20"/>
          <w:szCs w:val="20"/>
          <w:color w:val="auto"/>
        </w:rPr>
        <w:t>” respectively), it will follow the procedures specified below.</w:t>
      </w:r>
    </w:p>
    <w:p>
      <w:pPr>
        <w:spacing w:after="0" w:line="15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 xml:space="preserve">The Loss Proceeds Offer, Asset Sale Offer, LNG SPA Termination Offer or PLD Proceeds Offer, as applicable, shall be made to all Noteholders and all holders of other Indebtedness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Notes containing provisions similar to those set forth in this Indenture with respect to offers or requirements to prepay, purchase or redeem with the proceeds of sales of assets, loss proceeds, project document termination payments or certain indemnity payments. The Loss Proceeds Offer, Asset Sale Offer, LNG SPA Termination Offer or PLD Proceeds Offer, as applicable, with respect to all Noteholders will remain open for a period of at least twenty Business Days following its commencement and not more than thirty Business Days, except to the extent that a longer period is required by applicable law (the “</w:t>
      </w:r>
      <w:r>
        <w:rPr>
          <w:rFonts w:ascii="Times New Roman" w:cs="Times New Roman" w:eastAsia="Times New Roman" w:hAnsi="Times New Roman"/>
          <w:sz w:val="20"/>
          <w:szCs w:val="20"/>
          <w:b w:val="1"/>
          <w:bCs w:val="1"/>
          <w:color w:val="auto"/>
        </w:rPr>
        <w:t>Offer Period</w:t>
      </w:r>
      <w:r>
        <w:rPr>
          <w:rFonts w:ascii="Times New Roman" w:cs="Times New Roman" w:eastAsia="Times New Roman" w:hAnsi="Times New Roman"/>
          <w:sz w:val="20"/>
          <w:szCs w:val="20"/>
          <w:color w:val="auto"/>
        </w:rPr>
        <w:t>”). No later than five Business Days after the termination of the Offer Period (the “</w:t>
      </w:r>
      <w:r>
        <w:rPr>
          <w:rFonts w:ascii="Times New Roman" w:cs="Times New Roman" w:eastAsia="Times New Roman" w:hAnsi="Times New Roman"/>
          <w:sz w:val="20"/>
          <w:szCs w:val="20"/>
          <w:b w:val="1"/>
          <w:bCs w:val="1"/>
          <w:color w:val="auto"/>
        </w:rPr>
        <w:t>Purchase Date</w:t>
      </w:r>
      <w:r>
        <w:rPr>
          <w:rFonts w:ascii="Times New Roman" w:cs="Times New Roman" w:eastAsia="Times New Roman" w:hAnsi="Times New Roman"/>
          <w:sz w:val="20"/>
          <w:szCs w:val="20"/>
          <w:color w:val="auto"/>
        </w:rPr>
        <w:t>”), the Company will apply all Excess Loss Proceeds, Excess Asset Sale Proceeds, LNG SPA Termination Prepayment Amount or Excess Performance Liquidated Damages, as applicable (the “</w:t>
      </w:r>
      <w:r>
        <w:rPr>
          <w:rFonts w:ascii="Times New Roman" w:cs="Times New Roman" w:eastAsia="Times New Roman" w:hAnsi="Times New Roman"/>
          <w:sz w:val="20"/>
          <w:szCs w:val="20"/>
          <w:b w:val="1"/>
          <w:bCs w:val="1"/>
          <w:color w:val="auto"/>
        </w:rPr>
        <w:t>Offer Amount</w:t>
      </w:r>
      <w:r>
        <w:rPr>
          <w:rFonts w:ascii="Times New Roman" w:cs="Times New Roman" w:eastAsia="Times New Roman" w:hAnsi="Times New Roman"/>
          <w:sz w:val="20"/>
          <w:szCs w:val="20"/>
          <w:color w:val="auto"/>
        </w:rPr>
        <w:t xml:space="preserve">”), to the purchase of Notes and such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Indebtedness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if applicable) or, if less than the Offer Amount has been tendered, all Notes and other Indebtedness tendered in response to the Loss Proceeds Offer, Asset Sale Offer, LNG SPA Termination Offer or PLD Proceeds Offer, as applicable. Payment for any Notes so purchased will be made in the same manner as interest payments are made hereunder.</w:t>
      </w:r>
    </w:p>
    <w:p>
      <w:pPr>
        <w:spacing w:after="0" w:line="166"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If the Purchase Date is on or after an interest record date and on or before the related Interest Payment Date, any accrued and unpaid interest, if any, will be paid to the Person in whose name a Note is registered at the close of business on such record date, and no additional interest will be payable to Noteholders who tender Notes pursuant to the Loss Proceeds Offer, Asset Sale Offer, LNG SPA Termination Offer or PLD Proceeds Offer, as applicable.</w:t>
      </w:r>
    </w:p>
    <w:p>
      <w:pPr>
        <w:spacing w:after="0" w:line="15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Upon the commencement of a Loss Proceeds Offer, Asset Sale Offer, LNG SPA Termination Offer or PLD Proceeds Offer, as applicable, the Company will direct the Trustee to send, by first class mail or deliver electronically, a notice to each of the Noteholders, with a copy to the Company. The notice will contain all instructions and materials necessary to enable such Noteholders to tender Notes pursuant to the Loss Proceeds Offer, Asset Sale Offer, LNG SPA Termination Offer or PLD Proceeds Offer, as applicable. The notice, which will govern the terms of the Loss Proceeds Offer, Asset Sale Offer, LNG SPA Termination Offer or PLD Proceeds Offer, as applicable, will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72" w:name="page73"/>
    <w:bookmarkEnd w:id="72"/>
    <w:p>
      <w:pPr>
        <w:jc w:val="both"/>
        <w:ind w:left="1280" w:hanging="634"/>
        <w:spacing w:after="0" w:line="261" w:lineRule="auto"/>
        <w:tabs>
          <w:tab w:leader="none" w:pos="1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the Loss Proceeds Offer, Asset Sale Offer, LNG SPA Termination Offer or PLD Proceeds Offer, as applicable, is being made pursuant to this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Sections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as applicable, and the length of time the Loss Proceeds Offer, Asset Sale Offer, LNG SPA Termination Offer or PLD Proceeds Offer, as applicable, will remain open;</w:t>
      </w:r>
    </w:p>
    <w:p>
      <w:pPr>
        <w:spacing w:after="0" w:line="154"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Offer Amount, the purchase price and the Purchase Date;</w:t>
      </w:r>
    </w:p>
    <w:p>
      <w:pPr>
        <w:spacing w:after="0" w:line="215"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tendered or accepted for payment will continue to accrete or accrue interest;</w:t>
      </w:r>
    </w:p>
    <w:p>
      <w:pPr>
        <w:spacing w:after="0" w:line="202"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making such payment, any Note accepted for payment pursuant to the Loss Proceeds Offer, Asset Sale Offer, LNG SPA Termination Offer or PLD Proceeds Offer, as applicable, will cease to accrete or accrue interest after the Purchase Date;</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57" w:lineRule="auto"/>
        <w:tabs>
          <w:tab w:leader="none" w:pos="1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electing to have a Note purchased pursuant to a Loss Proceeds Offer, Asset Sale Offer, LNG SPA Termination Offer or PLD Proceeds Offer, as applicable, may elect to have Notes purchased in amounts of $100,000 or whole multiples of $1,000 in excess thereof; except that if all of the Notes of a Noteholder are to be purchased, the entire outstanding amount of Notes held by such Noteholder, even if not in the amount of $100,000 or a whole multiple of $1,000 thereof, shall be purchased;</w:t>
      </w:r>
    </w:p>
    <w:p>
      <w:pPr>
        <w:spacing w:after="0" w:line="159"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7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electing to have Notes purchased pursuant to a Loss Proceeds Offer, Asset Sale Offer, LNG SPA Termination Offer or PLD Proceeds Offer, as applicable, will be required to surrender the Note, with the form entitled “</w:t>
      </w:r>
      <w:r>
        <w:rPr>
          <w:rFonts w:ascii="Times New Roman" w:cs="Times New Roman" w:eastAsia="Times New Roman" w:hAnsi="Times New Roman"/>
          <w:sz w:val="20"/>
          <w:szCs w:val="20"/>
          <w:i w:val="1"/>
          <w:iCs w:val="1"/>
          <w:color w:val="auto"/>
        </w:rPr>
        <w:t>Option of Noteholder to Elect Purchase</w:t>
      </w:r>
      <w:r>
        <w:rPr>
          <w:rFonts w:ascii="Times New Roman" w:cs="Times New Roman" w:eastAsia="Times New Roman" w:hAnsi="Times New Roman"/>
          <w:sz w:val="20"/>
          <w:szCs w:val="20"/>
          <w:color w:val="auto"/>
        </w:rPr>
        <w:t>” attached to the Notes completed, or transfer by book-entry transfer, to the Company or a Paying Agent at the address specified in the notice at least three days before the Purchase Date;</w:t>
      </w:r>
    </w:p>
    <w:p>
      <w:pPr>
        <w:spacing w:after="0" w:line="158"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7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will be entitled to withdraw their election if the Company or the Paying Agent, as the case may be, receives, not later than the expiration of the Offer Period, electronically or by mail a notice setting forth the name of the Noteholder, the principal amount of the Note the Noteholder delivered for purchase and a statement that such Noteholder is withdrawing his election to have such Note purchased;</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63" w:lineRule="auto"/>
        <w:tabs>
          <w:tab w:leader="none" w:pos="127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if the aggregate principal amount of Notes and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Indebtedness surrendered by Noteholders thereof, if applicable, exceeds the Offer Amount, the Notes, and such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Indebtedness, shall be purchased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and the Trustee will select the Notes or portions thereof to be purchased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and</w:t>
      </w:r>
    </w:p>
    <w:p>
      <w:pPr>
        <w:spacing w:after="0" w:line="165"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whose Notes were purchased only in part will be issued new Notes equal in principal amount to the unpurchased portion of the Notes surrendered (or transferred by book-entry transfer) and with a Payment Schedule reflecting the adjustments set forth in the Payment Schedule.</w:t>
      </w:r>
    </w:p>
    <w:p>
      <w:pPr>
        <w:spacing w:after="0" w:line="150"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 xml:space="preserve">On or before the Purchase Date, the Company will, to the extent lawful, accept for payment,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to the extent necessary, the Offer Amount of Notes or portions thereof tendered pursuant to the Loss Proceeds Offer, Asset Sale Offer, LNG SPA Termination Offer or PLD Proceeds Offer, as applicable, or if less than the Offer Amount has been tendered, all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73" w:name="page74"/>
    <w:bookmarkEnd w:id="73"/>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tendered, and will deliver or cause to be delivered to the Trustee the Notes properly accepted together with an Officer’s Certificate stating that such Notes or portions thereof were accepted for payment by the Company in accordance with the terms of this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The Company or the Paying Agent, as the case may be, will promptly (but in any case not later than five days after the Purchase Date) mail or deliver to each tendering Noteholder an amount equal to the purchase price of the Notes tendered by such Noteholder and accepted by the Company for purchase, and the Company will promptly issue a new Note, and the Trustee, upon written request from the Company, will authenticate and mail or deliver (or cause to be transferred by book entry) such new Note to such Noteholder, in a principal amount equal to any unpurchased portion of the Note surrendered. Any Note not so accepted shall be promptly mailed or delivered by the Company or the Trustee to the Noteholder thereof.</w:t>
      </w:r>
    </w:p>
    <w:p>
      <w:pPr>
        <w:spacing w:after="0" w:line="164" w:lineRule="exact"/>
        <w:rPr>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The Company undertakes to perform and comply with each of the covenants in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u w:val="single" w:color="auto"/>
          <w:color w:val="auto"/>
        </w:rPr>
        <w:t>Payment of Notes</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The Company will pay or cause to be paid the principal of, premium, if any, and interest on the Notes on the dates and in the manner provided in this Indenture and in the Notes, including the Payment Schedule as it may be adjusted from time to time as set forth therein. Principal, premium, if any, and interest will be considered paid on the date due if the Paying Agent, if other than the Company, holds as of 12:00 p.m. New York City time on the due date money deposited by the Company in immediately available funds and designated for and sufficient to pay all principal, premium, if any, and interest then due.</w:t>
      </w:r>
    </w:p>
    <w:p>
      <w:pPr>
        <w:spacing w:after="0" w:line="15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Company will pay interest (including post-petition interest in any proceeding under any Debtor Relief Law) on overdue principal at the rate equal to 2.0% per annum in excess of the then applicable interest rate on the Notes to the extent lawful; it will pay interest (including post-petition interest in any proceeding under any Debtor Relief Law) on overdue installments of interest (without regard to any applicable grace period) at the same rate to the extent lawful.</w:t>
      </w:r>
    </w:p>
    <w:p>
      <w:pPr>
        <w:spacing w:after="0" w:line="15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a payment date is not a Business Day at a place of payment, payment may be made at that place on the next succeeding day that is a Business Day. Interest will be computed on the basis of a 360-day year of twelve 30-day months and will be payable semi-annually on the basis of six 30-day months.</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Maintenance of Office or Agency</w:t>
      </w:r>
    </w:p>
    <w:p>
      <w:pPr>
        <w:spacing w:after="0" w:line="216"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Company will maintain in the United States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77"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The Company may also from time to time designate one or more other offices or agencies where the Notes may be presented or surrendered for any or all such purposes and may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74" w:name="page75"/>
    <w:bookmarkEnd w:id="74"/>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time rescind such designations;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designation or rescission will in any manner relieve the Company of its obligation to maintain an office or agency in the United States for such purposes. The Company will give written notice to the Trustee of any such designation or rescission and of any change in the location of any such other office or agency.</w:t>
      </w:r>
    </w:p>
    <w:p>
      <w:pPr>
        <w:spacing w:after="0" w:line="154"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The Company hereby designates the Corporate Trust Office of the Trustee as one such office or agency of the Company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Reports</w:t>
      </w:r>
    </w:p>
    <w:p>
      <w:pPr>
        <w:spacing w:after="0" w:line="216" w:lineRule="exact"/>
        <w:rPr>
          <w:sz w:val="20"/>
          <w:szCs w:val="20"/>
          <w:color w:val="auto"/>
        </w:rPr>
      </w:pPr>
    </w:p>
    <w:p>
      <w:pPr>
        <w:jc w:val="both"/>
        <w:ind w:left="1280" w:hanging="634"/>
        <w:spacing w:after="0" w:line="253" w:lineRule="auto"/>
        <w:tabs>
          <w:tab w:leader="none" w:pos="12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becomes subject to the reporting requirements of Section 13 or 15(d) of the Exchange Act, then the Company shall file with the Trustee within fifteen days after the Company files them with the SEC, copies of its annual reports and of the information, documents and other reports (or copies of such portions of any of the foregoing as the SEC may by rules and regulations prescribe) that the Company is required to file with the SEC pursuant to Section 13 or 15(d) of the Exchange Act.</w:t>
      </w:r>
    </w:p>
    <w:p>
      <w:pPr>
        <w:spacing w:after="0" w:line="160" w:lineRule="exact"/>
        <w:rPr>
          <w:rFonts w:ascii="Times New Roman" w:cs="Times New Roman" w:eastAsia="Times New Roman" w:hAnsi="Times New Roman"/>
          <w:sz w:val="20"/>
          <w:szCs w:val="20"/>
          <w:color w:val="auto"/>
        </w:rPr>
      </w:pPr>
    </w:p>
    <w:p>
      <w:pPr>
        <w:jc w:val="both"/>
        <w:ind w:left="1280" w:hanging="634"/>
        <w:spacing w:after="0" w:line="263" w:lineRule="auto"/>
        <w:tabs>
          <w:tab w:leader="none" w:pos="127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any Notes are outstanding, the Company will furnish to the Noteholders and to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securities analysts and </w:t>
      </w:r>
      <w:r>
        <w:rPr>
          <w:rFonts w:ascii="Times New Roman" w:cs="Times New Roman" w:eastAsia="Times New Roman" w:hAnsi="Times New Roman"/>
          <w:sz w:val="20"/>
          <w:szCs w:val="20"/>
          <w:i w:val="1"/>
          <w:iCs w:val="1"/>
          <w:color w:val="auto"/>
        </w:rPr>
        <w:t xml:space="preserve">bona fide </w:t>
      </w:r>
      <w:r>
        <w:rPr>
          <w:rFonts w:ascii="Times New Roman" w:cs="Times New Roman" w:eastAsia="Times New Roman" w:hAnsi="Times New Roman"/>
          <w:sz w:val="20"/>
          <w:szCs w:val="20"/>
          <w:color w:val="auto"/>
        </w:rPr>
        <w:t>prospective investors in the Notes, upon their request, the information required to be delivered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Rule 144A(d)(4) under the Securities Act (or any successor provision thereto) (“</w:t>
      </w:r>
      <w:r>
        <w:rPr>
          <w:rFonts w:ascii="Times New Roman" w:cs="Times New Roman" w:eastAsia="Times New Roman" w:hAnsi="Times New Roman"/>
          <w:sz w:val="20"/>
          <w:szCs w:val="20"/>
          <w:b w:val="1"/>
          <w:bCs w:val="1"/>
          <w:color w:val="auto"/>
        </w:rPr>
        <w:t>Rule 144A Information</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jc w:val="both"/>
        <w:ind w:left="1280" w:hanging="634"/>
        <w:spacing w:after="0" w:line="250" w:lineRule="auto"/>
        <w:tabs>
          <w:tab w:leader="none" w:pos="12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any of the Notes are outstanding, in addition to the requirement to furnish Rule 144A Information as provided in the preceding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the Company shall furnish or cause to be furnished to Noteholders and the Trustee (1) annual audited consolidated financial statements of the Company prepared in accordance with GAAP (together with notes thereto and a report thereon by an independent accountant of established national reputation), such statements to be so furnished within 120 days after the end of the Fiscal Year covered thereby and (2) unaudited consolidated financial statements of the Company for each of the first three Fiscal Quarters of each Fiscal Year and the corresponding quarter and year-to-year period of the prior year prepared in all material respects on a basis consistent with the annual consolidated financial statements furnished pursuant to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such statements to be so furnished within sixty days after the end of each such quarter;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Company (or the Trustee at the direction of the Company) shall give each Holder prior written notice, which may be by e-mail, of the posting or filing of any financial statements pursuant to this Section 4.3;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upon request of any holder to receive paper copies of such forms, financial statements, other information and Officer’s Certificates or to receive them by email, the Company will promptly deliver paper copies or email them, as the case may be, to such holder.</w:t>
      </w:r>
    </w:p>
    <w:p>
      <w:pPr>
        <w:spacing w:after="0" w:line="166" w:lineRule="exact"/>
        <w:rPr>
          <w:rFonts w:ascii="Times New Roman" w:cs="Times New Roman" w:eastAsia="Times New Roman" w:hAnsi="Times New Roman"/>
          <w:sz w:val="20"/>
          <w:szCs w:val="20"/>
          <w:color w:val="auto"/>
        </w:rPr>
      </w:pPr>
    </w:p>
    <w:p>
      <w:pPr>
        <w:jc w:val="both"/>
        <w:ind w:left="1280" w:hanging="634"/>
        <w:spacing w:after="0" w:line="253" w:lineRule="auto"/>
        <w:tabs>
          <w:tab w:leader="none" w:pos="127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comply with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by posting the information described herein on a website or online data system no later than the date that the Company is required to provide those reports to the Trustee and maintaining such posting for so long as any Notes remain outstanding. Access to such reports on such website or online data system may be subject to a confidentiality acknowledgment and password protection;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other conditions may be imposed on access to such reports other than a representation by the Person accessing such reports that it is the Trustee, a Noteholder, a </w:t>
      </w:r>
      <w:r>
        <w:rPr>
          <w:rFonts w:ascii="Times New Roman" w:cs="Times New Roman" w:eastAsia="Times New Roman" w:hAnsi="Times New Roman"/>
          <w:sz w:val="20"/>
          <w:szCs w:val="20"/>
          <w:i w:val="1"/>
          <w:iCs w:val="1"/>
          <w:color w:val="auto"/>
        </w:rPr>
        <w:t xml:space="preserve">bona fide </w:t>
      </w:r>
      <w:r>
        <w:rPr>
          <w:rFonts w:ascii="Times New Roman" w:cs="Times New Roman" w:eastAsia="Times New Roman" w:hAnsi="Times New Roman"/>
          <w:sz w:val="20"/>
          <w:szCs w:val="20"/>
          <w:color w:val="auto"/>
        </w:rPr>
        <w:t>prospective investor or a</w:t>
      </w:r>
      <w:r>
        <w:rPr>
          <w:rFonts w:ascii="Times New Roman" w:cs="Times New Roman" w:eastAsia="Times New Roman" w:hAnsi="Times New Roman"/>
          <w:sz w:val="20"/>
          <w:szCs w:val="20"/>
          <w:i w:val="1"/>
          <w:iCs w:val="1"/>
          <w:color w:val="auto"/>
        </w:rPr>
        <w:t xml:space="preserve"> bona fide </w:t>
      </w:r>
      <w:r>
        <w:rPr>
          <w:rFonts w:ascii="Times New Roman" w:cs="Times New Roman" w:eastAsia="Times New Roman" w:hAnsi="Times New Roman"/>
          <w:sz w:val="20"/>
          <w:szCs w:val="20"/>
          <w:color w:val="auto"/>
        </w:rPr>
        <w:t>securities analyst.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75" w:name="page76"/>
    <w:bookmarkEnd w:id="75"/>
    <w:p>
      <w:pPr>
        <w:jc w:val="both"/>
        <w:ind w:left="1280" w:hanging="634"/>
        <w:spacing w:after="0" w:line="258" w:lineRule="auto"/>
        <w:tabs>
          <w:tab w:leader="none" w:pos="12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such reports, information and documents to the Trustee is for informational purposes only and the Trustee’s receipt of such shall not constitute actual or constructive knowledge or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58"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any reports or other information required to be filed, delivered or furnished pursuant to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shall be deemed filed, delivered or furnished if filed electronically with the SEC through the SEC’s Electronic Data Gathering, Analysis and Retrieval System (or any successor system).</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57" w:lineRule="auto"/>
        <w:tabs>
          <w:tab w:leader="none" w:pos="127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following receipt from the Company or the P1 Intercreditor Agent, shall furnish or cause to be furnished to each Noteholder such information as the Trustee receives pursuant to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or from the P1 Intercreditor Agent pursuant to Article 6 (</w:t>
      </w:r>
      <w:r>
        <w:rPr>
          <w:rFonts w:ascii="Times New Roman" w:cs="Times New Roman" w:eastAsia="Times New Roman" w:hAnsi="Times New Roman"/>
          <w:sz w:val="20"/>
          <w:szCs w:val="20"/>
          <w:i w:val="1"/>
          <w:iCs w:val="1"/>
          <w:color w:val="auto"/>
        </w:rPr>
        <w:t>Reporting Requirements</w:t>
      </w:r>
      <w:r>
        <w:rPr>
          <w:rFonts w:ascii="Times New Roman" w:cs="Times New Roman" w:eastAsia="Times New Roman" w:hAnsi="Times New Roman"/>
          <w:sz w:val="20"/>
          <w:szCs w:val="20"/>
          <w:color w:val="auto"/>
        </w:rPr>
        <w:t>) of the Common Terms Agreement, in each case, promptly after receipt of such information by the Trustee, unless such information is required to be delivered by the Company directly to the Noteholders pursuant to this Indenture.</w:t>
      </w:r>
    </w:p>
    <w:p>
      <w:pPr>
        <w:spacing w:after="0" w:line="159" w:lineRule="exact"/>
        <w:rPr>
          <w:rFonts w:ascii="Times New Roman" w:cs="Times New Roman" w:eastAsia="Times New Roman" w:hAnsi="Times New Roman"/>
          <w:sz w:val="20"/>
          <w:szCs w:val="20"/>
          <w:color w:val="auto"/>
        </w:rPr>
      </w:pPr>
    </w:p>
    <w:p>
      <w:pPr>
        <w:jc w:val="both"/>
        <w:ind w:left="1280" w:hanging="634"/>
        <w:spacing w:after="0" w:line="276" w:lineRule="auto"/>
        <w:tabs>
          <w:tab w:leader="none" w:pos="1277"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promptly, and in any event within five Business Days, after receipt from the CASA Advisor (as defined in the P1 CASA), deliver to the Trustee and the Noteholders a copy of any material written statement, budget, plan or reports and any notice pursuant to Section 5.5 (</w:t>
      </w:r>
      <w:r>
        <w:rPr>
          <w:rFonts w:ascii="Times New Roman" w:cs="Times New Roman" w:eastAsia="Times New Roman" w:hAnsi="Times New Roman"/>
          <w:sz w:val="19"/>
          <w:szCs w:val="19"/>
          <w:i w:val="1"/>
          <w:iCs w:val="1"/>
          <w:color w:val="auto"/>
        </w:rPr>
        <w:t>Variance in a P1 Services Budget</w:t>
      </w:r>
      <w:r>
        <w:rPr>
          <w:rFonts w:ascii="Times New Roman" w:cs="Times New Roman" w:eastAsia="Times New Roman" w:hAnsi="Times New Roman"/>
          <w:sz w:val="19"/>
          <w:szCs w:val="19"/>
          <w:color w:val="auto"/>
        </w:rPr>
        <w:t>) of the P1 CASA, in each case, delivered to the Company under the P1 CASA (including any such statements, budget, plan or report with respect to the Rio Grande Facility).</w:t>
      </w:r>
    </w:p>
    <w:p>
      <w:pPr>
        <w:spacing w:after="0" w:line="142" w:lineRule="exact"/>
        <w:rPr>
          <w:rFonts w:ascii="Times New Roman" w:cs="Times New Roman" w:eastAsia="Times New Roman" w:hAnsi="Times New Roman"/>
          <w:sz w:val="19"/>
          <w:szCs w:val="19"/>
          <w:color w:val="auto"/>
        </w:rPr>
      </w:pPr>
    </w:p>
    <w:p>
      <w:pPr>
        <w:jc w:val="both"/>
        <w:ind w:left="1280" w:hanging="634"/>
        <w:spacing w:after="0" w:line="257" w:lineRule="auto"/>
        <w:tabs>
          <w:tab w:leader="none" w:pos="127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thirty days after the end of each month up to and including the month during which the Project Completion Date occurs, the Company shall deliver to the Trustee and Noteholders a monthly construction report from the Independent Engineer regarding the construction activities in relation to the Project carried out during such month based on the report delivered by the CASA Advisor under Section 3.3(j) (</w:t>
      </w:r>
      <w:r>
        <w:rPr>
          <w:rFonts w:ascii="Times New Roman" w:cs="Times New Roman" w:eastAsia="Times New Roman" w:hAnsi="Times New Roman"/>
          <w:sz w:val="20"/>
          <w:szCs w:val="20"/>
          <w:i w:val="1"/>
          <w:iCs w:val="1"/>
          <w:color w:val="auto"/>
        </w:rPr>
        <w:t>Requirements of Independent Engineers</w:t>
      </w:r>
      <w:r>
        <w:rPr>
          <w:rFonts w:ascii="Times New Roman" w:cs="Times New Roman" w:eastAsia="Times New Roman" w:hAnsi="Times New Roman"/>
          <w:sz w:val="20"/>
          <w:szCs w:val="20"/>
          <w:color w:val="auto"/>
        </w:rPr>
        <w:t>) of the P1 CASA and such other information reasonably requested by the Independent Engineer.</w:t>
      </w:r>
    </w:p>
    <w:p>
      <w:pPr>
        <w:spacing w:after="0" w:line="159"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promptly, and in any event within five Business Days, after receipt from the Operator, deliver to the Trustee and the Noteholders a copy of any annual reports delivered pursuant to Section 3.7.4 (</w:t>
      </w:r>
      <w:r>
        <w:rPr>
          <w:rFonts w:ascii="Times New Roman" w:cs="Times New Roman" w:eastAsia="Times New Roman" w:hAnsi="Times New Roman"/>
          <w:sz w:val="20"/>
          <w:szCs w:val="20"/>
          <w:i w:val="1"/>
          <w:iCs w:val="1"/>
          <w:color w:val="auto"/>
        </w:rPr>
        <w:t>Annual Reports</w:t>
      </w:r>
      <w:r>
        <w:rPr>
          <w:rFonts w:ascii="Times New Roman" w:cs="Times New Roman" w:eastAsia="Times New Roman" w:hAnsi="Times New Roman"/>
          <w:sz w:val="20"/>
          <w:szCs w:val="20"/>
          <w:color w:val="auto"/>
        </w:rPr>
        <w:t>) of the O&amp;M Agreement delivered to the Company under the O&amp;M Agreement.</w:t>
      </w:r>
    </w:p>
    <w:p>
      <w:pPr>
        <w:spacing w:after="0" w:line="154"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w:t>
      </w:r>
    </w:p>
    <w:p>
      <w:pPr>
        <w:spacing w:after="0" w:line="229" w:lineRule="exact"/>
        <w:rPr>
          <w:rFonts w:ascii="Times New Roman" w:cs="Times New Roman" w:eastAsia="Times New Roman" w:hAnsi="Times New Roman"/>
          <w:sz w:val="20"/>
          <w:szCs w:val="20"/>
          <w:color w:val="auto"/>
        </w:rPr>
      </w:pPr>
    </w:p>
    <w:p>
      <w:pPr>
        <w:ind w:left="1920" w:hanging="636"/>
        <w:spacing w:after="0" w:line="269" w:lineRule="auto"/>
        <w:tabs>
          <w:tab w:leader="none" w:pos="1915"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unless otherwise specified, deliver within five Business Days after the Company obtains Knowledge of any of the following, written notice to the Trustee of:</w:t>
      </w:r>
    </w:p>
    <w:p>
      <w:pPr>
        <w:spacing w:after="0" w:line="159" w:lineRule="exact"/>
        <w:rPr>
          <w:rFonts w:ascii="Times New Roman" w:cs="Times New Roman" w:eastAsia="Times New Roman" w:hAnsi="Times New Roman"/>
          <w:sz w:val="20"/>
          <w:szCs w:val="20"/>
          <w:color w:val="auto"/>
        </w:rPr>
      </w:pPr>
    </w:p>
    <w:p>
      <w:pPr>
        <w:jc w:val="both"/>
        <w:ind w:left="2560" w:hanging="639"/>
        <w:spacing w:after="0" w:line="261" w:lineRule="auto"/>
        <w:tabs>
          <w:tab w:leader="none" w:pos="2548"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cessation of material activities related to the development, construction, operation and/or maintenance of the Project not otherwise reflected in the Construction Budget and Schedule and that could reasonably be expected to exceed sixty consecutive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76" w:name="page77"/>
    <w:bookmarkEnd w:id="76"/>
    <w:p>
      <w:pPr>
        <w:ind w:left="2560" w:right="20" w:hanging="639"/>
        <w:spacing w:after="0" w:line="283" w:lineRule="auto"/>
        <w:tabs>
          <w:tab w:leader="none" w:pos="255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ultimate beneficial ownership information of the Company required to be provided in the Beneficial Ownership Certification most recently delivered to the Noteholders;</w:t>
      </w:r>
    </w:p>
    <w:p>
      <w:pPr>
        <w:spacing w:after="0" w:line="132" w:lineRule="exact"/>
        <w:rPr>
          <w:rFonts w:ascii="Times New Roman" w:cs="Times New Roman" w:eastAsia="Times New Roman" w:hAnsi="Times New Roman"/>
          <w:sz w:val="20"/>
          <w:szCs w:val="20"/>
          <w:color w:val="auto"/>
        </w:rPr>
      </w:pPr>
    </w:p>
    <w:p>
      <w:pPr>
        <w:jc w:val="both"/>
        <w:ind w:left="2560" w:hanging="639"/>
        <w:spacing w:after="0" w:line="253" w:lineRule="auto"/>
        <w:tabs>
          <w:tab w:leader="none" w:pos="255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occurrence or circumstance that could reasonably be expected to cause (i) an increase of more than $150,000,000 individually or in the aggregate in P1 Project Costs or (ii) the actual expenditure with respect to any category of expenditure or any line item contained in the Annual Facility Budget to exceed the budgeted amount set forth in the Annual Facility Budget by any amount that would give rise to a vote of one or more Liquefaction Owners pursuant to the CFAA;</w:t>
      </w:r>
    </w:p>
    <w:p>
      <w:pPr>
        <w:spacing w:after="0" w:line="164" w:lineRule="exact"/>
        <w:rPr>
          <w:rFonts w:ascii="Times New Roman" w:cs="Times New Roman" w:eastAsia="Times New Roman" w:hAnsi="Times New Roman"/>
          <w:sz w:val="20"/>
          <w:szCs w:val="20"/>
          <w:color w:val="auto"/>
        </w:rPr>
      </w:pPr>
    </w:p>
    <w:p>
      <w:pPr>
        <w:jc w:val="both"/>
        <w:ind w:left="2560" w:hanging="639"/>
        <w:spacing w:after="0" w:line="253" w:lineRule="auto"/>
        <w:tabs>
          <w:tab w:leader="none" w:pos="254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outage or disability of any Train Facility or Common Facilities for a period of longer than seven days (except for regularly scheduled outages) or (ii) any event which would entitle the Company to receive liquidated damages pursuant to Section 14.2.8 (Subsequent Train Facilities) of the CFAA or to receive and schedule “Default Quantities” pursuant to Section 14.2.9 (Subsequent Train Facilities) of the CFAA, and, in each case, any additional information available to the Company as may be reasonably requested by the P1 Intercreditor Agent in connection therewith;</w:t>
      </w:r>
    </w:p>
    <w:p>
      <w:pPr>
        <w:spacing w:after="0" w:line="178" w:lineRule="exact"/>
        <w:rPr>
          <w:rFonts w:ascii="Times New Roman" w:cs="Times New Roman" w:eastAsia="Times New Roman" w:hAnsi="Times New Roman"/>
          <w:sz w:val="20"/>
          <w:szCs w:val="20"/>
          <w:color w:val="auto"/>
        </w:rPr>
      </w:pPr>
    </w:p>
    <w:p>
      <w:pPr>
        <w:ind w:left="2560" w:right="20" w:hanging="639"/>
        <w:spacing w:after="0" w:line="269" w:lineRule="auto"/>
        <w:tabs>
          <w:tab w:leader="none" w:pos="255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proposed appointment, removal or change in the identity of the Facility Independent Engineer pursuant to the CFAA;</w:t>
      </w:r>
    </w:p>
    <w:p>
      <w:pPr>
        <w:spacing w:after="0" w:line="159" w:lineRule="exact"/>
        <w:rPr>
          <w:rFonts w:ascii="Times New Roman" w:cs="Times New Roman" w:eastAsia="Times New Roman" w:hAnsi="Times New Roman"/>
          <w:sz w:val="20"/>
          <w:szCs w:val="20"/>
          <w:color w:val="auto"/>
        </w:rPr>
      </w:pPr>
    </w:p>
    <w:p>
      <w:pPr>
        <w:ind w:left="2560" w:hanging="639"/>
        <w:spacing w:after="0"/>
        <w:tabs>
          <w:tab w:leader="none" w:pos="256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dispute between the Company and the Pledgor and the relevant tax authorities;</w:t>
      </w:r>
    </w:p>
    <w:p>
      <w:pPr>
        <w:spacing w:after="0" w:line="202" w:lineRule="exact"/>
        <w:rPr>
          <w:rFonts w:ascii="Times New Roman" w:cs="Times New Roman" w:eastAsia="Times New Roman" w:hAnsi="Times New Roman"/>
          <w:sz w:val="20"/>
          <w:szCs w:val="20"/>
          <w:color w:val="auto"/>
        </w:rPr>
      </w:pPr>
    </w:p>
    <w:p>
      <w:pPr>
        <w:jc w:val="both"/>
        <w:ind w:left="2560" w:hanging="639"/>
        <w:spacing w:after="0" w:line="281" w:lineRule="auto"/>
        <w:tabs>
          <w:tab w:leader="none" w:pos="2548"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material litigation, arbitration, administrative proceeding, investigation, claim or proceeding and any material developments with respect thereto, in each case, relating to the Project (i) in which the amount involved is in excess of $150,000,000 or (ii) that could reasonably be expected to have a Material Adverse Effect;</w:t>
      </w:r>
    </w:p>
    <w:p>
      <w:pPr>
        <w:spacing w:after="0" w:line="137" w:lineRule="exact"/>
        <w:rPr>
          <w:rFonts w:ascii="Times New Roman" w:cs="Times New Roman" w:eastAsia="Times New Roman" w:hAnsi="Times New Roman"/>
          <w:sz w:val="19"/>
          <w:szCs w:val="19"/>
          <w:color w:val="auto"/>
        </w:rPr>
      </w:pPr>
    </w:p>
    <w:p>
      <w:pPr>
        <w:ind w:left="2540" w:hanging="619"/>
        <w:spacing w:after="0"/>
        <w:tabs>
          <w:tab w:leader="none" w:pos="254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of commercial exports of LNG from the Rio Grande Facility;</w:t>
      </w:r>
    </w:p>
    <w:p>
      <w:pPr>
        <w:spacing w:after="0" w:line="202" w:lineRule="exact"/>
        <w:rPr>
          <w:rFonts w:ascii="Times New Roman" w:cs="Times New Roman" w:eastAsia="Times New Roman" w:hAnsi="Times New Roman"/>
          <w:sz w:val="20"/>
          <w:szCs w:val="20"/>
          <w:color w:val="auto"/>
        </w:rPr>
      </w:pPr>
    </w:p>
    <w:p>
      <w:pPr>
        <w:ind w:left="2560" w:right="20" w:hanging="639"/>
        <w:spacing w:after="0" w:line="283" w:lineRule="auto"/>
        <w:tabs>
          <w:tab w:leader="none" w:pos="255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ERISA Event that could reasonably be expected to result in material liability to any Loan Party under ERISA or under the Code with respect to any Plan or Multiemployer Plan; and</w:t>
      </w:r>
    </w:p>
    <w:p>
      <w:pPr>
        <w:spacing w:after="0" w:line="132" w:lineRule="exact"/>
        <w:rPr>
          <w:rFonts w:ascii="Times New Roman" w:cs="Times New Roman" w:eastAsia="Times New Roman" w:hAnsi="Times New Roman"/>
          <w:sz w:val="20"/>
          <w:szCs w:val="20"/>
          <w:color w:val="auto"/>
        </w:rPr>
      </w:pPr>
    </w:p>
    <w:p>
      <w:pPr>
        <w:jc w:val="both"/>
        <w:ind w:left="2560" w:hanging="639"/>
        <w:spacing w:after="0" w:line="258" w:lineRule="auto"/>
        <w:tabs>
          <w:tab w:leader="none" w:pos="2549"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any similar notices to those set forth in this Section 4.3(k)(i) or in Section 6.2 (Notice of CTA Default, CTA Event of Default, and Other Events) of the Common Terms Agreement given in connection with additional Working Capital Debt, Replacement Debt or Supplemental Debt, including any notices of any default or event of default under any other Senior Secured Debt Instrument.</w:t>
      </w:r>
    </w:p>
    <w:p>
      <w:pPr>
        <w:spacing w:after="0" w:line="158" w:lineRule="exact"/>
        <w:rPr>
          <w:rFonts w:ascii="Times New Roman" w:cs="Times New Roman" w:eastAsia="Times New Roman" w:hAnsi="Times New Roman"/>
          <w:sz w:val="20"/>
          <w:szCs w:val="20"/>
          <w:color w:val="auto"/>
        </w:rPr>
      </w:pPr>
    </w:p>
    <w:p>
      <w:pPr>
        <w:ind w:left="1920" w:right="60" w:hanging="636"/>
        <w:spacing w:after="0" w:line="283" w:lineRule="auto"/>
        <w:tabs>
          <w:tab w:leader="none" w:pos="191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delivery to any Material Project Party pursuant to a Material Project Document, deliver to the Trustee copies of all material written notices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77" w:name="page78"/>
    <w:bookmarkEnd w:id="77"/>
    <w:p>
      <w:pPr>
        <w:ind w:left="1920" w:right="20"/>
        <w:spacing w:after="0" w:line="261" w:lineRule="auto"/>
        <w:rPr>
          <w:sz w:val="20"/>
          <w:szCs w:val="20"/>
          <w:color w:val="auto"/>
        </w:rPr>
      </w:pPr>
      <w:r>
        <w:rPr>
          <w:rFonts w:ascii="Times New Roman" w:cs="Times New Roman" w:eastAsia="Times New Roman" w:hAnsi="Times New Roman"/>
          <w:sz w:val="20"/>
          <w:szCs w:val="20"/>
          <w:color w:val="auto"/>
        </w:rPr>
        <w:t>other material documents delivered to such Material Project Party by the Company (other than routine written notices or other documents delivered in the ordinary course of the administration of such agreements), including each of the notices set forth on Exhibit I (</w:t>
      </w:r>
      <w:r>
        <w:rPr>
          <w:rFonts w:ascii="Times New Roman" w:cs="Times New Roman" w:eastAsia="Times New Roman" w:hAnsi="Times New Roman"/>
          <w:sz w:val="20"/>
          <w:szCs w:val="20"/>
          <w:i w:val="1"/>
          <w:iCs w:val="1"/>
          <w:color w:val="auto"/>
        </w:rPr>
        <w:t>Rio Grande Facility Notices</w:t>
      </w:r>
      <w:r>
        <w:rPr>
          <w:rFonts w:ascii="Times New Roman" w:cs="Times New Roman" w:eastAsia="Times New Roman" w:hAnsi="Times New Roman"/>
          <w:sz w:val="20"/>
          <w:szCs w:val="20"/>
          <w:color w:val="auto"/>
        </w:rPr>
        <w:t>) to the CFAA;</w:t>
      </w:r>
    </w:p>
    <w:p>
      <w:pPr>
        <w:spacing w:after="0" w:line="181" w:lineRule="exact"/>
        <w:rPr>
          <w:sz w:val="20"/>
          <w:szCs w:val="20"/>
          <w:color w:val="auto"/>
        </w:rPr>
      </w:pPr>
    </w:p>
    <w:p>
      <w:pPr>
        <w:jc w:val="both"/>
        <w:ind w:left="1920" w:hanging="636"/>
        <w:spacing w:after="0" w:line="262" w:lineRule="auto"/>
        <w:tabs>
          <w:tab w:leader="none" w:pos="191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upon such documents becoming available (and, in the case of the documents described in </w:t>
      </w:r>
      <w:r>
        <w:rPr>
          <w:rFonts w:ascii="Times New Roman" w:cs="Times New Roman" w:eastAsia="Times New Roman" w:hAnsi="Times New Roman"/>
          <w:sz w:val="19"/>
          <w:szCs w:val="19"/>
          <w:u w:val="single" w:color="auto"/>
          <w:color w:val="auto"/>
        </w:rPr>
        <w:t>clauses (iv)</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(viii)</w:t>
      </w:r>
      <w:r>
        <w:rPr>
          <w:rFonts w:ascii="Times New Roman" w:cs="Times New Roman" w:eastAsia="Times New Roman" w:hAnsi="Times New Roman"/>
          <w:sz w:val="19"/>
          <w:szCs w:val="19"/>
          <w:color w:val="auto"/>
        </w:rPr>
        <w:t xml:space="preserve"> below, no later than two Business Days following receipt thereof), deliver to the Trustee copies of all material written notices or other material documents received by the Company pursuant to any Material Project Document, other than routine written notices or other documents delivered in the ordinary course of administration of such agreements, but in any event including any notice or other document relating to (i) a failure by the Company to perform any of its material covenants or obligations under such Material Project Document; (ii) termination of a Material Project Document; (iii) a force majeure event under a Material Project Document; (iv) (x) any STF Development Plan (as defined in the Definitions Agreement) received, and, upon finalization, finalized, pursuant to Section 14.2 (</w:t>
      </w:r>
      <w:r>
        <w:rPr>
          <w:rFonts w:ascii="Times New Roman" w:cs="Times New Roman" w:eastAsia="Times New Roman" w:hAnsi="Times New Roman"/>
          <w:sz w:val="19"/>
          <w:szCs w:val="19"/>
          <w:i w:val="1"/>
          <w:iCs w:val="1"/>
          <w:color w:val="auto"/>
        </w:rPr>
        <w:t>Subsequent Train Facilities</w:t>
      </w:r>
      <w:r>
        <w:rPr>
          <w:rFonts w:ascii="Times New Roman" w:cs="Times New Roman" w:eastAsia="Times New Roman" w:hAnsi="Times New Roman"/>
          <w:sz w:val="19"/>
          <w:szCs w:val="19"/>
          <w:color w:val="auto"/>
        </w:rPr>
        <w:t>) of the CFAA (including any Facility Independent Engineer certificate relating thereto) and any additional information or notice of disagreement received or modification proposed pursuant to Section 14.2.5 (</w:t>
      </w:r>
      <w:r>
        <w:rPr>
          <w:rFonts w:ascii="Times New Roman" w:cs="Times New Roman" w:eastAsia="Times New Roman" w:hAnsi="Times New Roman"/>
          <w:sz w:val="19"/>
          <w:szCs w:val="19"/>
          <w:i w:val="1"/>
          <w:iCs w:val="1"/>
          <w:color w:val="auto"/>
        </w:rPr>
        <w:t>Subsequent Train Facilities</w:t>
      </w:r>
      <w:r>
        <w:rPr>
          <w:rFonts w:ascii="Times New Roman" w:cs="Times New Roman" w:eastAsia="Times New Roman" w:hAnsi="Times New Roman"/>
          <w:sz w:val="19"/>
          <w:szCs w:val="19"/>
          <w:color w:val="auto"/>
        </w:rPr>
        <w:t>) of the CFAA (together with any information and documents received in support thereof) and (y) any notice received pursuant to Section 14.2.11 (</w:t>
      </w:r>
      <w:r>
        <w:rPr>
          <w:rFonts w:ascii="Times New Roman" w:cs="Times New Roman" w:eastAsia="Times New Roman" w:hAnsi="Times New Roman"/>
          <w:sz w:val="19"/>
          <w:szCs w:val="19"/>
          <w:i w:val="1"/>
          <w:iCs w:val="1"/>
          <w:color w:val="auto"/>
        </w:rPr>
        <w:t>Subsequent Train Facilities</w:t>
      </w:r>
      <w:r>
        <w:rPr>
          <w:rFonts w:ascii="Times New Roman" w:cs="Times New Roman" w:eastAsia="Times New Roman" w:hAnsi="Times New Roman"/>
          <w:sz w:val="19"/>
          <w:szCs w:val="19"/>
          <w:color w:val="auto"/>
        </w:rPr>
        <w:t>) of the CFAA;</w:t>
      </w:r>
    </w:p>
    <w:p>
      <w:pPr>
        <w:spacing w:after="0" w:line="1" w:lineRule="exact"/>
        <w:rPr>
          <w:rFonts w:ascii="Times New Roman" w:cs="Times New Roman" w:eastAsia="Times New Roman" w:hAnsi="Times New Roman"/>
          <w:sz w:val="19"/>
          <w:szCs w:val="19"/>
          <w:color w:val="auto"/>
        </w:rPr>
      </w:pPr>
    </w:p>
    <w:p>
      <w:pPr>
        <w:jc w:val="both"/>
        <w:ind w:left="1920" w:firstLine="1"/>
        <w:spacing w:after="0" w:line="263" w:lineRule="auto"/>
        <w:tabs>
          <w:tab w:leader="none" w:pos="2217"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any Capital Improvement Plan received, and, upon finalization, finalized, pursuant to Section 14.3 (</w:t>
      </w:r>
      <w:r>
        <w:rPr>
          <w:rFonts w:ascii="Times New Roman" w:cs="Times New Roman" w:eastAsia="Times New Roman" w:hAnsi="Times New Roman"/>
          <w:sz w:val="19"/>
          <w:szCs w:val="19"/>
          <w:i w:val="1"/>
          <w:iCs w:val="1"/>
          <w:color w:val="auto"/>
        </w:rPr>
        <w:t>Capital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Improvements Generally</w:t>
      </w:r>
      <w:r>
        <w:rPr>
          <w:rFonts w:ascii="Times New Roman" w:cs="Times New Roman" w:eastAsia="Times New Roman" w:hAnsi="Times New Roman"/>
          <w:sz w:val="19"/>
          <w:szCs w:val="19"/>
          <w:color w:val="auto"/>
        </w:rPr>
        <w:t>) of the CFAA (including any Facility Independent Engineer certificate relating thereto) and</w:t>
      </w:r>
    </w:p>
    <w:p>
      <w:pPr>
        <w:jc w:val="both"/>
        <w:ind w:left="1920" w:firstLine="1"/>
        <w:spacing w:after="0" w:line="249" w:lineRule="auto"/>
        <w:tabs>
          <w:tab w:leader="none" w:pos="2243"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Facility Independent Engineer confirmation received pursuant to Section 14.3.6 (</w:t>
      </w:r>
      <w:r>
        <w:rPr>
          <w:rFonts w:ascii="Times New Roman" w:cs="Times New Roman" w:eastAsia="Times New Roman" w:hAnsi="Times New Roman"/>
          <w:sz w:val="20"/>
          <w:szCs w:val="20"/>
          <w:i w:val="1"/>
          <w:iCs w:val="1"/>
          <w:color w:val="auto"/>
        </w:rPr>
        <w:t>Capital Improvements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Generally</w:t>
      </w:r>
      <w:r>
        <w:rPr>
          <w:rFonts w:ascii="Times New Roman" w:cs="Times New Roman" w:eastAsia="Times New Roman" w:hAnsi="Times New Roman"/>
          <w:sz w:val="20"/>
          <w:szCs w:val="20"/>
          <w:color w:val="auto"/>
        </w:rPr>
        <w:t>) of the CFAA; (vi) (x) any Restoration Plan received, and, upon finalization, finalized,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22.1 (</w:t>
      </w:r>
      <w:r>
        <w:rPr>
          <w:rFonts w:ascii="Times New Roman" w:cs="Times New Roman" w:eastAsia="Times New Roman" w:hAnsi="Times New Roman"/>
          <w:sz w:val="20"/>
          <w:szCs w:val="20"/>
          <w:i w:val="1"/>
          <w:iCs w:val="1"/>
          <w:color w:val="auto"/>
        </w:rPr>
        <w:t>Notice; Restoration Plan</w:t>
      </w:r>
      <w:r>
        <w:rPr>
          <w:rFonts w:ascii="Times New Roman" w:cs="Times New Roman" w:eastAsia="Times New Roman" w:hAnsi="Times New Roman"/>
          <w:sz w:val="20"/>
          <w:szCs w:val="20"/>
          <w:color w:val="auto"/>
        </w:rPr>
        <w:t>) of the CFAA (including any Facility Independent Engineer certificate relating thereto) and (y) any Facility Independent Engineer confirmation received pursuant to Section 22.2.3 (</w:t>
      </w:r>
      <w:r>
        <w:rPr>
          <w:rFonts w:ascii="Times New Roman" w:cs="Times New Roman" w:eastAsia="Times New Roman" w:hAnsi="Times New Roman"/>
          <w:sz w:val="20"/>
          <w:szCs w:val="20"/>
          <w:i w:val="1"/>
          <w:iCs w:val="1"/>
          <w:color w:val="auto"/>
        </w:rPr>
        <w:t>Events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of Loss Affecting Common Facilities</w:t>
      </w:r>
      <w:r>
        <w:rPr>
          <w:rFonts w:ascii="Times New Roman" w:cs="Times New Roman" w:eastAsia="Times New Roman" w:hAnsi="Times New Roman"/>
          <w:sz w:val="20"/>
          <w:szCs w:val="20"/>
          <w:color w:val="auto"/>
        </w:rPr>
        <w:t>) of the CFAA; (vii) each of the notices set forth on Exhibit I (</w:t>
      </w:r>
      <w:r>
        <w:rPr>
          <w:rFonts w:ascii="Times New Roman" w:cs="Times New Roman" w:eastAsia="Times New Roman" w:hAnsi="Times New Roman"/>
          <w:sz w:val="20"/>
          <w:szCs w:val="20"/>
          <w:i w:val="1"/>
          <w:iCs w:val="1"/>
          <w:color w:val="auto"/>
        </w:rPr>
        <w:t>Rio Grande Facility Notices</w:t>
      </w:r>
      <w:r>
        <w:rPr>
          <w:rFonts w:ascii="Times New Roman" w:cs="Times New Roman" w:eastAsia="Times New Roman" w:hAnsi="Times New Roman"/>
          <w:sz w:val="20"/>
          <w:szCs w:val="20"/>
          <w:color w:val="auto"/>
        </w:rPr>
        <w:t>) to the CFAA; and (viii) each of the notices set forth in Section 2.2.3 (</w:t>
      </w:r>
      <w:r>
        <w:rPr>
          <w:rFonts w:ascii="Times New Roman" w:cs="Times New Roman" w:eastAsia="Times New Roman" w:hAnsi="Times New Roman"/>
          <w:sz w:val="20"/>
          <w:szCs w:val="20"/>
          <w:i w:val="1"/>
          <w:iCs w:val="1"/>
          <w:color w:val="auto"/>
        </w:rPr>
        <w:t>Delivery of Notices</w:t>
      </w:r>
      <w:r>
        <w:rPr>
          <w:rFonts w:ascii="Times New Roman" w:cs="Times New Roman" w:eastAsia="Times New Roman" w:hAnsi="Times New Roman"/>
          <w:sz w:val="20"/>
          <w:szCs w:val="20"/>
          <w:color w:val="auto"/>
        </w:rPr>
        <w: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PAAA;</w:t>
      </w:r>
    </w:p>
    <w:p>
      <w:pPr>
        <w:spacing w:after="0" w:line="171" w:lineRule="exact"/>
        <w:rPr>
          <w:sz w:val="20"/>
          <w:szCs w:val="20"/>
          <w:color w:val="auto"/>
        </w:rPr>
      </w:pPr>
    </w:p>
    <w:p>
      <w:pPr>
        <w:jc w:val="both"/>
        <w:ind w:left="1920" w:hanging="636"/>
        <w:spacing w:after="0" w:line="258" w:lineRule="auto"/>
        <w:tabs>
          <w:tab w:leader="none" w:pos="19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receipt from the P1 CASA Advisor, deliver to the Trustee and the Independent Engineer a copy of any material written statement, budget, plan or reports delivered to the Company under the P1 CASA (including any such statements, budget, plan or report with respect to the Rio Grande Facility);</w:t>
      </w:r>
    </w:p>
    <w:p>
      <w:pPr>
        <w:spacing w:after="0" w:line="172" w:lineRule="exact"/>
        <w:rPr>
          <w:rFonts w:ascii="Times New Roman" w:cs="Times New Roman" w:eastAsia="Times New Roman" w:hAnsi="Times New Roman"/>
          <w:sz w:val="20"/>
          <w:szCs w:val="20"/>
          <w:color w:val="auto"/>
        </w:rPr>
      </w:pPr>
    </w:p>
    <w:p>
      <w:pPr>
        <w:jc w:val="both"/>
        <w:ind w:left="1920" w:hanging="636"/>
        <w:spacing w:after="0" w:line="257" w:lineRule="auto"/>
        <w:tabs>
          <w:tab w:leader="none" w:pos="191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thirty days after the end of each month up to and including the month during which the Project Completion Date occurs, deliver to the Trustee a monthly construction report from the Independent Engineer regarding the construction activities in relation to the Project carried out during such month based on the report delivered by the P1 CASA Advisor under Section 3.3(j) (</w:t>
      </w:r>
      <w:r>
        <w:rPr>
          <w:rFonts w:ascii="Times New Roman" w:cs="Times New Roman" w:eastAsia="Times New Roman" w:hAnsi="Times New Roman"/>
          <w:sz w:val="20"/>
          <w:szCs w:val="20"/>
          <w:i w:val="1"/>
          <w:iCs w:val="1"/>
          <w:color w:val="auto"/>
        </w:rPr>
        <w:t>Requirements of Independent Engineers</w:t>
      </w:r>
      <w:r>
        <w:rPr>
          <w:rFonts w:ascii="Times New Roman" w:cs="Times New Roman" w:eastAsia="Times New Roman" w:hAnsi="Times New Roman"/>
          <w:sz w:val="20"/>
          <w:szCs w:val="20"/>
          <w:color w:val="auto"/>
        </w:rPr>
        <w:t>) of the P1 CASA and such other information reasonably requested by the Independent Engineer;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78" w:name="page79"/>
    <w:bookmarkEnd w:id="78"/>
    <w:p>
      <w:pPr>
        <w:jc w:val="both"/>
        <w:ind w:left="1920" w:hanging="636"/>
        <w:spacing w:after="0" w:line="258" w:lineRule="auto"/>
        <w:tabs>
          <w:tab w:leader="none" w:pos="19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receipt from the P1 EPC Contractor, deliver to the Trustee and the Independent Engineer a copy of the Substantial Completion Certificate (as defined in each of the P1 EPC Contracts) with respect to each of “Train 1”, as defined in the T1/T2 EPC Contract , “Train 2”, as defined in the T1/T2 EPC Contract, and “Train 3”, as defined in the T3 EPC Contract;</w:t>
      </w:r>
    </w:p>
    <w:p>
      <w:pPr>
        <w:spacing w:after="0" w:line="158" w:lineRule="exact"/>
        <w:rPr>
          <w:rFonts w:ascii="Times New Roman" w:cs="Times New Roman" w:eastAsia="Times New Roman" w:hAnsi="Times New Roman"/>
          <w:sz w:val="20"/>
          <w:szCs w:val="20"/>
          <w:color w:val="auto"/>
        </w:rPr>
      </w:pPr>
    </w:p>
    <w:p>
      <w:pPr>
        <w:jc w:val="both"/>
        <w:ind w:left="1920" w:hanging="636"/>
        <w:spacing w:after="0" w:line="276" w:lineRule="auto"/>
        <w:tabs>
          <w:tab w:leader="none" w:pos="1907"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and in any event within five Business Days, after receipt from the Operator, deliver to the Trustee and the Independent Engineer a copy of any operating and other reports (including production and maintenance forecasts, quarterly operating statements and monthly, semi-annual and annual operating reports and any other reports delivered pursuant to Section 3.7 (</w:t>
      </w:r>
      <w:r>
        <w:rPr>
          <w:rFonts w:ascii="Times New Roman" w:cs="Times New Roman" w:eastAsia="Times New Roman" w:hAnsi="Times New Roman"/>
          <w:sz w:val="19"/>
          <w:szCs w:val="19"/>
          <w:i w:val="1"/>
          <w:iCs w:val="1"/>
          <w:color w:val="auto"/>
        </w:rPr>
        <w:t>Reports</w:t>
      </w:r>
      <w:r>
        <w:rPr>
          <w:rFonts w:ascii="Times New Roman" w:cs="Times New Roman" w:eastAsia="Times New Roman" w:hAnsi="Times New Roman"/>
          <w:sz w:val="19"/>
          <w:szCs w:val="19"/>
          <w:color w:val="auto"/>
        </w:rPr>
        <w:t>) of the O&amp;M Agreement) delivered to the Company under the O&amp;M Agreement;</w:t>
      </w:r>
    </w:p>
    <w:p>
      <w:pPr>
        <w:spacing w:after="0" w:line="156" w:lineRule="exact"/>
        <w:rPr>
          <w:rFonts w:ascii="Times New Roman" w:cs="Times New Roman" w:eastAsia="Times New Roman" w:hAnsi="Times New Roman"/>
          <w:sz w:val="19"/>
          <w:szCs w:val="19"/>
          <w:color w:val="auto"/>
        </w:rPr>
      </w:pPr>
    </w:p>
    <w:p>
      <w:pPr>
        <w:ind w:left="1900" w:hanging="616"/>
        <w:spacing w:after="0"/>
        <w:tabs>
          <w:tab w:leader="none" w:pos="19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the Trustee:</w:t>
      </w:r>
    </w:p>
    <w:p>
      <w:pPr>
        <w:spacing w:after="0" w:line="229" w:lineRule="exact"/>
        <w:rPr>
          <w:rFonts w:ascii="Times New Roman" w:cs="Times New Roman" w:eastAsia="Times New Roman" w:hAnsi="Times New Roman"/>
          <w:sz w:val="20"/>
          <w:szCs w:val="20"/>
          <w:color w:val="auto"/>
        </w:rPr>
      </w:pPr>
    </w:p>
    <w:p>
      <w:pPr>
        <w:jc w:val="both"/>
        <w:ind w:left="2560" w:hanging="639"/>
        <w:spacing w:after="0" w:line="261" w:lineRule="auto"/>
        <w:tabs>
          <w:tab w:leader="none" w:pos="254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the filing thereof, a copy of each filing made by (i) the Company with FERC with respect to the Project and (ii) with DOE/FE with respect to the export of LNG from, or the import of LNG to, the Project, except in the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such as are routine or ministerial in nature;</w:t>
      </w:r>
    </w:p>
    <w:p>
      <w:pPr>
        <w:spacing w:after="0" w:line="154" w:lineRule="exact"/>
        <w:rPr>
          <w:rFonts w:ascii="Times New Roman" w:cs="Times New Roman" w:eastAsia="Times New Roman" w:hAnsi="Times New Roman"/>
          <w:sz w:val="20"/>
          <w:szCs w:val="20"/>
          <w:color w:val="auto"/>
        </w:rPr>
      </w:pPr>
    </w:p>
    <w:p>
      <w:pPr>
        <w:jc w:val="both"/>
        <w:ind w:left="2560" w:hanging="639"/>
        <w:spacing w:after="0" w:line="253" w:lineRule="auto"/>
        <w:tabs>
          <w:tab w:leader="none" w:pos="255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obtaining Knowledge thereof, a copy of each filing with respect to (i) the Project made with FERC by any Person other than the Company in any proceeding before FERC in which the Company is the captioned party or respondent, except for such filings as are routine or ministerial in nature, or (ii) the import of LNG to, or the export of LNG from, the Project made with DOE/FE by any Person other than the Company in any proceeding before DOE/FE in which the Company is the captioned party or respondent, except for such filings as are routine or ministerial in nature;</w:t>
      </w:r>
    </w:p>
    <w:p>
      <w:pPr>
        <w:spacing w:after="0" w:line="178" w:lineRule="exact"/>
        <w:rPr>
          <w:rFonts w:ascii="Times New Roman" w:cs="Times New Roman" w:eastAsia="Times New Roman" w:hAnsi="Times New Roman"/>
          <w:sz w:val="20"/>
          <w:szCs w:val="20"/>
          <w:color w:val="auto"/>
        </w:rPr>
      </w:pPr>
    </w:p>
    <w:p>
      <w:pPr>
        <w:ind w:left="2540" w:hanging="619"/>
        <w:spacing w:after="0"/>
        <w:tabs>
          <w:tab w:leader="none" w:pos="254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amendment to any Material Government Approval, together with a copy of such amendment;</w:t>
      </w:r>
    </w:p>
    <w:p>
      <w:pPr>
        <w:spacing w:after="0" w:line="215" w:lineRule="exact"/>
        <w:rPr>
          <w:rFonts w:ascii="Times New Roman" w:cs="Times New Roman" w:eastAsia="Times New Roman" w:hAnsi="Times New Roman"/>
          <w:sz w:val="20"/>
          <w:szCs w:val="20"/>
          <w:color w:val="auto"/>
        </w:rPr>
      </w:pPr>
    </w:p>
    <w:p>
      <w:pPr>
        <w:jc w:val="both"/>
        <w:ind w:left="2560" w:hanging="639"/>
        <w:spacing w:after="0" w:line="253" w:lineRule="auto"/>
        <w:tabs>
          <w:tab w:leader="none" w:pos="254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filing thereof, a copy of each filing, certification, waiver, exemption, claim, declaration, or registration made with respect to Material Government Approvals or DOE Export Authorizations to be obtained or filed by the Company with any Government Authority, except such filings, certifications, waivers, exemptions, claims, declarations, or registrations that are routine or ministerial in nature and in respect of which a failure to file could not reasonably be expected to have a Material Adverse Effect or to materially Impair any DOE Export Authorization;</w:t>
      </w:r>
    </w:p>
    <w:p>
      <w:pPr>
        <w:spacing w:after="0" w:line="192" w:lineRule="exact"/>
        <w:rPr>
          <w:rFonts w:ascii="Times New Roman" w:cs="Times New Roman" w:eastAsia="Times New Roman" w:hAnsi="Times New Roman"/>
          <w:sz w:val="20"/>
          <w:szCs w:val="20"/>
          <w:color w:val="auto"/>
        </w:rPr>
      </w:pPr>
    </w:p>
    <w:p>
      <w:pPr>
        <w:ind w:left="2560" w:hanging="639"/>
        <w:spacing w:after="0" w:line="269" w:lineRule="auto"/>
        <w:tabs>
          <w:tab w:leader="none" w:pos="2553"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occurrence thereof, notice of the occurrence of each Substantial Completion Date under the T1/T2 EPC Contract;</w:t>
      </w:r>
    </w:p>
    <w:p>
      <w:pPr>
        <w:spacing w:after="0" w:line="172" w:lineRule="exact"/>
        <w:rPr>
          <w:rFonts w:ascii="Times New Roman" w:cs="Times New Roman" w:eastAsia="Times New Roman" w:hAnsi="Times New Roman"/>
          <w:sz w:val="20"/>
          <w:szCs w:val="20"/>
          <w:color w:val="auto"/>
        </w:rPr>
      </w:pPr>
    </w:p>
    <w:p>
      <w:pPr>
        <w:ind w:left="2560" w:hanging="639"/>
        <w:spacing w:after="0" w:line="283" w:lineRule="auto"/>
        <w:tabs>
          <w:tab w:leader="none" w:pos="2555"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order issued by FERC or DOE/FE relating to the Project (including any Capital Improvement) or any Material Project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79" w:name="page80"/>
    <w:bookmarkEnd w:id="79"/>
    <w:p>
      <w:pPr>
        <w:jc w:val="both"/>
        <w:ind w:left="2560" w:hanging="639"/>
        <w:spacing w:after="0" w:line="261" w:lineRule="auto"/>
        <w:tabs>
          <w:tab w:leader="none" w:pos="254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Replacement Debt, Supplemental Debt, or Working Capital Debt is incurred by the Company, a copy of any report from the Independent Engineer and any other consultant that the Holders of such Senior Secured Debt are entitled to receive;</w:t>
      </w:r>
    </w:p>
    <w:p>
      <w:pPr>
        <w:spacing w:after="0" w:line="181" w:lineRule="exact"/>
        <w:rPr>
          <w:rFonts w:ascii="Times New Roman" w:cs="Times New Roman" w:eastAsia="Times New Roman" w:hAnsi="Times New Roman"/>
          <w:sz w:val="20"/>
          <w:szCs w:val="20"/>
          <w:color w:val="auto"/>
        </w:rPr>
      </w:pPr>
    </w:p>
    <w:p>
      <w:pPr>
        <w:jc w:val="both"/>
        <w:ind w:left="1920" w:hanging="636"/>
        <w:spacing w:after="0" w:line="258" w:lineRule="auto"/>
        <w:tabs>
          <w:tab w:leader="none" w:pos="19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no event later than five Business Days, after each such document is approved in accordance with the terms of the CFAA, furnish the Trustee, a copy of the Annual Facility Budget and Annual Facility Plan, the Annual Operating Budget, Annual Capital Budget, Annual Operating Plan or Annual Capital Plan that are components thereof;</w:t>
      </w:r>
    </w:p>
    <w:p>
      <w:pPr>
        <w:spacing w:after="0" w:line="172" w:lineRule="exact"/>
        <w:rPr>
          <w:rFonts w:ascii="Times New Roman" w:cs="Times New Roman" w:eastAsia="Times New Roman" w:hAnsi="Times New Roman"/>
          <w:sz w:val="20"/>
          <w:szCs w:val="20"/>
          <w:color w:val="auto"/>
        </w:rPr>
      </w:pPr>
    </w:p>
    <w:p>
      <w:pPr>
        <w:ind w:left="1920" w:hanging="636"/>
        <w:spacing w:after="0" w:line="283" w:lineRule="auto"/>
        <w:tabs>
          <w:tab w:leader="none" w:pos="191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no event later than five Business Days, after each such document is approved in accordance with the terms of the O&amp;M Agreement, furnish the Trustee a copy of the Annual O&amp;M Budget and Annual O&amp;M Plan;</w:t>
      </w:r>
    </w:p>
    <w:p>
      <w:pPr>
        <w:spacing w:after="0" w:line="146" w:lineRule="exact"/>
        <w:rPr>
          <w:rFonts w:ascii="Times New Roman" w:cs="Times New Roman" w:eastAsia="Times New Roman" w:hAnsi="Times New Roman"/>
          <w:sz w:val="20"/>
          <w:szCs w:val="20"/>
          <w:color w:val="auto"/>
        </w:rPr>
      </w:pPr>
    </w:p>
    <w:p>
      <w:pPr>
        <w:jc w:val="both"/>
        <w:ind w:left="1920" w:hanging="636"/>
        <w:spacing w:after="0" w:line="253" w:lineRule="auto"/>
        <w:tabs>
          <w:tab w:leader="none" w:pos="19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Together with the delivery of financial statements in accordance with </w:t>
      </w:r>
      <w:r>
        <w:rPr>
          <w:rFonts w:ascii="Times New Roman" w:cs="Times New Roman" w:eastAsia="Times New Roman" w:hAnsi="Times New Roman"/>
          <w:sz w:val="20"/>
          <w:szCs w:val="20"/>
          <w:u w:val="single" w:color="auto"/>
          <w:color w:val="auto"/>
        </w:rPr>
        <w:t>Section 4.3(c)(2)</w:t>
      </w:r>
      <w:r>
        <w:rPr>
          <w:rFonts w:ascii="Times New Roman" w:cs="Times New Roman" w:eastAsia="Times New Roman" w:hAnsi="Times New Roman"/>
          <w:sz w:val="20"/>
          <w:szCs w:val="20"/>
          <w:color w:val="auto"/>
        </w:rPr>
        <w:t xml:space="preserve"> in respect of each Fiscal Quarter occurring after the Project Completion Date, deliver to the Trustee a certificate of a Responsible Officer of the Company setting forth (a) the Historical DSCR for the four Fiscal Quarter period ended on such Quarterly Payment Date and (b) the Indenture Projected DSCR for the four Fiscal Quarter period commencing on such Quarterly Payment Date, in each case together with the calculation in reasonable detail and supporting data to confirm such calculations;</w:t>
      </w:r>
    </w:p>
    <w:p>
      <w:pPr>
        <w:spacing w:after="0" w:line="192" w:lineRule="exact"/>
        <w:rPr>
          <w:rFonts w:ascii="Times New Roman" w:cs="Times New Roman" w:eastAsia="Times New Roman" w:hAnsi="Times New Roman"/>
          <w:sz w:val="20"/>
          <w:szCs w:val="20"/>
          <w:color w:val="auto"/>
        </w:rPr>
      </w:pPr>
    </w:p>
    <w:p>
      <w:pPr>
        <w:ind w:left="1920" w:hanging="636"/>
        <w:spacing w:after="0" w:line="283" w:lineRule="auto"/>
        <w:tabs>
          <w:tab w:leader="none" w:pos="190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five Business Days after the execution thereof, deliver copies of any Additional Material Project Documents to the Company;</w:t>
      </w:r>
    </w:p>
    <w:p>
      <w:pPr>
        <w:spacing w:after="0" w:line="146" w:lineRule="exact"/>
        <w:rPr>
          <w:rFonts w:ascii="Times New Roman" w:cs="Times New Roman" w:eastAsia="Times New Roman" w:hAnsi="Times New Roman"/>
          <w:sz w:val="20"/>
          <w:szCs w:val="20"/>
          <w:color w:val="auto"/>
        </w:rPr>
      </w:pPr>
    </w:p>
    <w:p>
      <w:pPr>
        <w:ind w:left="1920" w:hanging="636"/>
        <w:spacing w:after="0" w:line="283" w:lineRule="auto"/>
        <w:tabs>
          <w:tab w:leader="none" w:pos="190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five Business Days after the execution thereof, deliver copies of all material amendments, supplements or modifications (including any change order) of any Material Project Documents;</w:t>
      </w:r>
    </w:p>
    <w:p>
      <w:pPr>
        <w:spacing w:after="0" w:line="146" w:lineRule="exact"/>
        <w:rPr>
          <w:rFonts w:ascii="Times New Roman" w:cs="Times New Roman" w:eastAsia="Times New Roman" w:hAnsi="Times New Roman"/>
          <w:sz w:val="20"/>
          <w:szCs w:val="20"/>
          <w:color w:val="auto"/>
        </w:rPr>
      </w:pPr>
    </w:p>
    <w:p>
      <w:pPr>
        <w:jc w:val="both"/>
        <w:ind w:left="1920" w:hanging="636"/>
        <w:spacing w:after="0" w:line="257" w:lineRule="auto"/>
        <w:tabs>
          <w:tab w:leader="none" w:pos="191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T1 Substantial Completion, deliver to the Trustee copies of environmental and social information contained in periodic reports prepared by or for the Company, which will include a summary of the P1 EPC Contractor’s performance against certain key performance indicators and other appropriate environmental and social statistics, such as (i) lost time incidents, (ii) oil spills and releases of hazardous materials, and (iii) other material environmental and social events;</w:t>
      </w:r>
    </w:p>
    <w:p>
      <w:pPr>
        <w:spacing w:after="0" w:line="172" w:lineRule="exact"/>
        <w:rPr>
          <w:rFonts w:ascii="Times New Roman" w:cs="Times New Roman" w:eastAsia="Times New Roman" w:hAnsi="Times New Roman"/>
          <w:sz w:val="20"/>
          <w:szCs w:val="20"/>
          <w:color w:val="auto"/>
        </w:rPr>
      </w:pPr>
    </w:p>
    <w:p>
      <w:pPr>
        <w:jc w:val="both"/>
        <w:ind w:left="1920" w:hanging="636"/>
        <w:spacing w:after="0" w:line="258" w:lineRule="auto"/>
        <w:tabs>
          <w:tab w:leader="none" w:pos="190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sixty days following each June 30 and December 31 to occur after the date hereof and prior to T1 Substantial Completion, deliver to the Trustee and the Independent Engineer a semi-annual environmental and social report prepared by the Environmental Advisor analyzing the Company’s compliance with the Equator Principles and the Environmental and Social Action Plan;</w:t>
      </w:r>
    </w:p>
    <w:p>
      <w:pPr>
        <w:spacing w:after="0" w:line="185" w:lineRule="exact"/>
        <w:rPr>
          <w:rFonts w:ascii="Times New Roman" w:cs="Times New Roman" w:eastAsia="Times New Roman" w:hAnsi="Times New Roman"/>
          <w:sz w:val="20"/>
          <w:szCs w:val="20"/>
          <w:color w:val="auto"/>
        </w:rPr>
      </w:pPr>
    </w:p>
    <w:p>
      <w:pPr>
        <w:jc w:val="both"/>
        <w:ind w:left="1920" w:hanging="636"/>
        <w:spacing w:after="0" w:line="261" w:lineRule="auto"/>
        <w:tabs>
          <w:tab w:leader="none" w:pos="191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120 days following December 31 of each calendar year prior to the Maturity Date beginning with the first calendar year following the year in which T1 Substantial Completion has occurred, deliver to the Trustee and the Independent Engineer an annual environmental and social report prepared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80" w:name="page81"/>
    <w:bookmarkEnd w:id="80"/>
    <w:p>
      <w:pPr>
        <w:ind w:left="1920" w:right="20"/>
        <w:spacing w:after="0" w:line="283" w:lineRule="auto"/>
        <w:rPr>
          <w:sz w:val="20"/>
          <w:szCs w:val="20"/>
          <w:color w:val="auto"/>
        </w:rPr>
      </w:pPr>
      <w:r>
        <w:rPr>
          <w:rFonts w:ascii="Times New Roman" w:cs="Times New Roman" w:eastAsia="Times New Roman" w:hAnsi="Times New Roman"/>
          <w:sz w:val="20"/>
          <w:szCs w:val="20"/>
          <w:color w:val="auto"/>
        </w:rPr>
        <w:t>Environmental Advisor analyzing the Company’s compliance with the Equator Principles and the Environmental and Social Action Plan;</w:t>
      </w:r>
    </w:p>
    <w:p>
      <w:pPr>
        <w:spacing w:after="0" w:line="146" w:lineRule="exact"/>
        <w:rPr>
          <w:sz w:val="20"/>
          <w:szCs w:val="20"/>
          <w:color w:val="auto"/>
        </w:rPr>
      </w:pPr>
    </w:p>
    <w:p>
      <w:pPr>
        <w:jc w:val="both"/>
        <w:ind w:left="1920" w:hanging="636"/>
        <w:spacing w:after="0" w:line="252" w:lineRule="auto"/>
        <w:tabs>
          <w:tab w:leader="none" w:pos="191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unless otherwise specified, within seven Business Days after the Company obtains Knowledge of any of the following, provide written notice to the Trustee of any (i) material Release of Hazardous Materials, (ii) any Environmental and Social Incident (as defined in the CD Credit Agreement) (which notice may be subject to subsequent investigation and clarification), (iii) any event or circumstance that could reasonably be expected to give rise to a material Environmental Claim, constitute a breach in any material respect of the Environmental and Social Action Plan, or result, or which has resulted, in a failure by the Company to comply in all material respects with Environmental Laws and the Equator Principles, and (iv) other material written notice from Government Authorities related to any of the foregoing or otherwise related to the need to investigate, respond, clean up, or remediate Hazardous Materials or any Environmental and Social Incident;</w:t>
      </w:r>
    </w:p>
    <w:p>
      <w:pPr>
        <w:spacing w:after="0" w:line="189"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unless otherwise specified, within seven Business Days following either</w:t>
      </w:r>
    </w:p>
    <w:p>
      <w:pPr>
        <w:spacing w:after="0" w:line="21" w:lineRule="exact"/>
        <w:rPr>
          <w:rFonts w:ascii="Times New Roman" w:cs="Times New Roman" w:eastAsia="Times New Roman" w:hAnsi="Times New Roman"/>
          <w:sz w:val="20"/>
          <w:szCs w:val="20"/>
          <w:color w:val="auto"/>
        </w:rPr>
      </w:pPr>
    </w:p>
    <w:p>
      <w:pPr>
        <w:ind w:left="2200" w:hanging="279"/>
        <w:spacing w:after="0"/>
        <w:tabs>
          <w:tab w:leader="none" w:pos="220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to the Company of any report prepared for the Company regarding any Environmental and Social</w:t>
      </w:r>
    </w:p>
    <w:p>
      <w:pPr>
        <w:spacing w:after="0" w:line="6" w:lineRule="exact"/>
        <w:rPr>
          <w:sz w:val="20"/>
          <w:szCs w:val="20"/>
          <w:color w:val="auto"/>
        </w:rPr>
      </w:pPr>
    </w:p>
    <w:p>
      <w:pPr>
        <w:jc w:val="both"/>
        <w:ind w:left="1920"/>
        <w:spacing w:after="0" w:line="270" w:lineRule="auto"/>
        <w:rPr>
          <w:sz w:val="20"/>
          <w:szCs w:val="20"/>
          <w:color w:val="auto"/>
        </w:rPr>
      </w:pPr>
      <w:r>
        <w:rPr>
          <w:rFonts w:ascii="Times New Roman" w:cs="Times New Roman" w:eastAsia="Times New Roman" w:hAnsi="Times New Roman"/>
          <w:sz w:val="19"/>
          <w:szCs w:val="19"/>
          <w:color w:val="auto"/>
        </w:rPr>
        <w:t xml:space="preserve">Incident or (ii) the occurrence of a material development in respect of any Environmental and Social Incident, deliver to the Trustee a notice, report or update, as applicable, from the Company (which may, but need not, be a copy of the report referred to in </w:t>
      </w:r>
      <w:r>
        <w:rPr>
          <w:rFonts w:ascii="Times New Roman" w:cs="Times New Roman" w:eastAsia="Times New Roman" w:hAnsi="Times New Roman"/>
          <w:sz w:val="19"/>
          <w:szCs w:val="19"/>
          <w:u w:val="single" w:color="auto"/>
          <w:color w:val="auto"/>
        </w:rPr>
        <w:t>sub-clause (xviii)(i)</w:t>
      </w:r>
      <w:r>
        <w:rPr>
          <w:rFonts w:ascii="Times New Roman" w:cs="Times New Roman" w:eastAsia="Times New Roman" w:hAnsi="Times New Roman"/>
          <w:sz w:val="19"/>
          <w:szCs w:val="19"/>
          <w:color w:val="auto"/>
        </w:rPr>
        <w:t xml:space="preserve"> above) in respect of such material development (and, for the avoidance of doubt, no such notice, report or update will require delivery of any document prepared for internal purposes);</w:t>
      </w:r>
    </w:p>
    <w:p>
      <w:pPr>
        <w:spacing w:after="0" w:line="163" w:lineRule="exact"/>
        <w:rPr>
          <w:sz w:val="20"/>
          <w:szCs w:val="20"/>
          <w:color w:val="auto"/>
        </w:rPr>
      </w:pPr>
    </w:p>
    <w:p>
      <w:pPr>
        <w:ind w:left="1920" w:hanging="636"/>
        <w:spacing w:after="0" w:line="283" w:lineRule="auto"/>
        <w:tabs>
          <w:tab w:leader="none" w:pos="191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unless otherwise specified, deliver within five Business Days after the Company obtains Knowledge of any of the following, written notice to the Trustee of:</w:t>
      </w:r>
    </w:p>
    <w:p>
      <w:pPr>
        <w:spacing w:after="0" w:line="146" w:lineRule="exact"/>
        <w:rPr>
          <w:rFonts w:ascii="Times New Roman" w:cs="Times New Roman" w:eastAsia="Times New Roman" w:hAnsi="Times New Roman"/>
          <w:sz w:val="20"/>
          <w:szCs w:val="20"/>
          <w:color w:val="auto"/>
        </w:rPr>
      </w:pPr>
    </w:p>
    <w:p>
      <w:pPr>
        <w:jc w:val="both"/>
        <w:ind w:left="2560" w:hanging="639"/>
        <w:spacing w:after="0" w:line="258" w:lineRule="auto"/>
        <w:tabs>
          <w:tab w:leader="none" w:pos="254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of Loss or Event of Taking in excess of $75,000,000 in value or any series of such events or circumstances during any twelve month period in excess of $250,000,000 in value in the aggregate, or the initiation of any insurance claim proceedings with respect to any such Event of Loss or Event of Taking;</w:t>
      </w:r>
    </w:p>
    <w:p>
      <w:pPr>
        <w:spacing w:after="0" w:line="185" w:lineRule="exact"/>
        <w:rPr>
          <w:rFonts w:ascii="Times New Roman" w:cs="Times New Roman" w:eastAsia="Times New Roman" w:hAnsi="Times New Roman"/>
          <w:sz w:val="20"/>
          <w:szCs w:val="20"/>
          <w:color w:val="auto"/>
        </w:rPr>
      </w:pPr>
    </w:p>
    <w:p>
      <w:pPr>
        <w:jc w:val="both"/>
        <w:ind w:left="2560" w:hanging="639"/>
        <w:spacing w:after="0" w:line="261" w:lineRule="auto"/>
        <w:tabs>
          <w:tab w:leader="none" w:pos="255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giving rise (or that could reasonably be expected to give rise) to a claim under any insurance policy maintained with respect to the Project in excess of $75,000,000 with copies of any material document relating thereto that are available to the Company;</w:t>
      </w:r>
    </w:p>
    <w:p>
      <w:pPr>
        <w:spacing w:after="0" w:line="167" w:lineRule="exact"/>
        <w:rPr>
          <w:rFonts w:ascii="Times New Roman" w:cs="Times New Roman" w:eastAsia="Times New Roman" w:hAnsi="Times New Roman"/>
          <w:sz w:val="20"/>
          <w:szCs w:val="20"/>
          <w:color w:val="auto"/>
        </w:rPr>
      </w:pPr>
    </w:p>
    <w:p>
      <w:pPr>
        <w:jc w:val="both"/>
        <w:ind w:left="2560" w:hanging="639"/>
        <w:spacing w:after="0" w:line="268" w:lineRule="auto"/>
        <w:tabs>
          <w:tab w:leader="none" w:pos="255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to pay any premium, cancellation, termination, suspension, or actual or reasonably anticipated material reductions in the coverages or amounts of any insurance required pursuant to the Insurance Program;</w:t>
      </w:r>
    </w:p>
    <w:p>
      <w:pPr>
        <w:spacing w:after="0" w:line="161" w:lineRule="exact"/>
        <w:rPr>
          <w:rFonts w:ascii="Times New Roman" w:cs="Times New Roman" w:eastAsia="Times New Roman" w:hAnsi="Times New Roman"/>
          <w:sz w:val="20"/>
          <w:szCs w:val="20"/>
          <w:color w:val="auto"/>
        </w:rPr>
      </w:pPr>
    </w:p>
    <w:p>
      <w:pPr>
        <w:ind w:left="2560" w:right="20" w:hanging="639"/>
        <w:spacing w:after="0" w:line="283" w:lineRule="auto"/>
        <w:tabs>
          <w:tab w:leader="none" w:pos="254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reduction in the financial rating of any insurer providing insurance such that the rating no longer meets the requirements set forth in the Insurance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81" w:name="page82"/>
    <w:bookmarkEnd w:id="81"/>
    <w:p>
      <w:pPr>
        <w:ind w:left="2560" w:right="20" w:hanging="639"/>
        <w:spacing w:after="0" w:line="287" w:lineRule="auto"/>
        <w:tabs>
          <w:tab w:leader="none" w:pos="2553"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notices or other documents delivered by or to the Company pursuant to Exhibit E (</w:t>
      </w:r>
      <w:r>
        <w:rPr>
          <w:rFonts w:ascii="Times New Roman" w:cs="Times New Roman" w:eastAsia="Times New Roman" w:hAnsi="Times New Roman"/>
          <w:sz w:val="20"/>
          <w:szCs w:val="20"/>
          <w:i w:val="1"/>
          <w:iCs w:val="1"/>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Requirements</w:t>
      </w:r>
      <w:r>
        <w:rPr>
          <w:rFonts w:ascii="Times New Roman" w:cs="Times New Roman" w:eastAsia="Times New Roman" w:hAnsi="Times New Roman"/>
          <w:sz w:val="20"/>
          <w:szCs w:val="20"/>
          <w:color w:val="auto"/>
        </w:rPr>
        <w:t>) of the CFAA;</w:t>
      </w:r>
    </w:p>
    <w:p>
      <w:pPr>
        <w:spacing w:after="0" w:line="142" w:lineRule="exact"/>
        <w:rPr>
          <w:rFonts w:ascii="Times New Roman" w:cs="Times New Roman" w:eastAsia="Times New Roman" w:hAnsi="Times New Roman"/>
          <w:sz w:val="20"/>
          <w:szCs w:val="20"/>
          <w:color w:val="auto"/>
        </w:rPr>
      </w:pPr>
    </w:p>
    <w:p>
      <w:pPr>
        <w:ind w:left="2560" w:hanging="639"/>
        <w:spacing w:after="0" w:line="283" w:lineRule="auto"/>
        <w:tabs>
          <w:tab w:leader="none" w:pos="2555"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claims on insurance carried by the P1 EPC Contractor under the P1 EPC Contracts and a summary of the progress and status of such claims;</w:t>
      </w:r>
    </w:p>
    <w:p>
      <w:pPr>
        <w:spacing w:after="0" w:line="146" w:lineRule="exact"/>
        <w:rPr>
          <w:rFonts w:ascii="Times New Roman" w:cs="Times New Roman" w:eastAsia="Times New Roman" w:hAnsi="Times New Roman"/>
          <w:sz w:val="20"/>
          <w:szCs w:val="20"/>
          <w:color w:val="auto"/>
        </w:rPr>
      </w:pPr>
    </w:p>
    <w:p>
      <w:pPr>
        <w:ind w:left="2560" w:hanging="639"/>
        <w:spacing w:after="0" w:line="283" w:lineRule="auto"/>
        <w:tabs>
          <w:tab w:leader="none" w:pos="2548"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renewal or replacement of any insurance policy required under the Insurance Program, within thirty days thereof;</w:t>
      </w:r>
    </w:p>
    <w:p>
      <w:pPr>
        <w:spacing w:after="0" w:line="159" w:lineRule="exact"/>
        <w:rPr>
          <w:rFonts w:ascii="Times New Roman" w:cs="Times New Roman" w:eastAsia="Times New Roman" w:hAnsi="Times New Roman"/>
          <w:sz w:val="20"/>
          <w:szCs w:val="20"/>
          <w:color w:val="auto"/>
        </w:rPr>
      </w:pPr>
    </w:p>
    <w:p>
      <w:pPr>
        <w:jc w:val="both"/>
        <w:ind w:left="2560" w:hanging="639"/>
        <w:spacing w:after="0" w:line="251" w:lineRule="auto"/>
        <w:tabs>
          <w:tab w:leader="none" w:pos="2548"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prejudice to its other obligations under this </w:t>
      </w:r>
      <w:r>
        <w:rPr>
          <w:rFonts w:ascii="Times New Roman" w:cs="Times New Roman" w:eastAsia="Times New Roman" w:hAnsi="Times New Roman"/>
          <w:sz w:val="20"/>
          <w:szCs w:val="20"/>
          <w:u w:val="single" w:color="auto"/>
          <w:color w:val="auto"/>
        </w:rPr>
        <w:t>Section 4.3(k)(xix)</w:t>
      </w:r>
      <w:r>
        <w:rPr>
          <w:rFonts w:ascii="Times New Roman" w:cs="Times New Roman" w:eastAsia="Times New Roman" w:hAnsi="Times New Roman"/>
          <w:sz w:val="20"/>
          <w:szCs w:val="20"/>
          <w:color w:val="auto"/>
        </w:rPr>
        <w:t xml:space="preserve"> or the CFAA, any fact, event or circumstance that has caused, or that with the giving of notice, lapse of time or making of a determination would cause, it to be in breach of any provision of this </w:t>
      </w:r>
      <w:r>
        <w:rPr>
          <w:rFonts w:ascii="Times New Roman" w:cs="Times New Roman" w:eastAsia="Times New Roman" w:hAnsi="Times New Roman"/>
          <w:sz w:val="20"/>
          <w:szCs w:val="20"/>
          <w:u w:val="single" w:color="auto"/>
          <w:color w:val="auto"/>
        </w:rPr>
        <w:t>Section 4.3(k)(xix)</w:t>
      </w:r>
      <w:r>
        <w:rPr>
          <w:rFonts w:ascii="Times New Roman" w:cs="Times New Roman" w:eastAsia="Times New Roman" w:hAnsi="Times New Roman"/>
          <w:sz w:val="20"/>
          <w:szCs w:val="20"/>
          <w:color w:val="auto"/>
        </w:rPr>
        <w:t xml:space="preserve"> or the CFAA or the requirements of any of the insurance policies in the Insurance Program and (i) the steps it proposes to take in order to remedy such breach or, if such breach cannot be remedied, to mitigate the risk or liability to which the Project has been or shall reasonably be expected to be exposed by virtue of the occurrence of such breach and (ii) its good faith estimate of the period required to implement, and the cost of, such steps; and</w:t>
      </w:r>
    </w:p>
    <w:p>
      <w:pPr>
        <w:spacing w:after="0" w:line="192" w:lineRule="exact"/>
        <w:rPr>
          <w:rFonts w:ascii="Times New Roman" w:cs="Times New Roman" w:eastAsia="Times New Roman" w:hAnsi="Times New Roman"/>
          <w:sz w:val="20"/>
          <w:szCs w:val="20"/>
          <w:color w:val="auto"/>
        </w:rPr>
      </w:pPr>
    </w:p>
    <w:p>
      <w:pPr>
        <w:ind w:left="2560" w:hanging="639"/>
        <w:spacing w:after="0" w:line="269" w:lineRule="auto"/>
        <w:tabs>
          <w:tab w:leader="none" w:pos="2552"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information equivalent to the foregoing that the Company has received from CFCo or InsuranceCo with respect to the Insurance Program.</w:t>
      </w:r>
    </w:p>
    <w:p>
      <w:pPr>
        <w:spacing w:after="0" w:line="172" w:lineRule="exact"/>
        <w:rPr>
          <w:rFonts w:ascii="Times New Roman" w:cs="Times New Roman" w:eastAsia="Times New Roman" w:hAnsi="Times New Roman"/>
          <w:sz w:val="20"/>
          <w:szCs w:val="20"/>
          <w:color w:val="auto"/>
        </w:rPr>
      </w:pPr>
    </w:p>
    <w:p>
      <w:pPr>
        <w:jc w:val="both"/>
        <w:ind w:left="1920" w:hanging="636"/>
        <w:spacing w:after="0" w:line="250" w:lineRule="auto"/>
        <w:tabs>
          <w:tab w:leader="none" w:pos="1909"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to the Trustee in respect of the Company’s gas supply requirements in connection with its then-Designated Offtake Agreements, within 45 days following the end of each calendar quarter for the first two years after commissioning of the Train Facility under and as defined in the P1 EPC Contracts and, thereafter, within 45 days following the end of each June 30 and December 31 of each calendar year, reports on the status of its gas supply arrangements (excluding any commercially sensitive trade information) for the Project during the three- or six-month period prior to the end of such quarter or semi-annual period, as applicable, including (a) a summary list of gas suppliers with which the Company entered into material gas supply contracts during the covered period and (b) a summary of material gas purchases made and Hedge Agreements entered into by the Company during the covered period, detailing aggregate outstanding contract volumes, remaining tenor (after commencement of services), price ranges of such gas purchases and hedges and aggregate gas purchase, price indexation used and hedge payables with respect to material gas supply contracts and hedges during such covered period.</w:t>
      </w:r>
    </w:p>
    <w:p>
      <w:pPr>
        <w:spacing w:after="0" w:line="186" w:lineRule="exact"/>
        <w:rPr>
          <w:rFonts w:ascii="Times New Roman" w:cs="Times New Roman" w:eastAsia="Times New Roman" w:hAnsi="Times New Roman"/>
          <w:sz w:val="20"/>
          <w:szCs w:val="20"/>
          <w:color w:val="auto"/>
        </w:rPr>
      </w:pPr>
    </w:p>
    <w:p>
      <w:pPr>
        <w:ind w:left="1280" w:hanging="634"/>
        <w:spacing w:after="0" w:line="283" w:lineRule="auto"/>
        <w:tabs>
          <w:tab w:leader="none" w:pos="127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each of the financial statements delivered to the Trustee pursuant to this Section 4.3, shall provide the Trustee with an Officer’s Certificate executed by a Senior Financial Officer of the Company certifying that:</w:t>
      </w:r>
    </w:p>
    <w:p>
      <w:pPr>
        <w:spacing w:after="0" w:line="132" w:lineRule="exact"/>
        <w:rPr>
          <w:rFonts w:ascii="Times New Roman" w:cs="Times New Roman" w:eastAsia="Times New Roman" w:hAnsi="Times New Roman"/>
          <w:sz w:val="20"/>
          <w:szCs w:val="20"/>
          <w:color w:val="auto"/>
        </w:rPr>
      </w:pPr>
    </w:p>
    <w:p>
      <w:pPr>
        <w:ind w:left="1920" w:hanging="636"/>
        <w:spacing w:after="0" w:line="310" w:lineRule="auto"/>
        <w:tabs>
          <w:tab w:leader="none" w:pos="1915"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financial statements fairly present in all material respects the financial condition and results of operations of the Company on the dates and for the periods indicated on a consolidated basis in accordance with GAAP, subject, in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82" w:name="page83"/>
    <w:bookmarkEnd w:id="82"/>
    <w:p>
      <w:pPr>
        <w:ind w:left="1920"/>
        <w:spacing w:after="0"/>
        <w:rPr>
          <w:sz w:val="20"/>
          <w:szCs w:val="20"/>
          <w:color w:val="auto"/>
        </w:rPr>
      </w:pPr>
      <w:r>
        <w:rPr>
          <w:rFonts w:ascii="Times New Roman" w:cs="Times New Roman" w:eastAsia="Times New Roman" w:hAnsi="Times New Roman"/>
          <w:sz w:val="20"/>
          <w:szCs w:val="20"/>
          <w:color w:val="auto"/>
        </w:rPr>
        <w:t>the case of quarterly financial statements to the absence of notes and normal year-end audit adjustments; and</w:t>
      </w:r>
    </w:p>
    <w:p>
      <w:pPr>
        <w:spacing w:after="0" w:line="202" w:lineRule="exact"/>
        <w:rPr>
          <w:sz w:val="20"/>
          <w:szCs w:val="20"/>
          <w:color w:val="auto"/>
        </w:rPr>
      </w:pPr>
    </w:p>
    <w:p>
      <w:pPr>
        <w:jc w:val="both"/>
        <w:ind w:left="1920" w:hanging="636"/>
        <w:spacing w:after="0" w:line="258" w:lineRule="auto"/>
        <w:tabs>
          <w:tab w:leader="none" w:pos="191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or default or event of default under any Senior Secured Debt Instrument exists as of the date of such certificate or, if any Default or Event of Default, or default or event of default under any Senior Secured Debt Instrument, exists, describing the same in reasonable detail and describing what action the Company has taken and proposes to take with respect thereto.</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u w:val="single" w:color="auto"/>
          <w:color w:val="auto"/>
        </w:rPr>
        <w:t>Compliance Certificate</w:t>
      </w:r>
    </w:p>
    <w:p>
      <w:pPr>
        <w:spacing w:after="0" w:line="216" w:lineRule="exact"/>
        <w:rPr>
          <w:sz w:val="20"/>
          <w:szCs w:val="20"/>
          <w:color w:val="auto"/>
        </w:rPr>
      </w:pPr>
    </w:p>
    <w:p>
      <w:pPr>
        <w:jc w:val="both"/>
        <w:ind w:left="1280" w:hanging="634"/>
        <w:spacing w:after="0" w:line="253" w:lineRule="auto"/>
        <w:tabs>
          <w:tab w:leader="none" w:pos="12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deliver to the Trustee, within ninety days after the end of each Fiscal Year (with the first Officer’s Certificate to be delivered on or before March 31, 2024), an Officer’s Certificate stating that to the signing Authorized Officer’s knowledge no Default or Event of Default has occurred and is continuing (or, if a Default or Event of Default has occurred and is continuing, describing all such Defaults or Events of Default of which he or she has knowledge and what action the Company is taking or proposes to take with respect thereto).</w:t>
      </w:r>
    </w:p>
    <w:p>
      <w:pPr>
        <w:spacing w:after="0" w:line="164"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of the Notes are outstanding, the Company will deliver to the Trustee, forthwith upon any Authorized Officer becoming aware of any Default or Event of Default, an Officer’s Certificate specifying such Default or Event of Default and what action the Company is taking or proposes to take with respect thereto.</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Distributions</w:t>
      </w:r>
    </w:p>
    <w:p>
      <w:pPr>
        <w:spacing w:after="0" w:line="202"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 xml:space="preserve">The Company will not make or agree to make, directly or indirectly, any Distributions unless (a) such Distribution is in compliance with the Common Terms Agreement and the P1 Accounts Agreement, (b) no breach of the covenant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has occurred and is continuing, (c) in the case of any Extraordinary Distribution from the P1 Pre-Completion Revenue Account in accordance with Section 3.2(c) (</w:t>
      </w:r>
      <w:r>
        <w:rPr>
          <w:rFonts w:ascii="Times New Roman" w:cs="Times New Roman" w:eastAsia="Times New Roman" w:hAnsi="Times New Roman"/>
          <w:sz w:val="20"/>
          <w:szCs w:val="20"/>
          <w:i w:val="1"/>
          <w:iCs w:val="1"/>
          <w:color w:val="auto"/>
        </w:rPr>
        <w:t>P1 Pre-Completion Revenue Account</w:t>
      </w:r>
      <w:r>
        <w:rPr>
          <w:rFonts w:ascii="Times New Roman" w:cs="Times New Roman" w:eastAsia="Times New Roman" w:hAnsi="Times New Roman"/>
          <w:sz w:val="20"/>
          <w:szCs w:val="20"/>
          <w:color w:val="auto"/>
        </w:rPr>
        <w:t>) of the P1 Accounts Agreement, (i) no CTA Default or CTA Event of Default has occurred and is continuing, (ii) Substantial Completion (as defined in the T1/T2 EPC Contract) of the Train 1 Facility shall have occurred, as confirmed by the Independent Engineer, (iii) the Indenture Projected DSCR for the four Fiscal Quarter period commencing on the Initial Principal Payment Date shall not be less than 1.40:1.00, (iv) the Company shall have delivered to the Trustee a certificate confirming (A) that Substantial Completion (as defined in the T1/T2 EPC Contract) of the Train 2 Facility and Substantial Completion (as defined in the T3 EPC Contract) of the Train 3 Facility, and the occurrence of the Project Completion Date is reasonably expected to occur on or before the Date Certain and (B) as to the sufficiency of funds available to the Company to complete the Train 2 Facility, the Train 3 Facility and the P1 Common Facilities, (v) Designated Offtake Agreements with an aggregate amount of ACQ required to achieve an Indenture Projected DSCR of at least 1.40:1.00 based on the Base Case Forecast shall be in full force and effect, (vi) the “Date of First Commercial Delivery” with respect to the Train 1 Facility under, and as defined in, each of the Initial Offtake Agreements referred to in clauses (b), (c), (d), (f), and (h) of the definition thereof shall have occurred, and (vii) no Default or Event of Default under Section 6.1(e) shall have occurred and be continuing, and (d) in the case of any Distributions other than Extraordinary Distributions, (i) the Historical DSCR as of the Fiscal Quarter most recently ended or then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83" w:name="page84"/>
    <w:bookmarkEnd w:id="83"/>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is at least 1.25 to 1.00 and (ii) the Contracted Projected DSCR for the next four Fiscal Quarter period is at least 1.25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Company may, at its option, exclude any amounts comprising of scheduled bullet or balloon principal payments of Senior Secured Debt that was pre-funded with proceeds of Replacement Debt or other Indebtedness.</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9"/>
          <w:szCs w:val="19"/>
          <w:u w:val="single" w:color="auto"/>
          <w:color w:val="auto"/>
        </w:rPr>
        <w:t>Use of Proceeds</w:t>
      </w:r>
    </w:p>
    <w:p>
      <w:pPr>
        <w:spacing w:after="0" w:line="212"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The Company shall use the proceeds of the Notes solely for purposes permitted by Section 2.4(b) (</w:t>
      </w:r>
      <w:r>
        <w:rPr>
          <w:rFonts w:ascii="Times New Roman" w:cs="Times New Roman" w:eastAsia="Times New Roman" w:hAnsi="Times New Roman"/>
          <w:sz w:val="20"/>
          <w:szCs w:val="20"/>
          <w:i w:val="1"/>
          <w:iCs w:val="1"/>
          <w:color w:val="auto"/>
        </w:rPr>
        <w:t>Replacement Debt</w:t>
      </w:r>
      <w:r>
        <w:rPr>
          <w:rFonts w:ascii="Times New Roman" w:cs="Times New Roman" w:eastAsia="Times New Roman" w:hAnsi="Times New Roman"/>
          <w:sz w:val="20"/>
          <w:szCs w:val="20"/>
          <w:color w:val="auto"/>
        </w:rPr>
        <w:t>) of the Common Terms Agreement</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u w:val="single" w:color="auto"/>
          <w:color w:val="auto"/>
        </w:rPr>
        <w:t>Incurrence of Indebtedness</w:t>
      </w:r>
    </w:p>
    <w:p>
      <w:pPr>
        <w:spacing w:after="0" w:line="202" w:lineRule="exact"/>
        <w:rPr>
          <w:sz w:val="20"/>
          <w:szCs w:val="20"/>
          <w:color w:val="auto"/>
        </w:rPr>
      </w:pPr>
    </w:p>
    <w:p>
      <w:pPr>
        <w:jc w:val="both"/>
        <w:ind w:left="1280" w:hanging="634"/>
        <w:spacing w:after="0" w:line="250" w:lineRule="auto"/>
        <w:tabs>
          <w:tab w:leader="none" w:pos="12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directly or indirectly, create, incur, assume, permit, suffer to exist or otherwise be or become liable with respect to, contingently or otherwise (collectively, “</w:t>
      </w:r>
      <w:r>
        <w:rPr>
          <w:rFonts w:ascii="Times New Roman" w:cs="Times New Roman" w:eastAsia="Times New Roman" w:hAnsi="Times New Roman"/>
          <w:sz w:val="20"/>
          <w:szCs w:val="20"/>
          <w:b w:val="1"/>
          <w:bCs w:val="1"/>
          <w:color w:val="auto"/>
        </w:rPr>
        <w:t>incur</w:t>
      </w:r>
      <w:r>
        <w:rPr>
          <w:rFonts w:ascii="Times New Roman" w:cs="Times New Roman" w:eastAsia="Times New Roman" w:hAnsi="Times New Roman"/>
          <w:sz w:val="20"/>
          <w:szCs w:val="20"/>
          <w:color w:val="auto"/>
        </w:rPr>
        <w:t xml:space="preserve">”) any Replacement Debt unless (i) the Company shall have demonstrated, by delivery of an updated Base Case Forecast that (after taking into account the incurrence of such Replacement Debt) the Indenture Projected DSCR commencing on the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the Indenture Projected CFADS used to calculate the Indenture Projected DSCR shall assume, if such Replacement Debt is incurred prior to the Project Completion Date, that all Senior Secured Debt Commitments will be fully drawn, (ii) the weighted average life to maturity of the Replacement Debt shall be longer than the weighted average life to maturity of the Senior Secured Debt being replaced, and (iii) the final maturity date of the Replacement Debt shall occur after the maturity date of the Senior Secured Debt being replaced.</w:t>
      </w:r>
    </w:p>
    <w:p>
      <w:pPr>
        <w:spacing w:after="0" w:line="169" w:lineRule="exact"/>
        <w:rPr>
          <w:rFonts w:ascii="Times New Roman" w:cs="Times New Roman" w:eastAsia="Times New Roman" w:hAnsi="Times New Roman"/>
          <w:sz w:val="20"/>
          <w:szCs w:val="20"/>
          <w:color w:val="auto"/>
        </w:rPr>
      </w:pPr>
    </w:p>
    <w:p>
      <w:pPr>
        <w:jc w:val="both"/>
        <w:ind w:left="1280" w:hanging="634"/>
        <w:spacing w:after="0" w:line="250" w:lineRule="auto"/>
        <w:tabs>
          <w:tab w:leader="none" w:pos="127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not incur any Supplemental Debt (other than Funding Shortfall Debt which shall be governed by Section 4.7(d) below) in an amount greater than $250,000,000 unless (i) the Company shall have demonstrated by delivery of an updated Base Case Forecast that (after taking into account the incurrence of such Supplemental Debt) the Indenture Projected DSCR commencing on the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the Indenture Projected CFADS used to calculate the Indenture Projected DSCR shall assume that all commitments for Supplemental Debt will be fully drawn as of the date on which such Supplemental Debt is incurred and (ii) two Specified Rating Agencies that are then rating the Notes (or, if only one Specified Rating Agency is then rating the Notes, such agency) reaffirm that the rating of the Notes will not, as a result of the incurrence of such Supplemental Debt, be lower than the lower of (A) the rating as of the date of this indenture and (B) the rating of the Notes immediately prior to the incurrence of such Supplemental Debt.</w:t>
      </w:r>
    </w:p>
    <w:p>
      <w:pPr>
        <w:spacing w:after="0" w:line="186" w:lineRule="exact"/>
        <w:rPr>
          <w:rFonts w:ascii="Times New Roman" w:cs="Times New Roman" w:eastAsia="Times New Roman" w:hAnsi="Times New Roman"/>
          <w:sz w:val="20"/>
          <w:szCs w:val="20"/>
          <w:color w:val="auto"/>
        </w:rPr>
      </w:pPr>
    </w:p>
    <w:p>
      <w:pPr>
        <w:jc w:val="both"/>
        <w:ind w:left="1280" w:hanging="634"/>
        <w:spacing w:after="0" w:line="253" w:lineRule="auto"/>
        <w:tabs>
          <w:tab w:leader="none" w:pos="12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incur any Relevering Debt unless (i) prior to the Project Completion Date, (A) such Relevering Debt is Reinstatement Debt or (B) (1) the incurrence of such Relevering Debt would not cause the Debt to Equity Ratio to exceed 75:25 and (2) upon the incurrence of such Relevering Debt (other than Reinstatement Debt), the Notes shall be rated by at least one Specified Rating Agency and at least one such rating is equal to or better than “Baa3” by Moody’s, “BBB-” by S&amp;P, “BBB-” by Fitch, and (ii) following the Project Completion Date, (A) the Company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84" w:name="page85"/>
    <w:bookmarkEnd w:id="84"/>
    <w:p>
      <w:pPr>
        <w:jc w:val="both"/>
        <w:ind w:left="1280"/>
        <w:spacing w:after="0" w:line="270" w:lineRule="auto"/>
        <w:rPr>
          <w:sz w:val="20"/>
          <w:szCs w:val="20"/>
          <w:color w:val="auto"/>
        </w:rPr>
      </w:pPr>
      <w:r>
        <w:rPr>
          <w:rFonts w:ascii="Times New Roman" w:cs="Times New Roman" w:eastAsia="Times New Roman" w:hAnsi="Times New Roman"/>
          <w:sz w:val="19"/>
          <w:szCs w:val="19"/>
          <w:color w:val="auto"/>
        </w:rPr>
        <w:t>demonstrated by delivery of an updated Base Case Forecast that (after taking into account the incurrence of such Relevering Debt) the Indenture Projected DSCR commencing on the Initial Principal Payment Date and for each rolling four Fiscal Quarter period (as of the end of each Fiscal Quarter) through the Maturity Date shall not be less than 1.40:1.00 and (B) upon the incurrence of such Relevering Debt (other than Reinstatement Debt), the Notes shall be rated by at least one Specified Rating Agency and at least one such rating is equal to or better than “Baa3” by Moody’s, “BBB-” by S&amp;P, “BBB-” by Fitch.</w:t>
      </w:r>
    </w:p>
    <w:p>
      <w:pPr>
        <w:spacing w:after="0" w:line="162" w:lineRule="exact"/>
        <w:rPr>
          <w:sz w:val="20"/>
          <w:szCs w:val="20"/>
          <w:color w:val="auto"/>
        </w:rPr>
      </w:pPr>
    </w:p>
    <w:p>
      <w:pPr>
        <w:jc w:val="both"/>
        <w:ind w:left="1280" w:hanging="634"/>
        <w:spacing w:after="0" w:line="263" w:lineRule="auto"/>
        <w:tabs>
          <w:tab w:leader="none" w:pos="1277"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will not incur any Funding Shortfall Debt unless (i) the Company shall have demonstrated by delivery of an updated Base Case Forecast that (after taking into account the incurrence of such Funding Shortfall Debt) the Indenture Projected DSCR commencing on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this </w:t>
      </w:r>
      <w:r>
        <w:rPr>
          <w:rFonts w:ascii="Times New Roman" w:cs="Times New Roman" w:eastAsia="Times New Roman" w:hAnsi="Times New Roman"/>
          <w:sz w:val="19"/>
          <w:szCs w:val="19"/>
          <w:u w:val="single" w:color="auto"/>
          <w:color w:val="auto"/>
        </w:rPr>
        <w:t>clause</w:t>
      </w:r>
    </w:p>
    <w:p>
      <w:pPr>
        <w:spacing w:after="0" w:line="2" w:lineRule="exact"/>
        <w:rPr>
          <w:rFonts w:ascii="Times New Roman" w:cs="Times New Roman" w:eastAsia="Times New Roman" w:hAnsi="Times New Roman"/>
          <w:sz w:val="19"/>
          <w:szCs w:val="19"/>
          <w:color w:val="auto"/>
        </w:rPr>
      </w:pPr>
    </w:p>
    <w:p>
      <w:pPr>
        <w:jc w:val="both"/>
        <w:ind w:left="128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the Indenture Projected CFADS used to calculate the Indenture Projected DSCR shall assume, if such Funding Shortfall Debt is incurred prior to the Project Completion Date, that all commitments for Funding Shortfall Debt will be fully drawn as of the date on which such Funding Shortfall Debt is incurred and (ii) a Rating Reaffirmation shall have occurred.</w:t>
      </w:r>
    </w:p>
    <w:p>
      <w:pPr>
        <w:spacing w:after="0" w:line="161" w:lineRule="exact"/>
        <w:rPr>
          <w:rFonts w:ascii="Times New Roman" w:cs="Times New Roman" w:eastAsia="Times New Roman" w:hAnsi="Times New Roman"/>
          <w:sz w:val="19"/>
          <w:szCs w:val="19"/>
          <w:color w:val="auto"/>
        </w:rPr>
      </w:pPr>
    </w:p>
    <w:p>
      <w:pPr>
        <w:ind w:left="1280" w:hanging="634"/>
        <w:spacing w:after="0"/>
        <w:tabs>
          <w:tab w:leader="none" w:pos="12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incur any Working Capital Debt unless each of the following conditions is satisfied:</w:t>
      </w:r>
    </w:p>
    <w:p>
      <w:pPr>
        <w:spacing w:after="0" w:line="215" w:lineRule="exact"/>
        <w:rPr>
          <w:rFonts w:ascii="Times New Roman" w:cs="Times New Roman" w:eastAsia="Times New Roman" w:hAnsi="Times New Roman"/>
          <w:sz w:val="20"/>
          <w:szCs w:val="20"/>
          <w:color w:val="auto"/>
        </w:rPr>
      </w:pPr>
    </w:p>
    <w:p>
      <w:pPr>
        <w:ind w:left="1920" w:hanging="636"/>
        <w:spacing w:after="0" w:line="269" w:lineRule="auto"/>
        <w:tabs>
          <w:tab w:leader="none" w:pos="1915"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Working Capital Debt (including the then-outstanding funded and unfunded commitments in respect of the CD Revolving Loans) may not at any time exceed $3,000,000,000; and</w:t>
      </w:r>
    </w:p>
    <w:p>
      <w:pPr>
        <w:spacing w:after="0" w:line="159"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 set forth in Section 2.3(c)(ii) of the Common Terms Agreement has been satisfied.</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9"/>
          <w:szCs w:val="19"/>
          <w:u w:val="single" w:color="auto"/>
          <w:color w:val="auto"/>
        </w:rPr>
        <w:t>Maintenance of Designated Offtake Agreements</w:t>
      </w:r>
    </w:p>
    <w:p>
      <w:pPr>
        <w:spacing w:after="0" w:line="202" w:lineRule="exact"/>
        <w:rPr>
          <w:sz w:val="20"/>
          <w:szCs w:val="20"/>
          <w:color w:val="auto"/>
        </w:rPr>
      </w:pPr>
    </w:p>
    <w:p>
      <w:pPr>
        <w:jc w:val="both"/>
        <w:ind w:left="1280" w:hanging="634"/>
        <w:spacing w:after="0" w:line="250" w:lineRule="auto"/>
        <w:tabs>
          <w:tab w:leader="none" w:pos="12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at all times maintain Designated Offtake Agreements providing for commitments to purchase LNG in quantities at least equal to the Base Committed Quantity for each such Qualified Offtake Agreement’s applicable Qualified Term. If any Qualified Offtake Agreement has terminated, the Company shall either (i) designate another Qualified Offtake Agreement or enter into one or more additional Qualified Offtake Agreements within 180 days following such termination to the extent necessary to meet the Base Committed Quantity (provided that if at the end of such 180-day period, the Company is diligently pursuing one or more replacement Qualified Offtake Agreements, such period will be extended for an additional period (not to exceed ninety days) during which the Company reasonably expects to enter into such replacement Qualified Offtake Agreement(s) as long as the implementation of such extension could not reasonably be expected to result in a Material Adverse Effect) or (ii) make a prepayment, offer to make a prepayment (including any offer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3.9</w:t>
      </w:r>
      <w:r>
        <w:rPr>
          <w:rFonts w:ascii="Times New Roman" w:cs="Times New Roman" w:eastAsia="Times New Roman" w:hAnsi="Times New Roman"/>
          <w:sz w:val="20"/>
          <w:szCs w:val="20"/>
          <w:color w:val="auto"/>
        </w:rPr>
        <w:t xml:space="preserve">), or cancel commitments in respect of Senior Secured Debt. The principal amount of the Senior Secured Debt (which shall not extend to any Working Capital Debt unless only Working Capital Debt is then outstanding) that the Company shall repay or offer to prepay and/or the amount of undrawn Senior Secured Debt commitments that the Company shall cancel in accordance with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(x) the aggregate principal amount of Senior Secured Debt (excluding principal amounts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85" w:name="page86"/>
    <w:bookmarkEnd w:id="85"/>
    <w:p>
      <w:pPr>
        <w:jc w:val="both"/>
        <w:ind w:left="1280"/>
        <w:spacing w:after="0" w:line="252" w:lineRule="auto"/>
        <w:rPr>
          <w:sz w:val="20"/>
          <w:szCs w:val="20"/>
          <w:color w:val="auto"/>
        </w:rPr>
      </w:pPr>
      <w:r>
        <w:rPr>
          <w:rFonts w:ascii="Times New Roman" w:cs="Times New Roman" w:eastAsia="Times New Roman" w:hAnsi="Times New Roman"/>
          <w:sz w:val="20"/>
          <w:szCs w:val="20"/>
          <w:color w:val="auto"/>
        </w:rPr>
        <w:t xml:space="preserve">respect to Working Capital Debt unless only Working Capital Debt is then outstanding) then outstanding plus the aggregate principal amount of undrawn Senior Secured Debt Commitments (except with respect to Working Capital Debt unless only Working Capital Debt is then outstanding) less (y) the maximum principal amount of Senior Secured Debt that can be incurred or remain outstanding without producing an Indenture Projected DSCR of less than 1.20:1.00 for the period starting from the first Quarterly Payment Date for the repayment of principal after the end of the applicable cure period to the end of the calendar year in which such Quarterly Payment Date occurs, and for each calendar year thereafter through the Maturity Date (based on a Base Case Forecast updated only to take into account each Qualified Offtake Agreement in effect at such time (including any new Qualified Offtake Agreements entered into to replace an Offtake Agreement whose termination triggered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1280" w:hanging="634"/>
        <w:spacing w:after="0" w:line="283" w:lineRule="auto"/>
        <w:tabs>
          <w:tab w:leader="none" w:pos="127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permit the occurrence of any Impairment of any Required Export Authorization in respect of any Designated Offtake Agreement unless the Company:</w:t>
      </w:r>
    </w:p>
    <w:p>
      <w:pPr>
        <w:spacing w:after="0" w:line="132" w:lineRule="exact"/>
        <w:rPr>
          <w:rFonts w:ascii="Times New Roman" w:cs="Times New Roman" w:eastAsia="Times New Roman" w:hAnsi="Times New Roman"/>
          <w:sz w:val="20"/>
          <w:szCs w:val="20"/>
          <w:color w:val="auto"/>
        </w:rPr>
      </w:pPr>
    </w:p>
    <w:p>
      <w:pPr>
        <w:jc w:val="both"/>
        <w:ind w:left="1920" w:hanging="636"/>
        <w:spacing w:after="0" w:line="253" w:lineRule="auto"/>
        <w:tabs>
          <w:tab w:leader="none" w:pos="1915"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a reasonable remediation plan (setting forth in reasonable detail proposed steps to reinstate the Required Export Authorization, to designate any existing Qualified Offtake Agreement as a Designated Offtake Agreement, or to modify any Designated Offtake Agreement arrangements, such as through diversions or alternative delivery or sale arrangements, such that such DOE Export Authorization is no longer a Required Export Authorization within 360 days following such occurrence) with respect to any or all such Designated Offtake Agreements (each such item an “</w:t>
      </w:r>
      <w:r>
        <w:rPr>
          <w:rFonts w:ascii="Times New Roman" w:cs="Times New Roman" w:eastAsia="Times New Roman" w:hAnsi="Times New Roman"/>
          <w:sz w:val="20"/>
          <w:szCs w:val="20"/>
          <w:b w:val="1"/>
          <w:bCs w:val="1"/>
          <w:color w:val="auto"/>
        </w:rPr>
        <w:t>Export Authorization Remediation</w:t>
      </w:r>
      <w:r>
        <w:rPr>
          <w:rFonts w:ascii="Times New Roman" w:cs="Times New Roman" w:eastAsia="Times New Roman" w:hAnsi="Times New Roman"/>
          <w:sz w:val="20"/>
          <w:szCs w:val="20"/>
          <w:color w:val="auto"/>
        </w:rPr>
        <w:t>”) within thirty days following such occurrence;</w:t>
      </w:r>
    </w:p>
    <w:p>
      <w:pPr>
        <w:spacing w:after="0" w:line="165"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diligently pursues such Export Authorization Remediation; and</w:t>
      </w:r>
    </w:p>
    <w:p>
      <w:pPr>
        <w:spacing w:after="0" w:line="202" w:lineRule="exact"/>
        <w:rPr>
          <w:rFonts w:ascii="Times New Roman" w:cs="Times New Roman" w:eastAsia="Times New Roman" w:hAnsi="Times New Roman"/>
          <w:sz w:val="20"/>
          <w:szCs w:val="20"/>
          <w:color w:val="auto"/>
        </w:rPr>
      </w:pPr>
    </w:p>
    <w:p>
      <w:pPr>
        <w:jc w:val="both"/>
        <w:ind w:left="1920" w:hanging="636"/>
        <w:spacing w:after="0" w:line="249" w:lineRule="auto"/>
        <w:tabs>
          <w:tab w:leader="none" w:pos="1917"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causes such Export Authorization Remediation to take effect within 180 days following the occurrence of the Impairment;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Company shall have a further 180 days to effect an Export Authorization Remediation if the following conditions are met: (A) the Company is diligently pursuing its plan for the Export Authorization Remediation; (B) the Impairment of the Required Export Authorization of such Designated Offtake Agreement could not reasonably be expected to result in a Material Adverse Effect during such subsequent cure period; and (C) the Trustee has received a certification from the Company, prior to the expiration of the initial 180 day period, confirming that the conditions in subparts (A) and (B) of this proviso have been met, together with documentation reasonably supporting its certification, which may include, to the extent relevant and applicable, a description of the plans being undertaken for the Export Authorization Remediation (although commercially sensitive information may be omitted), any measures being taken by the Company to address the underlying cause of the Impairment to the extent relevant to the Impairment and Export Authorization Remediation, any legal measures being undertaken to reverse the Impairment, any interim cash flow mitigation measures being taken by the Company (including sales of spot cargoes), any modification to Offtake Agreement arrangements such that the Impaired DOE Export Authorization is no longer a Required Export Authorization with respect to any or all such Designated Offtake Agreements, and the impact on the Company projected Cash Flow during the subsequent cure period, and the Trustee (acting at the instruction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86" w:name="page87"/>
    <w:bookmarkEnd w:id="86"/>
    <w:p>
      <w:pPr>
        <w:jc w:val="both"/>
        <w:ind w:left="1920"/>
        <w:spacing w:after="0" w:line="261" w:lineRule="auto"/>
        <w:rPr>
          <w:sz w:val="20"/>
          <w:szCs w:val="20"/>
          <w:color w:val="auto"/>
        </w:rPr>
      </w:pPr>
      <w:r>
        <w:rPr>
          <w:rFonts w:ascii="Times New Roman" w:cs="Times New Roman" w:eastAsia="Times New Roman" w:hAnsi="Times New Roman"/>
          <w:sz w:val="20"/>
          <w:szCs w:val="20"/>
          <w:color w:val="auto"/>
        </w:rPr>
        <w:t>of the Noteholders of a majority in aggregate principal amount of the Notes then outstanding, which instructions shall be given by the Noteholders acting reasonably) has not objected to such certification within thirty days following delivery thereof.</w:t>
      </w:r>
    </w:p>
    <w:p>
      <w:pPr>
        <w:spacing w:after="0" w:line="154" w:lineRule="exact"/>
        <w:rPr>
          <w:sz w:val="20"/>
          <w:szCs w:val="20"/>
          <w:color w:val="auto"/>
        </w:rPr>
      </w:pPr>
    </w:p>
    <w:p>
      <w:pPr>
        <w:jc w:val="both"/>
        <w:ind w:left="1280" w:hanging="634"/>
        <w:spacing w:after="0" w:line="251" w:lineRule="auto"/>
        <w:tabs>
          <w:tab w:leader="none" w:pos="12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consent to any sale, transfer, assignment or disposition by any counterparty to a Designated Offtake Agreement of its interest in or rights or obligations under such Designated Offtake Agreement (if the Company has such consent rights under the applicable Designated Offtake Agreement) except for (i) as could not reasonably be expected to have a Material Adverse Effect, (ii) any assignments and transfers permitted or contemplated in the P1 Collateral Documents, (iii) assignments by a counterparty to its Affiliate as contemplated in, and in accordance with the terms of, the applicable Designated Offtake Agreement, and (iv) any assignments to any other Person so long as, (A) after giving effect to such assignment, the Company shall have received written confirmation from any Specified Rating Agency to the effect that the Specified Rating Agency has considered the contemplated transaction and that, if such event occurs, such Specified Rating Agency would reaffirm the then current rating of the Notes (or assign a higher rating) as of the date of such event or (B) the assignee of such Designated Offtake Agreement has at least one rating from any Recognized Credit Rating Agency that is the same or better than any rating of the original counterparty to such Designated Offtake Agreement by any Recognized Credit Rating Agency.</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19"/>
          <w:szCs w:val="19"/>
          <w:u w:val="single" w:color="auto"/>
          <w:color w:val="auto"/>
        </w:rPr>
        <w:t>Maintenance of Liens</w:t>
      </w:r>
    </w:p>
    <w:p>
      <w:pPr>
        <w:spacing w:after="0" w:line="202"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Without limiting the right of the Company to consummate Asset Sales in accordance with the Common Terms Agreement, the Company will preserve and maintain good, legal and valid title to, or rights in, the Collateral free and clear of Liens (other than Permitted Liens).</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19"/>
          <w:szCs w:val="19"/>
          <w:u w:val="single" w:color="auto"/>
          <w:color w:val="auto"/>
        </w:rPr>
        <w:t>Maintenance of Ratings</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The Company shall use its commercially reasonable efforts to cause the Notes to be rated by at least one of Moody’s, S&amp;P, Fitch, or DBRS.</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u w:val="single" w:color="auto"/>
          <w:color w:val="auto"/>
        </w:rPr>
        <w:t>Payments for Consent</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Company will not pay or cause to be paid, directly or indirectly, any consideration to or for the benefit of any Noteholder, in its capacity as a Noteholder, for or as an inducement to any consent, waiver or amendment of any of the terms or provisions of this Indenture or the Notes unless such consideration is offered to be paid and is paid on the same terms, ratably to all Noteholders that consent, waive or agree to amend in the time frame set forth in the solicitation documents relating to such consent, waiver or agreement. The Company will provide each Noteholder with reasonably detailed information, reasonably far in advance of the date a decision is required, to enable such holder to make an informed and considered decision with respect to any proposed amendment, waiver or consent to the Indenture or the Notes for which the consent of Noteholders is required under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hereof.</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19"/>
          <w:szCs w:val="19"/>
          <w:u w:val="single" w:color="auto"/>
          <w:color w:val="auto"/>
        </w:rPr>
        <w:t>Offer to Repurchase Upon Change of Control Triggering Event</w:t>
      </w:r>
    </w:p>
    <w:p>
      <w:pPr>
        <w:spacing w:after="0" w:line="198" w:lineRule="exact"/>
        <w:rPr>
          <w:sz w:val="20"/>
          <w:szCs w:val="20"/>
          <w:color w:val="auto"/>
        </w:rPr>
      </w:pPr>
    </w:p>
    <w:p>
      <w:pPr>
        <w:ind w:left="1280" w:hanging="634"/>
        <w:spacing w:after="0" w:line="287" w:lineRule="auto"/>
        <w:tabs>
          <w:tab w:leader="none" w:pos="12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Change of Control Triggering Event, the Company will make an offer (a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to each Noteholder to repurchase all or any part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87" w:name="page88"/>
    <w:bookmarkEnd w:id="87"/>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 xml:space="preserve">(equal to $100,000 or an integral multiple of $1,000 in excess thereof) of that Noteholder’s Notes at a purchase price in cash equal to 101% of the aggregate principal amount of Notes repurchased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on the Notes repurchased to, but not including, the date of repurchase, subject to the rights of Noteholders on the relevant record date to receive interest due on the relevant Interest Payment Date (the “</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No later than thirty days following any Change of Control Triggering Event, the Company will mail or deliver electronically, a notice to each Noteholder describing the transaction or transactions that constitute the Change of Control Triggering Event and stating:</w:t>
      </w:r>
    </w:p>
    <w:p>
      <w:pPr>
        <w:spacing w:after="0" w:line="165" w:lineRule="exact"/>
        <w:rPr>
          <w:sz w:val="20"/>
          <w:szCs w:val="20"/>
          <w:color w:val="auto"/>
        </w:rPr>
      </w:pPr>
    </w:p>
    <w:p>
      <w:pPr>
        <w:ind w:left="1920" w:hanging="636"/>
        <w:spacing w:after="0" w:line="283" w:lineRule="auto"/>
        <w:tabs>
          <w:tab w:leader="none" w:pos="191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the Change of Control Offer is being made pursuant to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and that all Notes tendered will be accepted for payment;</w:t>
      </w:r>
    </w:p>
    <w:p>
      <w:pPr>
        <w:spacing w:after="0" w:line="132" w:lineRule="exact"/>
        <w:rPr>
          <w:rFonts w:ascii="Times New Roman" w:cs="Times New Roman" w:eastAsia="Times New Roman" w:hAnsi="Times New Roman"/>
          <w:sz w:val="20"/>
          <w:szCs w:val="20"/>
          <w:color w:val="auto"/>
        </w:rPr>
      </w:pPr>
    </w:p>
    <w:p>
      <w:pPr>
        <w:ind w:left="1920" w:right="20" w:hanging="636"/>
        <w:spacing w:after="0" w:line="283" w:lineRule="auto"/>
        <w:tabs>
          <w:tab w:leader="none" w:pos="191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and the purchase date, which shall be no earlier than thirty days and no later than sixty days from the date such notice is mailed or delivered electronically (the “</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tendered will continue to accrete or accrue interest;</w:t>
      </w:r>
    </w:p>
    <w:p>
      <w:pPr>
        <w:spacing w:after="0" w:line="202" w:lineRule="exact"/>
        <w:rPr>
          <w:rFonts w:ascii="Times New Roman" w:cs="Times New Roman" w:eastAsia="Times New Roman" w:hAnsi="Times New Roman"/>
          <w:sz w:val="20"/>
          <w:szCs w:val="20"/>
          <w:color w:val="auto"/>
        </w:rPr>
      </w:pPr>
    </w:p>
    <w:p>
      <w:pPr>
        <w:jc w:val="both"/>
        <w:ind w:left="1920" w:hanging="636"/>
        <w:spacing w:after="0" w:line="261" w:lineRule="auto"/>
        <w:tabs>
          <w:tab w:leader="none" w:pos="19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the payment of the Change of Control Payment, all Notes accepted for payment pursuant to the Change of Control Offer will cease to accrete or accrue interest after the Change of Control Payment Date;</w:t>
      </w:r>
    </w:p>
    <w:p>
      <w:pPr>
        <w:spacing w:after="0" w:line="167" w:lineRule="exact"/>
        <w:rPr>
          <w:rFonts w:ascii="Times New Roman" w:cs="Times New Roman" w:eastAsia="Times New Roman" w:hAnsi="Times New Roman"/>
          <w:sz w:val="20"/>
          <w:szCs w:val="20"/>
          <w:color w:val="auto"/>
        </w:rPr>
      </w:pPr>
    </w:p>
    <w:p>
      <w:pPr>
        <w:jc w:val="both"/>
        <w:ind w:left="1920" w:hanging="636"/>
        <w:spacing w:after="0" w:line="254" w:lineRule="auto"/>
        <w:tabs>
          <w:tab w:leader="none" w:pos="191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electing to have any Notes purchased pursuant to a Change of Control Offer will be required to surrender the Notes, with the form entitled “</w:t>
      </w:r>
      <w:r>
        <w:rPr>
          <w:rFonts w:ascii="Times New Roman" w:cs="Times New Roman" w:eastAsia="Times New Roman" w:hAnsi="Times New Roman"/>
          <w:sz w:val="20"/>
          <w:szCs w:val="20"/>
          <w:i w:val="1"/>
          <w:iCs w:val="1"/>
          <w:color w:val="auto"/>
        </w:rPr>
        <w:t>Option of Noteholder to Elect Purchase</w:t>
      </w:r>
      <w:r>
        <w:rPr>
          <w:rFonts w:ascii="Times New Roman" w:cs="Times New Roman" w:eastAsia="Times New Roman" w:hAnsi="Times New Roman"/>
          <w:sz w:val="20"/>
          <w:szCs w:val="20"/>
          <w:color w:val="auto"/>
        </w:rPr>
        <w:t>” attached to the Notes completed, or transfer by book-entry transfer, to the Paying Agent at the address specified in the notice prior to the close of business on the third Business Day preceding the Change of Control Payment Date;</w:t>
      </w:r>
    </w:p>
    <w:p>
      <w:pPr>
        <w:spacing w:after="0" w:line="173" w:lineRule="exact"/>
        <w:rPr>
          <w:rFonts w:ascii="Times New Roman" w:cs="Times New Roman" w:eastAsia="Times New Roman" w:hAnsi="Times New Roman"/>
          <w:sz w:val="20"/>
          <w:szCs w:val="20"/>
          <w:color w:val="auto"/>
        </w:rPr>
      </w:pPr>
    </w:p>
    <w:p>
      <w:pPr>
        <w:jc w:val="both"/>
        <w:ind w:left="1920" w:hanging="636"/>
        <w:spacing w:after="0" w:line="254" w:lineRule="auto"/>
        <w:tabs>
          <w:tab w:leader="none" w:pos="19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will be entitled to withdraw their election if the Paying Agent receives, not later than the close of business on the second Business Day preceding the Change of Control Payment Date, electronically or by mail a notice setting forth the name of the Noteholder, the principal amount of Notes delivered for purchase, and a statement that such Noteholder is withdrawing his election to have the Notes purchased; and</w:t>
      </w:r>
    </w:p>
    <w:p>
      <w:pPr>
        <w:spacing w:after="0" w:line="173" w:lineRule="exact"/>
        <w:rPr>
          <w:rFonts w:ascii="Times New Roman" w:cs="Times New Roman" w:eastAsia="Times New Roman" w:hAnsi="Times New Roman"/>
          <w:sz w:val="20"/>
          <w:szCs w:val="20"/>
          <w:color w:val="auto"/>
        </w:rPr>
      </w:pPr>
    </w:p>
    <w:p>
      <w:pPr>
        <w:jc w:val="both"/>
        <w:ind w:left="1920" w:right="20" w:hanging="636"/>
        <w:spacing w:after="0" w:line="254" w:lineRule="auto"/>
        <w:tabs>
          <w:tab w:leader="none" w:pos="190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whose Notes are being purchased only in part will be issued new Notes equal in principal amount to the unpurchased portion of the Notes surrendered (with a Payment Schedule adjusted as set forth in Annex A), which unpurchased portion must be equal to $100,000 in principal amount or an integral multiple of $1,000 in excess thereof.</w:t>
      </w:r>
    </w:p>
    <w:p>
      <w:pPr>
        <w:spacing w:after="0" w:line="174" w:lineRule="exact"/>
        <w:rPr>
          <w:sz w:val="20"/>
          <w:szCs w:val="20"/>
          <w:color w:val="auto"/>
        </w:rPr>
      </w:pPr>
    </w:p>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 xml:space="preserve">The Company shall comply with the requirements of Rule 14e-1 under the Exchange Act and any other securities laws and regulations thereunder to the extent such laws and regulations are applicable in connection with the repurchase of the Notes as a result of a Change of Control Triggering Event. To the extent that the provisions of any securities laws or regulations conflict with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or compliance with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would constitute a violation of any such laws or regulations, the Company shall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88" w:name="page89"/>
    <w:bookmarkEnd w:id="88"/>
    <w:p>
      <w:pPr>
        <w:ind w:left="1280"/>
        <w:spacing w:after="0" w:line="283" w:lineRule="auto"/>
        <w:rPr>
          <w:sz w:val="20"/>
          <w:szCs w:val="20"/>
          <w:color w:val="auto"/>
        </w:rPr>
      </w:pPr>
      <w:r>
        <w:rPr>
          <w:rFonts w:ascii="Times New Roman" w:cs="Times New Roman" w:eastAsia="Times New Roman" w:hAnsi="Times New Roman"/>
          <w:sz w:val="20"/>
          <w:szCs w:val="20"/>
          <w:color w:val="auto"/>
        </w:rPr>
        <w:t xml:space="preserve">with the applicable securities laws and regulations and will not be deemed to have breached its obligations under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by virtue of such compliance.</w:t>
      </w:r>
    </w:p>
    <w:p>
      <w:pPr>
        <w:spacing w:after="0" w:line="133" w:lineRule="exact"/>
        <w:rPr>
          <w:sz w:val="20"/>
          <w:szCs w:val="20"/>
          <w:color w:val="auto"/>
        </w:rPr>
      </w:pPr>
    </w:p>
    <w:p>
      <w:pPr>
        <w:ind w:left="1280" w:hanging="634"/>
        <w:spacing w:after="0"/>
        <w:tabs>
          <w:tab w:leader="none" w:pos="12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Change of Control Payment Date, the Company will, to the extent lawful:</w:t>
      </w:r>
    </w:p>
    <w:p>
      <w:pPr>
        <w:spacing w:after="0" w:line="202"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for payment all Notes or portions of Notes properly tendered pursuant to the Change of Control Offer;</w:t>
      </w:r>
    </w:p>
    <w:p>
      <w:pPr>
        <w:spacing w:after="0" w:line="202" w:lineRule="exact"/>
        <w:rPr>
          <w:rFonts w:ascii="Times New Roman" w:cs="Times New Roman" w:eastAsia="Times New Roman" w:hAnsi="Times New Roman"/>
          <w:sz w:val="20"/>
          <w:szCs w:val="20"/>
          <w:color w:val="auto"/>
        </w:rPr>
      </w:pPr>
    </w:p>
    <w:p>
      <w:pPr>
        <w:ind w:left="1920" w:hanging="636"/>
        <w:spacing w:after="0" w:line="283" w:lineRule="auto"/>
        <w:tabs>
          <w:tab w:leader="none" w:pos="1916"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the Paying Agent an amount equal to the Change of Control Payment in respect of all Notes or portions of Notes properly tendered; and</w:t>
      </w:r>
    </w:p>
    <w:p>
      <w:pPr>
        <w:spacing w:after="0" w:line="132" w:lineRule="exact"/>
        <w:rPr>
          <w:rFonts w:ascii="Times New Roman" w:cs="Times New Roman" w:eastAsia="Times New Roman" w:hAnsi="Times New Roman"/>
          <w:sz w:val="20"/>
          <w:szCs w:val="20"/>
          <w:color w:val="auto"/>
        </w:rPr>
      </w:pPr>
    </w:p>
    <w:p>
      <w:pPr>
        <w:ind w:left="1920" w:hanging="636"/>
        <w:spacing w:after="0" w:line="283" w:lineRule="auto"/>
        <w:tabs>
          <w:tab w:leader="none" w:pos="191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or cause to be delivered to the Trustee the Notes properly accepted together with an Officer’s Certificate stating the aggregate principal amount of Notes or portions of Notes being purchased by the Company.</w:t>
      </w:r>
    </w:p>
    <w:p>
      <w:pPr>
        <w:spacing w:after="0" w:line="133" w:lineRule="exact"/>
        <w:rPr>
          <w:sz w:val="20"/>
          <w:szCs w:val="20"/>
          <w:color w:val="auto"/>
        </w:rPr>
      </w:pPr>
    </w:p>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 xml:space="preserve">The Paying Agent will promptly mail or electronically transmit (but in any case not later than five days after the Change of Control Payment Date) to each Noteholder properly tendered the Change of Control Payment for such Notes, and the Trustee will promptly authenticate and mail (or cause to be transferred by book entry) to each Noteholder a new Note equal in principal amount to any unpurchased portion of the Notes surrendered, if 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such new Note will be in a principal amount of $100,000 or an integral multiple of $1,000 in excess thereof.</w:t>
      </w:r>
    </w:p>
    <w:p>
      <w:pPr>
        <w:spacing w:after="0" w:line="178" w:lineRule="exact"/>
        <w:rPr>
          <w:sz w:val="20"/>
          <w:szCs w:val="20"/>
          <w:color w:val="auto"/>
        </w:rPr>
      </w:pPr>
    </w:p>
    <w:p>
      <w:pPr>
        <w:jc w:val="both"/>
        <w:ind w:left="1280" w:hanging="634"/>
        <w:spacing w:after="0" w:line="251" w:lineRule="auto"/>
        <w:tabs>
          <w:tab w:leader="none" w:pos="12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Noteholders of not less than 90% in aggregate principal amount of the outstanding Notes validly tender and do not withdraw such Notes in a Change of Control Offer and the Company, or any third party making a Change of Control Offer in lieu of the Company as described below, purchases all of the Notes validly tendered and not withdrawn by such Noteholders, the Company will have the right, upon not less than thirty nor more than sixty days’ prior notice, given not more than thirty days following such purchase pursuant to the Change of Control Offer described above, to redeem all Notes that remain outstanding following such purchase at a redemption price in cash equal to the applicable Change of Control Payment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to the extent not included in the Change of Control Payment, accrued and unpaid interest, if any, thereon, to, but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the date of redemption.</w:t>
      </w:r>
    </w:p>
    <w:p>
      <w:pPr>
        <w:spacing w:after="0" w:line="168"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27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the Company will not be required to make a Change of Control Offer upon a Change of Control Triggering Event if:</w:t>
      </w:r>
    </w:p>
    <w:p>
      <w:pPr>
        <w:spacing w:after="0" w:line="132" w:lineRule="exact"/>
        <w:rPr>
          <w:rFonts w:ascii="Times New Roman" w:cs="Times New Roman" w:eastAsia="Times New Roman" w:hAnsi="Times New Roman"/>
          <w:sz w:val="20"/>
          <w:szCs w:val="20"/>
          <w:color w:val="auto"/>
        </w:rPr>
      </w:pPr>
    </w:p>
    <w:p>
      <w:pPr>
        <w:jc w:val="both"/>
        <w:ind w:left="1920" w:right="20" w:hanging="636"/>
        <w:spacing w:after="0" w:line="261" w:lineRule="auto"/>
        <w:tabs>
          <w:tab w:leader="none" w:pos="1915"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third party makes the Change of Control Offer in the manner, at the times and otherwise in compliance with the requirements set forth in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and purchases all Notes properly tendered and not withdrawn under the Change of Control Offer; or</w:t>
      </w:r>
    </w:p>
    <w:p>
      <w:pPr>
        <w:spacing w:after="0" w:line="154" w:lineRule="exact"/>
        <w:rPr>
          <w:rFonts w:ascii="Times New Roman" w:cs="Times New Roman" w:eastAsia="Times New Roman" w:hAnsi="Times New Roman"/>
          <w:sz w:val="20"/>
          <w:szCs w:val="20"/>
          <w:color w:val="auto"/>
        </w:rPr>
      </w:pPr>
    </w:p>
    <w:p>
      <w:pPr>
        <w:ind w:left="1920" w:hanging="636"/>
        <w:spacing w:after="0" w:line="283" w:lineRule="auto"/>
        <w:tabs>
          <w:tab w:leader="none" w:pos="1916"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 of redemption has been given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with respect to a redemption of Notes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unless and until there is a default in payment of the applicable redemption price.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89" w:name="page90"/>
    <w:bookmarkEnd w:id="89"/>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u w:val="single" w:color="auto"/>
          <w:color w:val="auto"/>
        </w:rPr>
        <w:t>Events of Loss</w:t>
      </w:r>
    </w:p>
    <w:p>
      <w:pPr>
        <w:spacing w:after="0" w:line="202" w:lineRule="exact"/>
        <w:rPr>
          <w:sz w:val="20"/>
          <w:szCs w:val="20"/>
          <w:color w:val="auto"/>
        </w:rPr>
      </w:pPr>
    </w:p>
    <w:p>
      <w:pPr>
        <w:jc w:val="both"/>
        <w:ind w:left="1280" w:hanging="634"/>
        <w:spacing w:after="0" w:line="250" w:lineRule="auto"/>
        <w:tabs>
          <w:tab w:leader="none" w:pos="12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receives Loss Proceeds, in respect of any Event of Loss and does not apply such Loss Proceeds in accordance with Section 9.2(b) (</w:t>
      </w:r>
      <w:r>
        <w:rPr>
          <w:rFonts w:ascii="Times New Roman" w:cs="Times New Roman" w:eastAsia="Times New Roman" w:hAnsi="Times New Roman"/>
          <w:sz w:val="20"/>
          <w:szCs w:val="20"/>
          <w:i w:val="1"/>
          <w:iCs w:val="1"/>
          <w:color w:val="auto"/>
        </w:rPr>
        <w:t>Loss Proceeds</w:t>
      </w:r>
      <w:r>
        <w:rPr>
          <w:rFonts w:ascii="Times New Roman" w:cs="Times New Roman" w:eastAsia="Times New Roman" w:hAnsi="Times New Roman"/>
          <w:sz w:val="20"/>
          <w:szCs w:val="20"/>
          <w:color w:val="auto"/>
        </w:rPr>
        <w:t xml:space="preserve">) of the Collateral and Intercreditor Agreement, then, such Loss Proceeds that are not applied in such manner will constitute “Excess Loss Proceeds”. If on any day the aggregate amount of Excess Loss Proceeds is in excess of $300,000,000, then within ninety days after completing the relevant Restoration or the Company’s election not to Restore pursuant to the CFAA, the Company will make a Loss Proceeds Offer in accordance with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The offer price in any Loss Proceeds Offer will be equal to 100% of the principal amount of each Note so 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not including, the date of purchase and will be payable in cash. If any Excess Loss Proceeds remain unapplied after consummation of a Loss Proceeds Offer, the Company shall deposit such proceeds as directed in Section 9.7(a)(iii) (</w:t>
      </w:r>
      <w:r>
        <w:rPr>
          <w:rFonts w:ascii="Times New Roman" w:cs="Times New Roman" w:eastAsia="Times New Roman" w:hAnsi="Times New Roman"/>
          <w:sz w:val="20"/>
          <w:szCs w:val="20"/>
          <w:i w:val="1"/>
          <w:iCs w:val="1"/>
          <w:color w:val="auto"/>
        </w:rPr>
        <w:t>Application of Collateral Proceeds to the Senior Secured Obligations Prior to an Enforcement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Action</w:t>
      </w:r>
      <w:r>
        <w:rPr>
          <w:rFonts w:ascii="Times New Roman" w:cs="Times New Roman" w:eastAsia="Times New Roman" w:hAnsi="Times New Roman"/>
          <w:sz w:val="20"/>
          <w:szCs w:val="20"/>
          <w:color w:val="auto"/>
        </w:rPr>
        <w:t>) of the Collateral and Intercreditor Agreement. Upon completion of each Loss Proceeds Offer, the amount of Excess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Loss Proceeds will be reset at zero.</w:t>
      </w:r>
    </w:p>
    <w:p>
      <w:pPr>
        <w:spacing w:after="0" w:line="172" w:lineRule="exact"/>
        <w:rPr>
          <w:rFonts w:ascii="Times New Roman" w:cs="Times New Roman" w:eastAsia="Times New Roman" w:hAnsi="Times New Roman"/>
          <w:sz w:val="20"/>
          <w:szCs w:val="20"/>
          <w:color w:val="auto"/>
        </w:rPr>
      </w:pPr>
    </w:p>
    <w:p>
      <w:pPr>
        <w:jc w:val="both"/>
        <w:ind w:left="1280" w:hanging="634"/>
        <w:spacing w:after="0" w:line="257" w:lineRule="auto"/>
        <w:tabs>
          <w:tab w:leader="none" w:pos="127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those laws and regulations are applicable in connection with each repurchase of Notes pursuant to a Loss Proceeds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by virtue of such conflict.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19"/>
          <w:szCs w:val="19"/>
          <w:u w:val="single" w:color="auto"/>
          <w:color w:val="auto"/>
        </w:rPr>
        <w:t>Asset Sales</w:t>
      </w:r>
    </w:p>
    <w:p>
      <w:pPr>
        <w:spacing w:after="0" w:line="202" w:lineRule="exact"/>
        <w:rPr>
          <w:sz w:val="20"/>
          <w:szCs w:val="20"/>
          <w:color w:val="auto"/>
        </w:rPr>
      </w:pPr>
    </w:p>
    <w:p>
      <w:pPr>
        <w:jc w:val="both"/>
        <w:ind w:left="1280" w:hanging="634"/>
        <w:spacing w:after="0" w:line="251" w:lineRule="auto"/>
        <w:tabs>
          <w:tab w:leader="none" w:pos="12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receives Asset Sale Proceeds and does not use such Asset Sale Proceeds to purchase replacement property or prepay any other Senior Secured Debt in accordance with Section 9.3(b) (</w:t>
      </w:r>
      <w:r>
        <w:rPr>
          <w:rFonts w:ascii="Times New Roman" w:cs="Times New Roman" w:eastAsia="Times New Roman" w:hAnsi="Times New Roman"/>
          <w:sz w:val="20"/>
          <w:szCs w:val="20"/>
          <w:i w:val="1"/>
          <w:iCs w:val="1"/>
          <w:color w:val="auto"/>
        </w:rPr>
        <w:t>Asset Sale Proceeds</w:t>
      </w:r>
      <w:r>
        <w:rPr>
          <w:rFonts w:ascii="Times New Roman" w:cs="Times New Roman" w:eastAsia="Times New Roman" w:hAnsi="Times New Roman"/>
          <w:sz w:val="20"/>
          <w:szCs w:val="20"/>
          <w:color w:val="auto"/>
        </w:rPr>
        <w:t xml:space="preserve">) of the Collateral and Intercreditor Agreement, then, such Asset Sale Proceeds that are not applied in such manner will constitute “Excess Asset Sale Proceeds”. If on any day the aggregate amount of Excess Asset Sale Proceeds is in excess of $300,000,000, then within thirty days after the expiry of the period during which the Company is permitted to use such Excess Asset Sale Proceeds pursuant to the Collateral and Intercreditor Agreement, the Company will make an Asset Sale Offer in accordance with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The offer price in any Asset Sale Offer will be equal to 100% of the principal amount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not including, the date of purchase and will be payable in cash. If any Excess Asset Sale Proceeds remain unapplied after consummation of an Asset Sale Offer, the Company shall deposit such proceeds as directed in Section 9.7(a)(iii) (</w:t>
      </w:r>
      <w:r>
        <w:rPr>
          <w:rFonts w:ascii="Times New Roman" w:cs="Times New Roman" w:eastAsia="Times New Roman" w:hAnsi="Times New Roman"/>
          <w:sz w:val="20"/>
          <w:szCs w:val="20"/>
          <w:i w:val="1"/>
          <w:iCs w:val="1"/>
          <w:color w:val="auto"/>
        </w:rPr>
        <w:t>Application of Collateral Proceeds to the Senior Secured Obligations Prior to an Enforcement Action</w:t>
      </w:r>
      <w:r>
        <w:rPr>
          <w:rFonts w:ascii="Times New Roman" w:cs="Times New Roman" w:eastAsia="Times New Roman" w:hAnsi="Times New Roman"/>
          <w:sz w:val="20"/>
          <w:szCs w:val="20"/>
          <w:color w:val="auto"/>
        </w:rPr>
        <w:t>) of the Collateral and Intercreditor Agreement. Upon completion of each Asset Sale Offer, the amount of Excess Asset Sale Proceeds will be reset at zero.</w:t>
      </w:r>
    </w:p>
    <w:p>
      <w:pPr>
        <w:spacing w:after="0" w:line="164" w:lineRule="exact"/>
        <w:rPr>
          <w:rFonts w:ascii="Times New Roman" w:cs="Times New Roman" w:eastAsia="Times New Roman" w:hAnsi="Times New Roman"/>
          <w:sz w:val="20"/>
          <w:szCs w:val="20"/>
          <w:color w:val="auto"/>
        </w:rPr>
      </w:pPr>
    </w:p>
    <w:p>
      <w:pPr>
        <w:ind w:left="1280" w:hanging="634"/>
        <w:spacing w:after="0" w:line="283" w:lineRule="auto"/>
        <w:tabs>
          <w:tab w:leader="none" w:pos="127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the sale, conveyance or other disposition of all or substantially all of the assets of the Company, will be governed by the provisions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not by the provisions of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90" w:name="page91"/>
    <w:bookmarkEnd w:id="90"/>
    <w:p>
      <w:pPr>
        <w:jc w:val="both"/>
        <w:ind w:left="1280" w:hanging="634"/>
        <w:spacing w:after="0" w:line="253" w:lineRule="auto"/>
        <w:tabs>
          <w:tab w:leader="none" w:pos="12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or compliance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would constitute a violation of any such laws or regulations,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by virtue of such compliance.</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19"/>
          <w:szCs w:val="19"/>
          <w:u w:val="single" w:color="auto"/>
          <w:color w:val="auto"/>
        </w:rPr>
        <w:t>Performance Liquidated Damages</w:t>
      </w:r>
    </w:p>
    <w:p>
      <w:pPr>
        <w:spacing w:after="0" w:line="202" w:lineRule="exact"/>
        <w:rPr>
          <w:sz w:val="20"/>
          <w:szCs w:val="20"/>
          <w:color w:val="auto"/>
        </w:rPr>
      </w:pPr>
    </w:p>
    <w:p>
      <w:pPr>
        <w:jc w:val="both"/>
        <w:ind w:left="1300" w:hanging="644"/>
        <w:spacing w:after="0" w:line="264" w:lineRule="auto"/>
        <w:tabs>
          <w:tab w:leader="none" w:pos="129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receives Performance Liquidated Damages and does not use such Performance Liquidated Damages to rectify any damages or losses suffered under the relevant Material Project Document resulting from a breach thereof by the applicable Material Project Party or make indemnity payments to Offtakers, in each case, in accordance with Section 9.4(b) (</w:t>
      </w:r>
      <w:r>
        <w:rPr>
          <w:rFonts w:ascii="Times New Roman" w:cs="Times New Roman" w:eastAsia="Times New Roman" w:hAnsi="Times New Roman"/>
          <w:sz w:val="19"/>
          <w:szCs w:val="19"/>
          <w:i w:val="1"/>
          <w:iCs w:val="1"/>
          <w:color w:val="auto"/>
        </w:rPr>
        <w:t>Performance Liquidated Damages</w:t>
      </w:r>
      <w:r>
        <w:rPr>
          <w:rFonts w:ascii="Times New Roman" w:cs="Times New Roman" w:eastAsia="Times New Roman" w:hAnsi="Times New Roman"/>
          <w:sz w:val="19"/>
          <w:szCs w:val="19"/>
          <w:color w:val="auto"/>
        </w:rPr>
        <w:t xml:space="preserve">) of the Collateral and Intercreditor Agreement, then such Performance Liquidated Damages that are not applied in such manner will be deemed “PLD Excess Proceeds.” If on any day the aggregate amount of PLD Excess Proceeds is in excess of $300,000,000, within ninety days after the expiry of the period during which the Company is permitted to use such Performance Liquidated Damages pursuant to the Collateral and Intercreditor Agreement, the Company will make a PLD Proceeds Offer in accordance with Section 3.9. The offer price in any PLD Proceeds Offer will be equal to 100% of the principal amount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accrued and unpaid interest, if any, to, but not including, the date of purchase and will be payable in cash. If any PLD Excess Proceeds remain unapplied after consummation of a PLD Proceeds Offer, the Company shall deposit such proceeds as directed in Section 9.7(a)(iii) (</w:t>
      </w:r>
      <w:r>
        <w:rPr>
          <w:rFonts w:ascii="Times New Roman" w:cs="Times New Roman" w:eastAsia="Times New Roman" w:hAnsi="Times New Roman"/>
          <w:sz w:val="19"/>
          <w:szCs w:val="19"/>
          <w:i w:val="1"/>
          <w:iCs w:val="1"/>
          <w:color w:val="auto"/>
        </w:rPr>
        <w:t>Application of Collateral Proceeds to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Senior Secured Obligations Prior to an Enforcement Action</w:t>
      </w:r>
      <w:r>
        <w:rPr>
          <w:rFonts w:ascii="Times New Roman" w:cs="Times New Roman" w:eastAsia="Times New Roman" w:hAnsi="Times New Roman"/>
          <w:sz w:val="19"/>
          <w:szCs w:val="19"/>
          <w:color w:val="auto"/>
        </w:rPr>
        <w:t>) of the Collateral and Intercreditor Agreement. Upon completion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each PLD Proceeds Offer, the amount of PLD Excess Proceeds for the purposes of this paragraph will be reset at zero.</w:t>
      </w:r>
    </w:p>
    <w:p>
      <w:pPr>
        <w:spacing w:after="0" w:line="183" w:lineRule="exact"/>
        <w:rPr>
          <w:rFonts w:ascii="Times New Roman" w:cs="Times New Roman" w:eastAsia="Times New Roman" w:hAnsi="Times New Roman"/>
          <w:sz w:val="19"/>
          <w:szCs w:val="19"/>
          <w:color w:val="auto"/>
        </w:rPr>
      </w:pPr>
    </w:p>
    <w:p>
      <w:pPr>
        <w:jc w:val="both"/>
        <w:ind w:left="1280" w:hanging="634"/>
        <w:spacing w:after="0" w:line="251" w:lineRule="auto"/>
        <w:tabs>
          <w:tab w:leader="none" w:pos="127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such laws and regulations are applicable in connection with each repurchase of Notes pursuant to a PLD Proceeds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4.15, or compliance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would constitute a violation of any such laws or regulations,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by virtue of such compliance.</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19"/>
          <w:szCs w:val="19"/>
          <w:u w:val="single" w:color="auto"/>
          <w:color w:val="auto"/>
        </w:rPr>
        <w:t>BLK Senior Notes DSRA</w:t>
      </w:r>
    </w:p>
    <w:p>
      <w:pPr>
        <w:spacing w:after="0" w:line="202" w:lineRule="exact"/>
        <w:rPr>
          <w:sz w:val="20"/>
          <w:szCs w:val="20"/>
          <w:color w:val="auto"/>
        </w:rPr>
      </w:pPr>
    </w:p>
    <w:p>
      <w:pPr>
        <w:jc w:val="both"/>
        <w:ind w:left="1280" w:hanging="634"/>
        <w:spacing w:after="0" w:line="253" w:lineRule="auto"/>
        <w:tabs>
          <w:tab w:leader="none" w:pos="12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on or prior to the Project Completion Date, the Company shall cause the BLK Senior Notes DSRA to be funded in cash and/or by DSR Credit Support (as defined in the P1 Accounts Agreement) in accordance with the P1 Accounts Agreement in an amount equal to the Indenture Debt Service Reserve Amount. For the avoidance of doubt, other than as expressly provided in the foregoing sentence, the funding of the BLK Senior Notes DSRA shall not otherwise be an affirmative covenant hereunder or under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91" w:name="page92"/>
    <w:bookmarkEnd w:id="91"/>
    <w:p>
      <w:pPr>
        <w:ind w:left="1280"/>
        <w:spacing w:after="0"/>
        <w:rPr>
          <w:sz w:val="20"/>
          <w:szCs w:val="20"/>
          <w:color w:val="auto"/>
        </w:rPr>
      </w:pPr>
      <w:r>
        <w:rPr>
          <w:rFonts w:ascii="Times New Roman" w:cs="Times New Roman" w:eastAsia="Times New Roman" w:hAnsi="Times New Roman"/>
          <w:sz w:val="20"/>
          <w:szCs w:val="20"/>
          <w:color w:val="auto"/>
        </w:rPr>
        <w:t>Senior Secured Credit Document (as defined in the Collateral and Intercreditor Agreement).</w:t>
      </w:r>
    </w:p>
    <w:p>
      <w:pPr>
        <w:spacing w:after="0" w:line="202" w:lineRule="exact"/>
        <w:rPr>
          <w:sz w:val="20"/>
          <w:szCs w:val="20"/>
          <w:color w:val="auto"/>
        </w:rPr>
      </w:pPr>
    </w:p>
    <w:p>
      <w:pPr>
        <w:ind w:left="1280" w:hanging="634"/>
        <w:spacing w:after="0" w:line="283" w:lineRule="auto"/>
        <w:tabs>
          <w:tab w:leader="none" w:pos="127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definition of “DSRA Reserve Amount” set forth in the P1 Accounts Agreement, the amount required to be funded pursuant to this Indenture shall be the Indenture Debt Service Reserve Amount.</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19"/>
          <w:szCs w:val="19"/>
          <w:u w:val="single" w:color="auto"/>
          <w:color w:val="auto"/>
        </w:rPr>
        <w:t>Material Project Documents.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Company shall not agree to any material amendment or termination of any Material Project Document (other than any RG Facility Agreement) to which it is or becomes a party unless (a) a copy of such amendment or termination has been delivered to the P1 Intercreditor Agent in advance of the effective date thereof along with a certificate of an Authorized Officer of the Company certifying that the proposed amendment or termination could not reasonably be expected to have a Material Adverse Effect or (b) the Company has obtained the consent of the Trustee (acting at the instruction of a majority of the Noteholders) to such amendment or termination.</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4.18</w:t>
      </w:r>
      <w:r>
        <w:rPr>
          <w:sz w:val="20"/>
          <w:szCs w:val="20"/>
          <w:color w:val="auto"/>
        </w:rPr>
        <w:tab/>
      </w:r>
      <w:r>
        <w:rPr>
          <w:rFonts w:ascii="Times New Roman" w:cs="Times New Roman" w:eastAsia="Times New Roman" w:hAnsi="Times New Roman"/>
          <w:sz w:val="19"/>
          <w:szCs w:val="19"/>
          <w:u w:val="single" w:color="auto"/>
          <w:color w:val="auto"/>
        </w:rPr>
        <w:t>Insurance.</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Company will, and will cause each of its subsidiaries to, maintain, with an insurer of recognized financial responsibility,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4.19</w:t>
      </w:r>
      <w:r>
        <w:rPr>
          <w:sz w:val="20"/>
          <w:szCs w:val="20"/>
          <w:color w:val="auto"/>
        </w:rPr>
        <w:tab/>
      </w:r>
      <w:r>
        <w:rPr>
          <w:rFonts w:ascii="Times New Roman" w:cs="Times New Roman" w:eastAsia="Times New Roman" w:hAnsi="Times New Roman"/>
          <w:sz w:val="19"/>
          <w:szCs w:val="19"/>
          <w:u w:val="single" w:color="auto"/>
          <w:color w:val="auto"/>
        </w:rPr>
        <w:t>Maintenance of Properties.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4.20</w:t>
      </w:r>
      <w:r>
        <w:rPr>
          <w:sz w:val="20"/>
          <w:szCs w:val="20"/>
          <w:color w:val="auto"/>
        </w:rPr>
        <w:tab/>
      </w:r>
      <w:r>
        <w:rPr>
          <w:rFonts w:ascii="Times New Roman" w:cs="Times New Roman" w:eastAsia="Times New Roman" w:hAnsi="Times New Roman"/>
          <w:sz w:val="19"/>
          <w:szCs w:val="19"/>
          <w:u w:val="single" w:color="auto"/>
          <w:color w:val="auto"/>
        </w:rPr>
        <w:t>Books and Records.</w:t>
      </w:r>
    </w:p>
    <w:p>
      <w:pPr>
        <w:spacing w:after="0" w:line="216"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in all material respects and the Company will, and will cause each of its subsidiaries to, continue to maintain such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92" w:name="page93"/>
    <w:bookmarkEnd w:id="92"/>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4.21</w:t>
      </w:r>
      <w:r>
        <w:rPr>
          <w:sz w:val="20"/>
          <w:szCs w:val="20"/>
          <w:color w:val="auto"/>
        </w:rPr>
        <w:tab/>
      </w:r>
      <w:r>
        <w:rPr>
          <w:rFonts w:ascii="Times New Roman" w:cs="Times New Roman" w:eastAsia="Times New Roman" w:hAnsi="Times New Roman"/>
          <w:sz w:val="19"/>
          <w:szCs w:val="19"/>
          <w:u w:val="single" w:color="auto"/>
          <w:color w:val="auto"/>
        </w:rPr>
        <w:t>Inspection Reports.</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Upon the request of a Noteholder, or group of Noteholders, that (i) individually or collectively hold at least 25% of the then outstanding principal amount of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clause (i) shall not apply at any time an Event of Default has occurred and is continuing) and (ii) qualify as an Institutional Investor(s), the Trustee will request the P1 Intercreditor Agent to promptly (x) exercise its rights under Section 4.11 (</w:t>
      </w:r>
      <w:r>
        <w:rPr>
          <w:rFonts w:ascii="Times New Roman" w:cs="Times New Roman" w:eastAsia="Times New Roman" w:hAnsi="Times New Roman"/>
          <w:sz w:val="20"/>
          <w:szCs w:val="20"/>
          <w:i w:val="1"/>
          <w:iCs w:val="1"/>
          <w:color w:val="auto"/>
        </w:rPr>
        <w:t>Access; Inspections</w:t>
      </w:r>
      <w:r>
        <w:rPr>
          <w:rFonts w:ascii="Times New Roman" w:cs="Times New Roman" w:eastAsia="Times New Roman" w:hAnsi="Times New Roman"/>
          <w:sz w:val="20"/>
          <w:szCs w:val="20"/>
          <w:color w:val="auto"/>
        </w:rPr>
        <w:t>) of the Common Terms Agreement with respect to such matters referred to therein as may be requested by such Noteholder(s) in a written notice to the Trustee and (y) deliver to the Trustee (for further delivery to all Noteholders) a reasonably detailed report in respect of any exercise of the P1 Intercreditor Agent’s rights under Section 4.11 (</w:t>
      </w:r>
      <w:r>
        <w:rPr>
          <w:rFonts w:ascii="Times New Roman" w:cs="Times New Roman" w:eastAsia="Times New Roman" w:hAnsi="Times New Roman"/>
          <w:sz w:val="20"/>
          <w:szCs w:val="20"/>
          <w:i w:val="1"/>
          <w:iCs w:val="1"/>
          <w:color w:val="auto"/>
        </w:rPr>
        <w:t>Access; Inspections</w:t>
      </w:r>
      <w:r>
        <w:rPr>
          <w:rFonts w:ascii="Times New Roman" w:cs="Times New Roman" w:eastAsia="Times New Roman" w:hAnsi="Times New Roman"/>
          <w:sz w:val="20"/>
          <w:szCs w:val="20"/>
          <w:color w:val="auto"/>
        </w:rPr>
        <w:t>) of the Common Terms Agreement with respect to the matters requested by the Noteholders in such notice to the Trustee.</w:t>
      </w:r>
    </w:p>
    <w:p>
      <w:pPr>
        <w:spacing w:after="0" w:line="205"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0"/>
          <w:szCs w:val="20"/>
          <w:color w:val="auto"/>
        </w:rPr>
        <w:t xml:space="preserve">In any case, any such report shall be subject to the confidentiality provisions of Section 15.15 </w:t>
      </w:r>
      <w:r>
        <w:rPr>
          <w:rFonts w:ascii="Times New Roman" w:cs="Times New Roman" w:eastAsia="Times New Roman" w:hAnsi="Times New Roman"/>
          <w:sz w:val="20"/>
          <w:szCs w:val="20"/>
          <w:i w:val="1"/>
          <w:iCs w:val="1"/>
          <w:color w:val="auto"/>
        </w:rPr>
        <w:t>(Termination of Certain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Confidentiality) </w:t>
      </w:r>
      <w:r>
        <w:rPr>
          <w:rFonts w:ascii="Times New Roman" w:cs="Times New Roman" w:eastAsia="Times New Roman" w:hAnsi="Times New Roman"/>
          <w:sz w:val="20"/>
          <w:szCs w:val="20"/>
          <w:color w:val="auto"/>
        </w:rPr>
        <w:t>of the Collateral and Intercreditor Agreement or analogous confidentiality restrictions required by the Company.</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4.22</w:t>
      </w:r>
      <w:r>
        <w:rPr>
          <w:sz w:val="20"/>
          <w:szCs w:val="20"/>
          <w:color w:val="auto"/>
        </w:rPr>
        <w:tab/>
      </w:r>
      <w:r>
        <w:rPr>
          <w:rFonts w:ascii="Times New Roman" w:cs="Times New Roman" w:eastAsia="Times New Roman" w:hAnsi="Times New Roman"/>
          <w:sz w:val="19"/>
          <w:szCs w:val="19"/>
          <w:u w:val="single" w:color="auto"/>
          <w:color w:val="auto"/>
        </w:rPr>
        <w:t>Sanctions Regulations, Etc.</w:t>
      </w:r>
    </w:p>
    <w:p>
      <w:pPr>
        <w:spacing w:after="0" w:line="202"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19"/>
          <w:szCs w:val="19"/>
          <w:color w:val="auto"/>
        </w:rPr>
        <w:t>The Company shall, and shall cause each of its subsidiaries to, comply in all material respects with Sanctions Regulations. Without limiting the foregoing, the Company agrees that if it obtains knowledge or receives any notice that the Company or its subsidiaries or any Person holding a legal or beneficial interest therein (whether directly or indirectly) is or becomes a Restricted Person, then the Company will comply with all applicable Sanctions Regulations with respect thereto. The Company will not, and will not permit any Person to directly or knowingly indirectly have any investment in or engage in any dealing or transaction (including using, lending, making payments of, contributing or otherwise making available, all or any part of, the proceeds of the Notes or other transactions contemplated by this Indenture or any other P1 Financing Document) with any Person if such investment, dealing or transaction (i) involves or is for the benefit of any Restricted Person or any Sanctioned Country except to the extent permitted for a Person required to comply with Sanctions Regulations, (ii) would cause any Noteholder or any Affiliate of such Noteholder to be in violation of, or the subject of applicable Sanctions Regulations or (iii) in any other manner that could reasonably be expected to result in any Person being in breach of any Sanctions Regulations (if any to the extent applicable to any of them) or becoming a Restricted Person.</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4.23</w:t>
      </w:r>
      <w:r>
        <w:rPr>
          <w:sz w:val="20"/>
          <w:szCs w:val="20"/>
          <w:color w:val="auto"/>
        </w:rPr>
        <w:tab/>
      </w:r>
      <w:r>
        <w:rPr>
          <w:rFonts w:ascii="Times New Roman" w:cs="Times New Roman" w:eastAsia="Times New Roman" w:hAnsi="Times New Roman"/>
          <w:sz w:val="19"/>
          <w:szCs w:val="19"/>
          <w:u w:val="single" w:color="auto"/>
          <w:color w:val="auto"/>
        </w:rPr>
        <w:t>Designated Offtake Agreements.</w:t>
      </w:r>
    </w:p>
    <w:p>
      <w:pPr>
        <w:spacing w:after="0" w:line="216"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Within thirty days after executing a Designated Offtake Agreement, the Company shall deliver to the Trustee a Consent Agreement with respect to such Designated Offtake Agreement.</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4.24</w:t>
      </w:r>
      <w:r>
        <w:rPr>
          <w:sz w:val="20"/>
          <w:szCs w:val="20"/>
          <w:color w:val="auto"/>
        </w:rPr>
        <w:tab/>
      </w:r>
      <w:r>
        <w:rPr>
          <w:rFonts w:ascii="Times New Roman" w:cs="Times New Roman" w:eastAsia="Times New Roman" w:hAnsi="Times New Roman"/>
          <w:sz w:val="19"/>
          <w:szCs w:val="19"/>
          <w:u w:val="single" w:color="auto"/>
          <w:color w:val="auto"/>
        </w:rPr>
        <w:t>Accounts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shall not establish any bank accounts other than the P1 Accounts and the Common Accounts.</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4.25</w:t>
      </w:r>
      <w:r>
        <w:rPr>
          <w:sz w:val="20"/>
          <w:szCs w:val="20"/>
          <w:color w:val="auto"/>
        </w:rPr>
        <w:tab/>
      </w:r>
      <w:r>
        <w:rPr>
          <w:rFonts w:ascii="Times New Roman" w:cs="Times New Roman" w:eastAsia="Times New Roman" w:hAnsi="Times New Roman"/>
          <w:sz w:val="19"/>
          <w:szCs w:val="19"/>
          <w:u w:val="single" w:color="auto"/>
          <w:color w:val="auto"/>
        </w:rPr>
        <w:t>Limitation on Formation of Controlled Subsidiaries</w:t>
      </w:r>
    </w:p>
    <w:p>
      <w:pPr>
        <w:spacing w:after="0" w:line="202"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20"/>
          <w:szCs w:val="20"/>
          <w:color w:val="auto"/>
        </w:rPr>
        <w:t>The Company shall not form or create any new Controlled Subsidiaries other than the RG Facility Entities (during any period when such RG Facility Entities remain Controlled Subsidiaries).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93" w:name="page94"/>
    <w:bookmarkEnd w:id="93"/>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4.26</w:t>
      </w:r>
      <w:r>
        <w:rPr>
          <w:sz w:val="20"/>
          <w:szCs w:val="20"/>
          <w:color w:val="auto"/>
        </w:rPr>
        <w:tab/>
      </w:r>
      <w:r>
        <w:rPr>
          <w:rFonts w:ascii="Times New Roman" w:cs="Times New Roman" w:eastAsia="Times New Roman" w:hAnsi="Times New Roman"/>
          <w:sz w:val="19"/>
          <w:szCs w:val="19"/>
          <w:u w:val="single" w:color="auto"/>
          <w:color w:val="auto"/>
        </w:rPr>
        <w:t>Historical DSCR</w:t>
      </w:r>
    </w:p>
    <w:p>
      <w:pPr>
        <w:spacing w:after="0" w:line="202" w:lineRule="exact"/>
        <w:rPr>
          <w:sz w:val="20"/>
          <w:szCs w:val="20"/>
          <w:color w:val="auto"/>
        </w:rPr>
      </w:pPr>
    </w:p>
    <w:p>
      <w:pPr>
        <w:jc w:val="both"/>
        <w:ind w:left="1280" w:hanging="634"/>
        <w:spacing w:after="0" w:line="261" w:lineRule="auto"/>
        <w:tabs>
          <w:tab w:leader="none" w:pos="12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Together with the delivery of financial statements in accordance with Section 4.3(c)(2) in respect of each full Fiscal Quarter occurring after the Initial Principal Payment Date, the Company shall calculate and deliver to the Trustee and the Noteholders its calculation of the Historical DSCR.</w:t>
      </w:r>
    </w:p>
    <w:p>
      <w:pPr>
        <w:spacing w:after="0" w:line="167" w:lineRule="exact"/>
        <w:rPr>
          <w:rFonts w:ascii="Times New Roman" w:cs="Times New Roman" w:eastAsia="Times New Roman" w:hAnsi="Times New Roman"/>
          <w:sz w:val="20"/>
          <w:szCs w:val="20"/>
          <w:color w:val="auto"/>
        </w:rPr>
      </w:pPr>
    </w:p>
    <w:p>
      <w:pPr>
        <w:jc w:val="both"/>
        <w:ind w:left="1280" w:hanging="634"/>
        <w:spacing w:after="0" w:line="249" w:lineRule="auto"/>
        <w:tabs>
          <w:tab w:leader="none" w:pos="127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permit the Historical DSCR as of the end of any Fiscal Quarter from and following the Initial Principal Payment Date to be less than 1.10 to 1.00; provided, that a failure to meet the required ratio as a result of a failure to maintain a Designated Offtake Agreement shall be addressed pursuant to Section 4.8(a) and not pursuant this Section 4.26; provided, further, that, notwithstanding anything to the contrary herein or in any P1 Financing Document, if the Historical DSCR as of the end of any Fiscal Quarter following the Initial Principal Payment Date is (or would be) less than 1.10 to 1.00, then any direct or indirect owner of the Company shall have the right to provide cash to the Company, not later than twenty Business Days following the date of delivery of the calculation of the Historical DSCR as required pursuant to Section 4.26(a) by (A) transferring from the Distribution Account to the P1 Revenue Account or (B) causing the Equity Owners to deposit in the P1 Revenue Account such amount as, when added to the otherwise applicable Cash Flow for purposes of calculating Historical CFADS for the applicable period, would cause the Historical DSCR for such period to equal or exceed 1.10 to 1.00 (and upon such transfer or deposit, any default under this Section 4.26(b) shall be deemed immediately cured) (provided, that the Company shall not have the right to cure a default of this Section 4.26(b) by operation hereof in respect of more than six Fiscal Quarters in aggregate prior to the Maturity Date and in each four consecutive Fiscal Quarter period there shall be at least two Fiscal Quarters in which no cure of a default of this Section 4.26(b) shall have been made (it being expressly understood and agreed that a cure of a default of this Section 4.26(b) may be exercised in consecutive Fiscal Quarters)).</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4.27</w:t>
      </w:r>
      <w:r>
        <w:rPr>
          <w:sz w:val="20"/>
          <w:szCs w:val="20"/>
          <w:color w:val="auto"/>
        </w:rPr>
        <w:tab/>
      </w:r>
      <w:r>
        <w:rPr>
          <w:rFonts w:ascii="Times New Roman" w:cs="Times New Roman" w:eastAsia="Times New Roman" w:hAnsi="Times New Roman"/>
          <w:sz w:val="19"/>
          <w:szCs w:val="19"/>
          <w:u w:val="single" w:color="auto"/>
          <w:color w:val="auto"/>
        </w:rPr>
        <w:t>Affiliated Noteholder Cap</w:t>
      </w:r>
    </w:p>
    <w:p>
      <w:pPr>
        <w:spacing w:after="0" w:line="20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The aggregate principal amount of Notes held at any one time by the Company and/or an Affiliate of the Company (other than any Debt Fund Affiliate), shall not, in the aggregate, exceed 25% of the principal amount of Notes at such time outstanding (measured at the time of purchase).</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4.28</w:t>
      </w:r>
      <w:r>
        <w:rPr>
          <w:sz w:val="20"/>
          <w:szCs w:val="20"/>
          <w:color w:val="auto"/>
        </w:rPr>
        <w:tab/>
      </w:r>
      <w:r>
        <w:rPr>
          <w:rFonts w:ascii="Times New Roman" w:cs="Times New Roman" w:eastAsia="Times New Roman" w:hAnsi="Times New Roman"/>
          <w:sz w:val="19"/>
          <w:szCs w:val="19"/>
          <w:u w:val="single" w:color="auto"/>
          <w:color w:val="auto"/>
        </w:rPr>
        <w:t>Note Guarantees</w:t>
      </w:r>
    </w:p>
    <w:p>
      <w:pPr>
        <w:spacing w:after="0" w:line="202"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Unless and until such guarantee is released in accordance with the CD Credit Agreement (or such other Indebtedness represented by any replacement or refinancing of all or a portion of the Senior Secured Debt under the CD Credit Agreement), the Company will cause each Controlled Subsidiary that is or becomes a guarantor in respect of Senior Secured Debt under the CD Credit Agreement (or as a guarantor of Indebtedness represented by any replacement or refinancing of all or a portion of the Senior Secured Debt under the CD Credit Agreement) to provide a Note Guarantee within 60 days.</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4.29</w:t>
      </w:r>
      <w:r>
        <w:rPr>
          <w:sz w:val="20"/>
          <w:szCs w:val="20"/>
          <w:color w:val="auto"/>
        </w:rPr>
        <w:tab/>
      </w:r>
      <w:r>
        <w:rPr>
          <w:rFonts w:ascii="Times New Roman" w:cs="Times New Roman" w:eastAsia="Times New Roman" w:hAnsi="Times New Roman"/>
          <w:sz w:val="19"/>
          <w:szCs w:val="19"/>
          <w:u w:val="single" w:color="auto"/>
          <w:color w:val="auto"/>
        </w:rPr>
        <w:t>Supplemental Indenture</w:t>
      </w:r>
    </w:p>
    <w:p>
      <w:pPr>
        <w:spacing w:after="0" w:line="202" w:lineRule="exact"/>
        <w:rPr>
          <w:sz w:val="20"/>
          <w:szCs w:val="20"/>
          <w:color w:val="auto"/>
        </w:rPr>
      </w:pPr>
    </w:p>
    <w:p>
      <w:pPr>
        <w:jc w:val="both"/>
        <w:ind w:left="640"/>
        <w:spacing w:after="0" w:line="227" w:lineRule="auto"/>
        <w:rPr>
          <w:sz w:val="20"/>
          <w:szCs w:val="20"/>
          <w:color w:val="auto"/>
        </w:rPr>
      </w:pPr>
      <w:r>
        <w:rPr>
          <w:rFonts w:ascii="Times New Roman" w:cs="Times New Roman" w:eastAsia="Times New Roman" w:hAnsi="Times New Roman"/>
          <w:sz w:val="19"/>
          <w:szCs w:val="19"/>
          <w:color w:val="auto"/>
        </w:rPr>
        <w:t>The Company will use commercially reasonable efforts for a period of thirty days after the date of this Indenture to (a) obtain the noteholder consents required pursuant to the 2033 Notes Indenture to enter into the 2033 Notes First Supplemental Indenture and (b)</w:t>
      </w:r>
    </w:p>
    <w:p>
      <w:pPr>
        <w:ind w:left="640"/>
        <w:spacing w:after="0"/>
        <w:rPr>
          <w:sz w:val="20"/>
          <w:szCs w:val="20"/>
          <w:color w:val="auto"/>
        </w:rPr>
      </w:pPr>
      <w:r>
        <w:rPr>
          <w:rFonts w:ascii="Times New Roman" w:cs="Times New Roman" w:eastAsia="Times New Roman" w:hAnsi="Times New Roman"/>
          <w:sz w:val="20"/>
          <w:szCs w:val="20"/>
          <w:color w:val="auto"/>
        </w:rPr>
        <w:t>to the extent such consents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94" w:name="page95"/>
    <w:bookmarkEnd w:id="94"/>
    <w:p>
      <w:pPr>
        <w:ind w:left="640"/>
        <w:spacing w:after="0"/>
        <w:rPr>
          <w:sz w:val="20"/>
          <w:szCs w:val="20"/>
          <w:color w:val="auto"/>
        </w:rPr>
      </w:pPr>
      <w:r>
        <w:rPr>
          <w:rFonts w:ascii="Times New Roman" w:cs="Times New Roman" w:eastAsia="Times New Roman" w:hAnsi="Times New Roman"/>
          <w:sz w:val="19"/>
          <w:szCs w:val="19"/>
          <w:color w:val="auto"/>
        </w:rPr>
        <w:t>obtained pursuant to the terms of the 2033 Notes Indenture, to cause the trustee under the 2033 Notes Indenture to enter into the 2033</w:t>
      </w:r>
    </w:p>
    <w:p>
      <w:pPr>
        <w:spacing w:after="0" w:line="6"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Notes First Supplemental Indenture; provided, that, for the avoidance of doubt, nothing in this Section 4.29 shall require the Company to (x) pay any amendment, consent, or other fees (including any fees to third parties to solicit consents) or (y) agree to any</w:t>
      </w:r>
    </w:p>
    <w:p>
      <w:pPr>
        <w:ind w:left="640"/>
        <w:spacing w:after="0" w:line="211" w:lineRule="auto"/>
        <w:rPr>
          <w:sz w:val="20"/>
          <w:szCs w:val="20"/>
          <w:color w:val="auto"/>
        </w:rPr>
      </w:pPr>
      <w:r>
        <w:rPr>
          <w:rFonts w:ascii="Times New Roman" w:cs="Times New Roman" w:eastAsia="Times New Roman" w:hAnsi="Times New Roman"/>
          <w:sz w:val="20"/>
          <w:szCs w:val="20"/>
          <w:color w:val="auto"/>
        </w:rPr>
        <w:t>amendment or other modification to the 2033 Notes Indenture that is less favorable to, or more restrictive on, the Company than</w:t>
      </w:r>
    </w:p>
    <w:p>
      <w:pPr>
        <w:ind w:left="640"/>
        <w:spacing w:after="0" w:line="221" w:lineRule="auto"/>
        <w:rPr>
          <w:sz w:val="20"/>
          <w:szCs w:val="20"/>
          <w:color w:val="auto"/>
        </w:rPr>
      </w:pPr>
      <w:r>
        <w:rPr>
          <w:rFonts w:ascii="Times New Roman" w:cs="Times New Roman" w:eastAsia="Times New Roman" w:hAnsi="Times New Roman"/>
          <w:sz w:val="20"/>
          <w:szCs w:val="20"/>
          <w:color w:val="auto"/>
        </w:rPr>
        <w:t>existing on the date hereof, in either case, to obtain the foregoing consents by such noteholders or to cause such trustee to enter into the 2033 Notes First Supplemental Indenture.</w:t>
      </w:r>
    </w:p>
    <w:p>
      <w:pPr>
        <w:spacing w:after="0" w:line="158" w:lineRule="exact"/>
        <w:rPr>
          <w:sz w:val="20"/>
          <w:szCs w:val="20"/>
          <w:color w:val="auto"/>
        </w:rPr>
      </w:pPr>
    </w:p>
    <w:p>
      <w:pPr>
        <w:ind w:left="640" w:hanging="632"/>
        <w:spacing w:after="0"/>
        <w:tabs>
          <w:tab w:leader="none" w:pos="64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Merger, Consolidation, or Sale of Assets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Company may not, directly or indirectly: consolidate, amalgamate or merge with or into another Person (regardless of whether the Company is the surviving entity); convert into another form of entity or continue in another jurisdiction where such conversion or continuance would be adverse in any material respect to the Noteholders; sell, assign, transfer, lease, convey or otherwise dispose of all or substantially all of its properties or assets, in one or more related transactions, to another Person; or dissolve, liquidate, terminate, reorganize or wind up nor take any action to amend or modify its corporate constituent or governing documents where such amendment would be adverse in any material respect to the Noteholders, unless:</w:t>
      </w:r>
    </w:p>
    <w:p>
      <w:pPr>
        <w:spacing w:after="0" w:line="165" w:lineRule="exact"/>
        <w:rPr>
          <w:sz w:val="20"/>
          <w:szCs w:val="20"/>
          <w:color w:val="auto"/>
        </w:rPr>
      </w:pPr>
    </w:p>
    <w:p>
      <w:pPr>
        <w:ind w:left="1280" w:hanging="634"/>
        <w:spacing w:after="0"/>
        <w:tabs>
          <w:tab w:leader="none" w:pos="12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Rating Reaffirmation shall have occurred; or</w:t>
      </w:r>
    </w:p>
    <w:p>
      <w:pPr>
        <w:spacing w:after="0" w:line="215" w:lineRule="exact"/>
        <w:rPr>
          <w:rFonts w:ascii="Times New Roman" w:cs="Times New Roman" w:eastAsia="Times New Roman" w:hAnsi="Times New Roman"/>
          <w:sz w:val="20"/>
          <w:szCs w:val="20"/>
          <w:color w:val="auto"/>
        </w:rPr>
      </w:pPr>
    </w:p>
    <w:p>
      <w:pPr>
        <w:ind w:left="1280" w:hanging="634"/>
        <w:spacing w:after="0" w:line="269" w:lineRule="auto"/>
        <w:tabs>
          <w:tab w:leader="none" w:pos="127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action or transaction has been approved by the Trustee acting at the instruction of the Noteholders of a majority in aggregate principal amount of the Notes then outstanding.</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Successor Corporation Substituted</w:t>
      </w:r>
    </w:p>
    <w:p>
      <w:pPr>
        <w:spacing w:after="0" w:line="216"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9"/>
          <w:szCs w:val="19"/>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xml:space="preserve">” shall refer instead to the successor Person and not to the Company), and may exercise every right and power of the Company under this Indenture with the same effect as if such successor Person had been named as the Company 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predecessor Company shall not be relieved from the obligation to pay the principal of and interest on the Notes except in the case of a sale of all of the Company’s assets in a transaction that is subject to, and that complies with the provisions of,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ind w:left="640" w:hanging="632"/>
        <w:spacing w:after="0"/>
        <w:tabs>
          <w:tab w:leader="none" w:pos="64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DEFAULTS AND REMEDIES</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Events of Default</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of the following is an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1280" w:hanging="634"/>
        <w:spacing w:after="0" w:line="283" w:lineRule="auto"/>
        <w:tabs>
          <w:tab w:leader="none" w:pos="12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Company fails to pay principal amounts due on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failure to pay is caused by an administrative or technical error, the Company shall have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399" w:right="339" w:bottom="1440" w:gutter="0" w:footer="0" w:header="0"/>
        </w:sectPr>
      </w:pPr>
    </w:p>
    <w:bookmarkStart w:id="95" w:name="page96"/>
    <w:bookmarkEnd w:id="95"/>
    <w:p>
      <w:pPr>
        <w:ind w:left="1280"/>
        <w:spacing w:after="0" w:line="283" w:lineRule="auto"/>
        <w:rPr>
          <w:sz w:val="20"/>
          <w:szCs w:val="20"/>
          <w:color w:val="auto"/>
        </w:rPr>
      </w:pPr>
      <w:r>
        <w:rPr>
          <w:rFonts w:ascii="Times New Roman" w:cs="Times New Roman" w:eastAsia="Times New Roman" w:hAnsi="Times New Roman"/>
          <w:sz w:val="20"/>
          <w:szCs w:val="20"/>
          <w:color w:val="auto"/>
        </w:rPr>
        <w:t>three Business Days to cure such failure); or (ii) the Company fails to pay interest or other amounts due on the Notes within three Business Days of the same becoming due;</w:t>
      </w:r>
    </w:p>
    <w:p>
      <w:pPr>
        <w:spacing w:after="0" w:line="129" w:lineRule="exact"/>
        <w:rPr>
          <w:sz w:val="20"/>
          <w:szCs w:val="20"/>
          <w:color w:val="auto"/>
        </w:rPr>
      </w:pPr>
    </w:p>
    <w:p>
      <w:pPr>
        <w:jc w:val="both"/>
        <w:ind w:left="1280" w:hanging="634"/>
        <w:spacing w:after="0" w:line="254" w:lineRule="auto"/>
        <w:tabs>
          <w:tab w:leader="none" w:pos="127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of Default” specified in Article 7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 xml:space="preserve">) of the Common Terms Agreement has occurred and is continuing and has not been Waived in accordance with the Collateral and Intercreditor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amendment or other modification to Section 7.5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of the Common Terms Agreement that results in the occurrence of a Bankruptcy with respect to the Company not being an “Event of Default” under such Section 7.5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shall be effective with respect to the Notes unless such amendment or other modification is approved by the Holders of a majority in aggregate principal amount of the Notes then outstanding;</w:t>
      </w:r>
    </w:p>
    <w:p>
      <w:pPr>
        <w:spacing w:after="0" w:line="163"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to consummate a purchase of Notes when required pursuant to </w:t>
      </w:r>
      <w:r>
        <w:rPr>
          <w:rFonts w:ascii="Times New Roman" w:cs="Times New Roman" w:eastAsia="Times New Roman" w:hAnsi="Times New Roman"/>
          <w:sz w:val="20"/>
          <w:szCs w:val="20"/>
          <w:u w:val="single" w:color="auto"/>
          <w:color w:val="auto"/>
        </w:rPr>
        <w:t>Sections 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to comply with the provisions of </w:t>
      </w:r>
      <w:r>
        <w:rPr>
          <w:rFonts w:ascii="Times New Roman" w:cs="Times New Roman" w:eastAsia="Times New Roman" w:hAnsi="Times New Roman"/>
          <w:sz w:val="20"/>
          <w:szCs w:val="20"/>
          <w:u w:val="single" w:color="auto"/>
          <w:color w:val="auto"/>
        </w:rPr>
        <w:t>Sections 4.6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80" w:hanging="634"/>
        <w:spacing w:after="0" w:line="269" w:lineRule="auto"/>
        <w:tabs>
          <w:tab w:leader="none" w:pos="12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to comply with the provisions of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xml:space="preserve"> and such failure shall result in a Material Adverse Effect;</w:t>
      </w:r>
    </w:p>
    <w:p>
      <w:pPr>
        <w:spacing w:after="0" w:line="145" w:lineRule="exact"/>
        <w:rPr>
          <w:rFonts w:ascii="Times New Roman" w:cs="Times New Roman" w:eastAsia="Times New Roman" w:hAnsi="Times New Roman"/>
          <w:sz w:val="20"/>
          <w:szCs w:val="20"/>
          <w:color w:val="auto"/>
        </w:rPr>
      </w:pPr>
    </w:p>
    <w:p>
      <w:pPr>
        <w:ind w:left="1280" w:hanging="634"/>
        <w:spacing w:after="0" w:line="283" w:lineRule="auto"/>
        <w:tabs>
          <w:tab w:leader="none" w:pos="127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for thirty days after notice from the Trustee or the Noteholders of at least 33⅓% in aggregate principal amount of the then outstanding Notes to comply with the provisions of </w:t>
      </w:r>
      <w:r>
        <w:rPr>
          <w:rFonts w:ascii="Times New Roman" w:cs="Times New Roman" w:eastAsia="Times New Roman" w:hAnsi="Times New Roman"/>
          <w:sz w:val="20"/>
          <w:szCs w:val="20"/>
          <w:u w:val="single" w:color="auto"/>
          <w:color w:val="auto"/>
        </w:rPr>
        <w:t>Sections 4.5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4.7</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for sixty days after notice from the Trustee or the Noteholders of at least 33⅓% in aggregate principal amount of the then outstanding Notes to comply with any of the other agreements in this Indenture; provided that such period shall be ninety days with respect to </w:t>
      </w:r>
      <w:r>
        <w:rPr>
          <w:rFonts w:ascii="Times New Roman" w:cs="Times New Roman" w:eastAsia="Times New Roman" w:hAnsi="Times New Roman"/>
          <w:sz w:val="20"/>
          <w:szCs w:val="20"/>
          <w:u w:val="single" w:color="auto"/>
          <w:color w:val="auto"/>
        </w:rPr>
        <w:t>Section 4.3(k)</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Liens in favor of the Senior Secured Parties under the Senior Security Documents shall at any time cease to constitute valid and perfected Liens granting a first priority security interest in any material portion of the Collateral (subject to Permitted Liens);</w:t>
      </w:r>
    </w:p>
    <w:p>
      <w:pPr>
        <w:spacing w:after="0" w:line="154"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Project fails to achieve the Project Completion Date on or before the Date Certain;</w:t>
      </w:r>
    </w:p>
    <w:p>
      <w:pPr>
        <w:spacing w:after="0" w:line="202" w:lineRule="exact"/>
        <w:rPr>
          <w:rFonts w:ascii="Times New Roman" w:cs="Times New Roman" w:eastAsia="Times New Roman" w:hAnsi="Times New Roman"/>
          <w:sz w:val="20"/>
          <w:szCs w:val="20"/>
          <w:color w:val="auto"/>
        </w:rPr>
      </w:pPr>
    </w:p>
    <w:p>
      <w:pPr>
        <w:jc w:val="both"/>
        <w:ind w:left="1280" w:hanging="634"/>
        <w:spacing w:after="0" w:line="267" w:lineRule="auto"/>
        <w:tabs>
          <w:tab w:leader="none" w:pos="1274"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Project Document (other than any Designated Offtake Agreement) (i) is expressly repudiated in writing by the Material Project Party that is the counterparty thereto and such repudiation could reasonably be expected to have a Material Adverse Effect, (ii) is declared unenforceable in a final judgment of a court of competent jurisdiction against any party, such unenforceability is not cured, and such unenforceability could reasonably be expected to have a Material Adverse Effect, or</w:t>
      </w:r>
    </w:p>
    <w:p>
      <w:pPr>
        <w:spacing w:after="0" w:line="1" w:lineRule="exact"/>
        <w:rPr>
          <w:rFonts w:ascii="Times New Roman" w:cs="Times New Roman" w:eastAsia="Times New Roman" w:hAnsi="Times New Roman"/>
          <w:sz w:val="19"/>
          <w:szCs w:val="19"/>
          <w:color w:val="auto"/>
        </w:rPr>
      </w:pPr>
    </w:p>
    <w:p>
      <w:pPr>
        <w:jc w:val="both"/>
        <w:ind w:left="1280" w:firstLine="4"/>
        <w:spacing w:after="0" w:line="248" w:lineRule="auto"/>
        <w:tabs>
          <w:tab w:leader="none" w:pos="1644"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have been terminated or shall for any reason cease to be valid and binding or in full force and effect or shall be materially Impaired (in each case, except in connection with its expiration in accordance with its terms in the ordinary course (and not related to any default or early termination right thereunder)) and such termination, failure to be valid, binding, or in full force and effect, or material Impairment could reasonably be expected to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Event of Default shall have occurred pursuant to this </w:t>
      </w:r>
      <w:r>
        <w:rPr>
          <w:rFonts w:ascii="Times New Roman" w:cs="Times New Roman" w:eastAsia="Times New Roman" w:hAnsi="Times New Roman"/>
          <w:sz w:val="20"/>
          <w:szCs w:val="20"/>
          <w:u w:val="single" w:color="auto"/>
          <w:color w:val="auto"/>
        </w:rPr>
        <w:t>Section 6.1(j)</w:t>
      </w:r>
      <w:r>
        <w:rPr>
          <w:rFonts w:ascii="Times New Roman" w:cs="Times New Roman" w:eastAsia="Times New Roman" w:hAnsi="Times New Roman"/>
          <w:sz w:val="20"/>
          <w:szCs w:val="20"/>
          <w:color w:val="auto"/>
        </w:rPr>
        <w:t xml:space="preserve"> if (x) such event or circumstance is cured within sixty days of such event or circumstance or (y) the Company notifies the Trustee that it intends to replace such Material Project Document and diligently pursues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96" w:name="page97"/>
    <w:bookmarkEnd w:id="96"/>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replacement and the applicable Material Project Document is replaced within ninety days with an Additional Material Project Document which has substantially similar or more favorable economic effect for Company, as applicable, when taken as a whole together with any other agreements related thereto and which has substantially similar or more favorable non-economic terms (taken as a whole together with any other agreements related thereto) for Company, as applicable, as the Material Project Document being replaced; and</w:t>
      </w:r>
    </w:p>
    <w:p>
      <w:pPr>
        <w:spacing w:after="0" w:line="174" w:lineRule="exact"/>
        <w:rPr>
          <w:sz w:val="20"/>
          <w:szCs w:val="20"/>
          <w:color w:val="auto"/>
        </w:rPr>
      </w:pPr>
    </w:p>
    <w:p>
      <w:pPr>
        <w:jc w:val="both"/>
        <w:ind w:left="1280" w:hanging="634"/>
        <w:spacing w:after="0" w:line="252" w:lineRule="auto"/>
        <w:tabs>
          <w:tab w:leader="none" w:pos="127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7.7 (</w:t>
      </w:r>
      <w:r>
        <w:rPr>
          <w:rFonts w:ascii="Times New Roman" w:cs="Times New Roman" w:eastAsia="Times New Roman" w:hAnsi="Times New Roman"/>
          <w:sz w:val="20"/>
          <w:szCs w:val="20"/>
          <w:i w:val="1"/>
          <w:iCs w:val="1"/>
          <w:color w:val="auto"/>
        </w:rPr>
        <w:t>Illegality or Unenforceability</w:t>
      </w:r>
      <w:r>
        <w:rPr>
          <w:rFonts w:ascii="Times New Roman" w:cs="Times New Roman" w:eastAsia="Times New Roman" w:hAnsi="Times New Roman"/>
          <w:sz w:val="20"/>
          <w:szCs w:val="20"/>
          <w:color w:val="auto"/>
        </w:rPr>
        <w:t>) of the Common Terms Agreement, any Necessary Senior Secured Debt Instrument or any material provision thereof, (i) is declared by a court of competent jurisdiction to be illegal or unenforceable and such unenforceability or illegality is not cured within five Business Days following the date of entry of such judgment (provided, that such five Business Day period will apply only so long as the relevant party is attempting in good faith to cure such unenforceability), (ii) should otherwise cease to be valid and binding or in full force and effect or shall be materially Impaired (in each case, except in connection with its expiration or termination in accordance with its terms in the ordinary course (and not related to any default hereunder or thereunder)), or (iii) is expressly terminated, contested or repudiated by the Company.</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Acceleration</w:t>
      </w:r>
    </w:p>
    <w:p>
      <w:pPr>
        <w:spacing w:after="0" w:line="198"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In the case of an Event of Default specified in Section 7.5(a)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of the Common Terms Agreement, all outstanding Notes will become due and payable immediately without further action or notice (subject to applicable law).</w:t>
      </w:r>
    </w:p>
    <w:p>
      <w:pPr>
        <w:spacing w:after="0" w:line="1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any other Event of Default occurs and is continuing, the Trustee or the Noteholders of at least 33⅓% in aggregate principal amount of the then outstanding Notes may declare all the Notes to be due and payable immediately, by notice in writing to the Company, specifying the Event of Default.</w:t>
      </w:r>
    </w:p>
    <w:p>
      <w:pPr>
        <w:spacing w:after="0" w:line="16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Company waives any and all claims, in law and/or in equity, against the Trustee, and agrees not to commence any legal proceeding against the Trustee in respect of, and agrees that the Trustee will not be liable for any action that the trustee takes in accordance with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or arising out of or in connection with following instructions.</w:t>
      </w:r>
    </w:p>
    <w:p>
      <w:pPr>
        <w:spacing w:after="0" w:line="200" w:lineRule="exact"/>
        <w:rPr>
          <w:sz w:val="20"/>
          <w:szCs w:val="20"/>
          <w:color w:val="auto"/>
        </w:rPr>
      </w:pPr>
    </w:p>
    <w:p>
      <w:pPr>
        <w:spacing w:after="0" w:line="400"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Company hereby confirms that any and all other actions that the Trustee takes or omits to take under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and all fees, costs and expenses of the Trustee and its agents and counsel arising hereunder and in connection herewith shall be covered by the Company’s indemnification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of this Indenture.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Upon any such declaration, the Notes shall become due and payable immediately.</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Other Remedies</w:t>
      </w:r>
    </w:p>
    <w:p>
      <w:pPr>
        <w:spacing w:after="0" w:line="21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97" w:name="page98"/>
    <w:bookmarkEnd w:id="97"/>
    <w:p>
      <w:pPr>
        <w:jc w:val="both"/>
        <w:ind w:left="640" w:right="20"/>
        <w:spacing w:after="0" w:line="258" w:lineRule="auto"/>
        <w:rPr>
          <w:sz w:val="20"/>
          <w:szCs w:val="20"/>
          <w:color w:val="auto"/>
        </w:rPr>
      </w:pPr>
      <w:r>
        <w:rPr>
          <w:rFonts w:ascii="Times New Roman" w:cs="Times New Roman" w:eastAsia="Times New Roman" w:hAnsi="Times New Roman"/>
          <w:sz w:val="20"/>
          <w:szCs w:val="20"/>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All remedies are cumulative to the extent permitted by law.</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u w:val="single" w:color="auto"/>
          <w:color w:val="auto"/>
        </w:rPr>
        <w:t>Waiver of Past Defaults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Noteholders of a majority in aggregate principal amount of the then outstanding Notes by notice to the Trustee may on behalf of all Noteholders waive an existing Default or Event of Default and its consequences hereunder, except a continuing Default or Event of Default in the payment of the principal of, premium, if any, or interest on,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Noteholders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u w:val="single" w:color="auto"/>
          <w:color w:val="auto"/>
        </w:rPr>
        <w:t>Control by Majority</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Noteholders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Noteholders or that may involve the Trustee in personal liability.</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u w:val="single" w:color="auto"/>
          <w:color w:val="auto"/>
        </w:rPr>
        <w:t>Limitation on Suits</w:t>
      </w:r>
    </w:p>
    <w:p>
      <w:pPr>
        <w:spacing w:after="0" w:line="216"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a Noteholder may pursue a remedy with respect to this Indenture or the Notes only if:</w:t>
      </w:r>
    </w:p>
    <w:p>
      <w:pPr>
        <w:spacing w:after="0" w:line="146" w:lineRule="exact"/>
        <w:rPr>
          <w:sz w:val="20"/>
          <w:szCs w:val="20"/>
          <w:color w:val="auto"/>
        </w:rPr>
      </w:pPr>
    </w:p>
    <w:p>
      <w:pPr>
        <w:ind w:left="1280" w:hanging="634"/>
        <w:spacing w:after="0"/>
        <w:tabs>
          <w:tab w:leader="none" w:pos="128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Noteholder has previously given the Trustee written notice that an Event of Default is continuing;</w:t>
      </w:r>
    </w:p>
    <w:p>
      <w:pPr>
        <w:spacing w:after="0" w:line="215" w:lineRule="exact"/>
        <w:rPr>
          <w:rFonts w:ascii="Times New Roman" w:cs="Times New Roman" w:eastAsia="Times New Roman" w:hAnsi="Times New Roman"/>
          <w:sz w:val="20"/>
          <w:szCs w:val="20"/>
          <w:color w:val="auto"/>
        </w:rPr>
      </w:pPr>
    </w:p>
    <w:p>
      <w:pPr>
        <w:ind w:left="1280" w:hanging="634"/>
        <w:spacing w:after="0" w:line="269" w:lineRule="auto"/>
        <w:tabs>
          <w:tab w:leader="none" w:pos="127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Noteholders of at least 33⅓% in aggregate principal amount of the then outstanding Notes make a written request to the Trustee to pursue the remedy;</w:t>
      </w:r>
    </w:p>
    <w:p>
      <w:pPr>
        <w:spacing w:after="0" w:line="159" w:lineRule="exact"/>
        <w:rPr>
          <w:rFonts w:ascii="Times New Roman" w:cs="Times New Roman" w:eastAsia="Times New Roman" w:hAnsi="Times New Roman"/>
          <w:sz w:val="20"/>
          <w:szCs w:val="20"/>
          <w:color w:val="auto"/>
        </w:rPr>
      </w:pPr>
    </w:p>
    <w:p>
      <w:pPr>
        <w:ind w:left="1280" w:hanging="634"/>
        <w:spacing w:after="0" w:line="269" w:lineRule="auto"/>
        <w:tabs>
          <w:tab w:leader="none" w:pos="128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Noteholder or Noteholders have offered the Trustee security or indemnity satisfactory to the Trustee against any loss, liability or expense;</w:t>
      </w:r>
    </w:p>
    <w:p>
      <w:pPr>
        <w:spacing w:after="0" w:line="145" w:lineRule="exact"/>
        <w:rPr>
          <w:rFonts w:ascii="Times New Roman" w:cs="Times New Roman" w:eastAsia="Times New Roman" w:hAnsi="Times New Roman"/>
          <w:sz w:val="20"/>
          <w:szCs w:val="20"/>
          <w:color w:val="auto"/>
        </w:rPr>
      </w:pPr>
    </w:p>
    <w:p>
      <w:pPr>
        <w:ind w:left="1280" w:hanging="634"/>
        <w:spacing w:after="0" w:line="283" w:lineRule="auto"/>
        <w:tabs>
          <w:tab w:leader="none" w:pos="127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has not complied with such request within sixty days after the receipt of the request and the offer of security or indemnity; and</w:t>
      </w:r>
    </w:p>
    <w:p>
      <w:pPr>
        <w:spacing w:after="0" w:line="132" w:lineRule="exact"/>
        <w:rPr>
          <w:rFonts w:ascii="Times New Roman" w:cs="Times New Roman" w:eastAsia="Times New Roman" w:hAnsi="Times New Roman"/>
          <w:sz w:val="20"/>
          <w:szCs w:val="20"/>
          <w:color w:val="auto"/>
        </w:rPr>
      </w:pPr>
    </w:p>
    <w:p>
      <w:pPr>
        <w:ind w:left="1280" w:hanging="634"/>
        <w:spacing w:after="0" w:line="283" w:lineRule="auto"/>
        <w:tabs>
          <w:tab w:leader="none" w:pos="128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Noteholders of a majority in aggregate principal amount of the then outstanding Notes have not given the Trustee a direction inconsistent with such request within such sixty-day period.</w:t>
      </w:r>
    </w:p>
    <w:p>
      <w:pPr>
        <w:spacing w:after="0" w:line="133" w:lineRule="exact"/>
        <w:rPr>
          <w:sz w:val="20"/>
          <w:szCs w:val="20"/>
          <w:color w:val="auto"/>
        </w:rPr>
      </w:pPr>
    </w:p>
    <w:p>
      <w:pPr>
        <w:ind w:left="640"/>
        <w:spacing w:after="0" w:line="283" w:lineRule="auto"/>
        <w:rPr>
          <w:sz w:val="20"/>
          <w:szCs w:val="20"/>
          <w:color w:val="auto"/>
        </w:rPr>
      </w:pPr>
      <w:r>
        <w:rPr>
          <w:rFonts w:ascii="Times New Roman" w:cs="Times New Roman" w:eastAsia="Times New Roman" w:hAnsi="Times New Roman"/>
          <w:sz w:val="20"/>
          <w:szCs w:val="20"/>
          <w:color w:val="auto"/>
        </w:rPr>
        <w:t>A Noteholder may not use this Indenture to prejudice the rights of another Noteholder or to obtain a preference or priority over another Noteholder.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98" w:name="page99"/>
    <w:bookmarkEnd w:id="98"/>
    <w:p>
      <w:pPr>
        <w:spacing w:after="0"/>
        <w:tabs>
          <w:tab w:leader="none" w:pos="62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u w:val="single" w:color="auto"/>
          <w:color w:val="auto"/>
        </w:rPr>
        <w:t>Rights of Noteholders to Receive Payment</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 other provision of this Indenture, the right of any Noteholder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Noteholder;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Noteholder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9"/>
          <w:szCs w:val="19"/>
          <w:u w:val="single" w:color="auto"/>
          <w:color w:val="auto"/>
        </w:rPr>
        <w:t>Collection Suit by Trustee</w:t>
      </w:r>
    </w:p>
    <w:p>
      <w:pPr>
        <w:spacing w:after="0" w:line="198"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if an Event of Default specified in Section 7.1 (</w:t>
      </w:r>
      <w:r>
        <w:rPr>
          <w:rFonts w:ascii="Times New Roman" w:cs="Times New Roman" w:eastAsia="Times New Roman" w:hAnsi="Times New Roman"/>
          <w:sz w:val="20"/>
          <w:szCs w:val="20"/>
          <w:i w:val="1"/>
          <w:iCs w:val="1"/>
          <w:color w:val="auto"/>
        </w:rPr>
        <w:t>Non-Payment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Senior Secured Debt</w:t>
      </w:r>
      <w:r>
        <w:rPr>
          <w:rFonts w:ascii="Times New Roman" w:cs="Times New Roman" w:eastAsia="Times New Roman" w:hAnsi="Times New Roman"/>
          <w:sz w:val="20"/>
          <w:szCs w:val="20"/>
          <w:color w:val="auto"/>
        </w:rPr>
        <w:t>) of the Common Terms Agreement with respect to the Notes occurs and is continuing, the Trustee is authorized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recover judgment in its own name and as trustee of an express trust against the Company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u w:val="single" w:color="auto"/>
          <w:color w:val="auto"/>
        </w:rPr>
        <w:t>Trustee May File Proofs of Claim</w:t>
      </w:r>
    </w:p>
    <w:p>
      <w:pPr>
        <w:spacing w:after="0" w:line="202"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 xml:space="preserve">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Noteholders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Noteholder to make such payments to the 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To the extent that the payment of any such compensation, expenses, disbursements and advances of the Trustee, its agents and counsel, and any other amounts due the Trustee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out of the estate in any such proceeding, shall be denied for any reason, payment of the same shall be secured by a Lien on, and shall be paid out of, any and all distributions, dividends, money, securities and other properties that the Noteholders may be entitled to receive in such proceeding whether in liquidation or under any plan of reorganization or arrangement or otherwise. Nothing herein contained shall be deemed to authorize the Trustee to authorize or consent to or accept or adopt on behalf of any Noteholder any plan of reorganization, arrangement, adjustment or composition affecting the Notes or the rights of any Noteholder, or to authorize the Trustee to vote in respect of the claim of any Noteholder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99" w:name="page100"/>
    <w:bookmarkEnd w:id="99"/>
    <w:p>
      <w:pPr>
        <w:spacing w:after="0"/>
        <w:tabs>
          <w:tab w:leader="none" w:pos="62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u w:val="single" w:color="auto"/>
          <w:color w:val="auto"/>
        </w:rPr>
        <w:t>Priorities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if the Trustee collects any money pursuant to this Article 6, or, after an Event of Default, any money or other property distributable in respect of the Company’s obligations under this Indenture, it shall pay out the money in the following order:</w:t>
      </w:r>
    </w:p>
    <w:p>
      <w:pPr>
        <w:spacing w:after="0" w:line="164" w:lineRule="exact"/>
        <w:rPr>
          <w:sz w:val="20"/>
          <w:szCs w:val="20"/>
          <w:color w:val="auto"/>
        </w:rPr>
      </w:pPr>
    </w:p>
    <w:p>
      <w:pPr>
        <w:jc w:val="both"/>
        <w:ind w:left="1280"/>
        <w:spacing w:after="0" w:line="263"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the Trustee (including any predecessor trustee), its agents and attorneys for amounts due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of all compensation, expenses and liabilities incurred, and all advances made, by the Trustee and the costs and expenses of collection;</w:t>
      </w:r>
    </w:p>
    <w:p>
      <w:pPr>
        <w:spacing w:after="0" w:line="148" w:lineRule="exact"/>
        <w:rPr>
          <w:sz w:val="20"/>
          <w:szCs w:val="20"/>
          <w:color w:val="auto"/>
        </w:rPr>
      </w:pPr>
    </w:p>
    <w:p>
      <w:pPr>
        <w:jc w:val="both"/>
        <w:ind w:left="1280"/>
        <w:spacing w:after="0" w:line="263"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Noteholders for amounts due and unpaid on the Notes for principal, premium, if any, and interest, ratably,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preference or priority of any kind, according to the amounts due and payable on the Notes for principal, premium, if any, and interest, respectively; and</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the Company or to such party as a court of competent jurisdiction shall direct.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The Trustee may fix a record date and payment date for any payment to Noteholders pursuant to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u w:val="single" w:color="auto"/>
          <w:color w:val="auto"/>
        </w:rPr>
        <w:t>Undertaking for Costs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does not apply to a suit by the Trustee, a suit by a Noteholder pursuant to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or a suit by Noteholders of more than 10% in aggregate principal amount of the then outstanding Notes.</w:t>
      </w:r>
    </w:p>
    <w:p>
      <w:pPr>
        <w:spacing w:after="0" w:line="175" w:lineRule="exact"/>
        <w:rPr>
          <w:sz w:val="20"/>
          <w:szCs w:val="20"/>
          <w:color w:val="auto"/>
        </w:rPr>
      </w:pPr>
    </w:p>
    <w:p>
      <w:pPr>
        <w:ind w:left="640" w:hanging="632"/>
        <w:spacing w:after="0"/>
        <w:tabs>
          <w:tab w:leader="none" w:pos="64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TRUSTEE</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Duties of Trustee</w:t>
      </w:r>
    </w:p>
    <w:p>
      <w:pPr>
        <w:spacing w:after="0" w:line="202" w:lineRule="exact"/>
        <w:rPr>
          <w:sz w:val="20"/>
          <w:szCs w:val="20"/>
          <w:color w:val="auto"/>
        </w:rPr>
      </w:pPr>
    </w:p>
    <w:p>
      <w:pPr>
        <w:jc w:val="both"/>
        <w:ind w:left="1280" w:hanging="634"/>
        <w:spacing w:after="0" w:line="261" w:lineRule="auto"/>
        <w:tabs>
          <w:tab w:leader="none" w:pos="12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has occurred and is continuing, the Trustee will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54"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during the continuance of an Event of Default:</w:t>
      </w:r>
    </w:p>
    <w:p>
      <w:pPr>
        <w:spacing w:after="0" w:line="215" w:lineRule="exact"/>
        <w:rPr>
          <w:rFonts w:ascii="Times New Roman" w:cs="Times New Roman" w:eastAsia="Times New Roman" w:hAnsi="Times New Roman"/>
          <w:sz w:val="20"/>
          <w:szCs w:val="20"/>
          <w:color w:val="auto"/>
        </w:rPr>
      </w:pPr>
    </w:p>
    <w:p>
      <w:pPr>
        <w:jc w:val="both"/>
        <w:ind w:left="1920" w:hanging="636"/>
        <w:spacing w:after="0" w:line="261" w:lineRule="auto"/>
        <w:tabs>
          <w:tab w:leader="none" w:pos="1915"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54" w:lineRule="exact"/>
        <w:rPr>
          <w:rFonts w:ascii="Times New Roman" w:cs="Times New Roman" w:eastAsia="Times New Roman" w:hAnsi="Times New Roman"/>
          <w:sz w:val="20"/>
          <w:szCs w:val="20"/>
          <w:color w:val="auto"/>
        </w:rPr>
      </w:pPr>
    </w:p>
    <w:p>
      <w:pPr>
        <w:ind w:left="1920" w:hanging="636"/>
        <w:spacing w:after="0" w:line="283" w:lineRule="auto"/>
        <w:tabs>
          <w:tab w:leader="none" w:pos="1916"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bad faith on its part, the Trustee may conclusively rely, as to the truth of the statements and the correctness of the opinions expressed therein, upon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00" w:name="page101"/>
    <w:bookmarkEnd w:id="100"/>
    <w:p>
      <w:pPr>
        <w:jc w:val="both"/>
        <w:ind w:left="1920"/>
        <w:spacing w:after="0" w:line="253" w:lineRule="auto"/>
        <w:rPr>
          <w:sz w:val="20"/>
          <w:szCs w:val="20"/>
          <w:color w:val="auto"/>
        </w:rPr>
      </w:pPr>
      <w:r>
        <w:rPr>
          <w:rFonts w:ascii="Times New Roman" w:cs="Times New Roman" w:eastAsia="Times New Roman" w:hAnsi="Times New Roman"/>
          <w:sz w:val="20"/>
          <w:szCs w:val="20"/>
          <w:color w:val="auto"/>
        </w:rPr>
        <w:t>certificates or opinions furnished to the Trustee and conforming to the requirements of this Indenture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case of any such certificates or opinions which by any provision hereof are specifically required to be furnished to the Trustee, the Trustee will examine the certificates and opinions to determine whether or not they conform to the requirements of this Indenture (but need not confirm or investigate the accuracy of mathematical calculations or other facts, statements, opinions or conclusions stated therein)).</w:t>
      </w:r>
    </w:p>
    <w:p>
      <w:pPr>
        <w:spacing w:after="0" w:line="178" w:lineRule="exact"/>
        <w:rPr>
          <w:sz w:val="20"/>
          <w:szCs w:val="20"/>
          <w:color w:val="auto"/>
        </w:rPr>
      </w:pPr>
    </w:p>
    <w:p>
      <w:pPr>
        <w:ind w:left="1280" w:right="20" w:hanging="634"/>
        <w:spacing w:after="0" w:line="269" w:lineRule="auto"/>
        <w:tabs>
          <w:tab w:leader="none" w:pos="12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not be relieved from liabilities for its own negligent action, its own negligent failure to act, or its own willful misconduct, except that:</w:t>
      </w:r>
    </w:p>
    <w:p>
      <w:pPr>
        <w:spacing w:after="0" w:line="145"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paragraph does not limit the effect of </w:t>
      </w:r>
      <w:r>
        <w:rPr>
          <w:rFonts w:ascii="Times New Roman" w:cs="Times New Roman" w:eastAsia="Times New Roman" w:hAnsi="Times New Roman"/>
          <w:sz w:val="20"/>
          <w:szCs w:val="20"/>
          <w:u w:val="single" w:color="auto"/>
          <w:color w:val="auto"/>
        </w:rPr>
        <w:t>paragraphs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20" w:hanging="636"/>
        <w:spacing w:after="0" w:line="269" w:lineRule="auto"/>
        <w:tabs>
          <w:tab w:leader="none" w:pos="191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any error of judgment made in good faith by a Responsible Officer, unless it is proved that the Trustee was negligent in ascertaining the pertinent facts; and</w:t>
      </w:r>
    </w:p>
    <w:p>
      <w:pPr>
        <w:spacing w:after="0" w:line="159" w:lineRule="exact"/>
        <w:rPr>
          <w:rFonts w:ascii="Times New Roman" w:cs="Times New Roman" w:eastAsia="Times New Roman" w:hAnsi="Times New Roman"/>
          <w:sz w:val="20"/>
          <w:szCs w:val="20"/>
          <w:color w:val="auto"/>
        </w:rPr>
      </w:pPr>
    </w:p>
    <w:p>
      <w:pPr>
        <w:ind w:left="1920" w:right="20" w:hanging="636"/>
        <w:spacing w:after="0" w:line="269" w:lineRule="auto"/>
        <w:tabs>
          <w:tab w:leader="none" w:pos="1917"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27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Whether or not therein expressly so provided, every provision of this Indenture that in any way relates to the Trustee is subject to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jc w:val="both"/>
        <w:ind w:left="1280" w:hanging="634"/>
        <w:spacing w:after="0" w:line="281" w:lineRule="auto"/>
        <w:tabs>
          <w:tab w:leader="none" w:pos="128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provision of this Indenture will require the Trustee to expend or risk its own funds or incur any liability. The Trustee will be under no obligation to exercise any of its rights and powers under this Indenture at the request of any Noteholders, unless such Noteholder has offered to the Trustee security and indemnity satisfactory to it against any loss, liability or expense.</w:t>
      </w:r>
    </w:p>
    <w:p>
      <w:pPr>
        <w:spacing w:after="0" w:line="150" w:lineRule="exact"/>
        <w:rPr>
          <w:rFonts w:ascii="Times New Roman" w:cs="Times New Roman" w:eastAsia="Times New Roman" w:hAnsi="Times New Roman"/>
          <w:sz w:val="19"/>
          <w:szCs w:val="19"/>
          <w:color w:val="auto"/>
        </w:rPr>
      </w:pPr>
    </w:p>
    <w:p>
      <w:pPr>
        <w:ind w:left="1280" w:right="20" w:hanging="634"/>
        <w:spacing w:after="0" w:line="269" w:lineRule="auto"/>
        <w:tabs>
          <w:tab w:leader="none" w:pos="127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Rights of Trustee</w:t>
      </w:r>
    </w:p>
    <w:p>
      <w:pPr>
        <w:spacing w:after="0" w:line="202" w:lineRule="exact"/>
        <w:rPr>
          <w:sz w:val="20"/>
          <w:szCs w:val="20"/>
          <w:color w:val="auto"/>
        </w:rPr>
      </w:pPr>
    </w:p>
    <w:p>
      <w:pPr>
        <w:jc w:val="both"/>
        <w:ind w:left="1280" w:hanging="634"/>
        <w:spacing w:after="0" w:line="250" w:lineRule="auto"/>
        <w:tabs>
          <w:tab w:leader="none" w:pos="12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conclusively rely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The Trustee need not investigate any fact or matter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(subject to reasonable confidentiality arrangements as may be proposed by the Company) to make reasonable investigation (upon prior notice and during regular business hours) of the books, records and premises of the Company, personally or by agent or attorney at the sole cost of the Company and shall incur no liability or additional liability of any kind by reason of such inquiry or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01" w:name="page102"/>
    <w:bookmarkEnd w:id="101"/>
    <w:p>
      <w:pPr>
        <w:jc w:val="both"/>
        <w:ind w:left="1280" w:hanging="634"/>
        <w:spacing w:after="0" w:line="253" w:lineRule="auto"/>
        <w:tabs>
          <w:tab w:leader="none" w:pos="127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Before the Trustee acts or refrains from acting, it may require an Officer’s Certificate or an Opinion of Counsel or both;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 Officer’s Certificate or Opinion of Counsel will not be required if the Indenture requires the Company to deliver a certificate of an Authorized Officer of the Company in connection with such act or refrain from acting. The Trustee will not be liable for any action it takes, suffers or omits to take in good faith in reliance on such Officer’s Certificate, Opinion of Counsel or a certificate of an Authorized Officer of the Company.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65" w:lineRule="exact"/>
        <w:rPr>
          <w:rFonts w:ascii="Times New Roman" w:cs="Times New Roman" w:eastAsia="Times New Roman" w:hAnsi="Times New Roman"/>
          <w:sz w:val="20"/>
          <w:szCs w:val="20"/>
          <w:color w:val="auto"/>
        </w:rPr>
      </w:pPr>
    </w:p>
    <w:p>
      <w:pPr>
        <w:ind w:left="1280" w:hanging="634"/>
        <w:spacing w:after="0" w:line="269" w:lineRule="auto"/>
        <w:tabs>
          <w:tab w:leader="none" w:pos="12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act through its attorneys and agents and will not be responsible for the misconduct or negligence of any agent appointed with due care.</w:t>
      </w:r>
    </w:p>
    <w:p>
      <w:pPr>
        <w:spacing w:after="0" w:line="159" w:lineRule="exact"/>
        <w:rPr>
          <w:rFonts w:ascii="Times New Roman" w:cs="Times New Roman" w:eastAsia="Times New Roman" w:hAnsi="Times New Roman"/>
          <w:sz w:val="20"/>
          <w:szCs w:val="20"/>
          <w:color w:val="auto"/>
        </w:rPr>
      </w:pPr>
    </w:p>
    <w:p>
      <w:pPr>
        <w:ind w:left="1280" w:right="20" w:hanging="634"/>
        <w:spacing w:after="0" w:line="269" w:lineRule="auto"/>
        <w:tabs>
          <w:tab w:leader="none" w:pos="127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any action it takes, suffers or omits to take in good faith that it reasonably believes to be authorized or within the rights or powers conferred upon it by this Indenture.</w:t>
      </w:r>
    </w:p>
    <w:p>
      <w:pPr>
        <w:spacing w:after="0" w:line="159" w:lineRule="exact"/>
        <w:rPr>
          <w:rFonts w:ascii="Times New Roman" w:cs="Times New Roman" w:eastAsia="Times New Roman" w:hAnsi="Times New Roman"/>
          <w:sz w:val="20"/>
          <w:szCs w:val="20"/>
          <w:color w:val="auto"/>
        </w:rPr>
      </w:pPr>
    </w:p>
    <w:p>
      <w:pPr>
        <w:ind w:left="1280" w:hanging="634"/>
        <w:spacing w:after="0" w:line="269" w:lineRule="auto"/>
        <w:tabs>
          <w:tab w:leader="none" w:pos="12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specifically provided for in this Indenture, any demand, request, direction or notice from the Company will be sufficient if signed by an Authorized Officer of the Company.</w:t>
      </w:r>
    </w:p>
    <w:p>
      <w:pPr>
        <w:spacing w:after="0" w:line="145"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7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be under no obligation to exercise any of the rights or powers vested in it by this Indenture at the request or direction of any of the Noteholders unless such Noteholders have offered to the Trustee indemnity or security satisfactory to the Trustee against the losses, liabilities and expenses that might be incurred by it in compliance with such request or direction.</w:t>
      </w:r>
    </w:p>
    <w:p>
      <w:pPr>
        <w:spacing w:after="0" w:line="158"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7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deemed to have notice of any Default or Event of Default unless a Responsible Officer of the Trustee has actual knowledge thereof or unless written notice of such Default or Event of Default is received by a Responsible Officer of the Trustee at the Corporate Trust Office of the Trustee, and such notice references the Notes and this Indenture.</w:t>
      </w:r>
    </w:p>
    <w:p>
      <w:pPr>
        <w:spacing w:after="0" w:line="158" w:lineRule="exact"/>
        <w:rPr>
          <w:rFonts w:ascii="Times New Roman" w:cs="Times New Roman" w:eastAsia="Times New Roman" w:hAnsi="Times New Roman"/>
          <w:sz w:val="20"/>
          <w:szCs w:val="20"/>
          <w:color w:val="auto"/>
        </w:rPr>
      </w:pPr>
    </w:p>
    <w:p>
      <w:pPr>
        <w:jc w:val="both"/>
        <w:ind w:left="1280" w:hanging="634"/>
        <w:spacing w:after="0" w:line="257" w:lineRule="auto"/>
        <w:tabs>
          <w:tab w:leader="none" w:pos="127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responsible or liable for any failure or delay in the performance of its obligations under this Indenture arising out of or caused, directly or indirectly, by circumstances beyond its reasonable control, including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159"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privileges, protections, immunities and benefits given to the Trustee, including its right to be indemnified, are extended to, and shall be enforceable by, the Trustee in each of its capacities hereunder (and under the other P1 Financing Documents to which it is a party) and each agent, custodian and other Person employed to act hereunder or thereunder.</w:t>
      </w:r>
    </w:p>
    <w:p>
      <w:pPr>
        <w:spacing w:after="0" w:line="154"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27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request that the Company deliver a certificate setting forth the names of individuals and/or titles of officers authorized at such time to take specified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02" w:name="page103"/>
    <w:bookmarkEnd w:id="102"/>
    <w:p>
      <w:pPr>
        <w:ind w:left="1280"/>
        <w:spacing w:after="0" w:line="283" w:lineRule="auto"/>
        <w:rPr>
          <w:sz w:val="20"/>
          <w:szCs w:val="20"/>
          <w:color w:val="auto"/>
        </w:rPr>
      </w:pPr>
      <w:r>
        <w:rPr>
          <w:rFonts w:ascii="Times New Roman" w:cs="Times New Roman" w:eastAsia="Times New Roman" w:hAnsi="Times New Roman"/>
          <w:sz w:val="20"/>
          <w:szCs w:val="20"/>
          <w:color w:val="auto"/>
        </w:rPr>
        <w:t>pursuant to this Indenture, which certificate may be signed by any person authorized to sign an Officer’s Certificate, including any person specified as so authorized in any such certificate previously delivered and not superseded.</w:t>
      </w:r>
    </w:p>
    <w:p>
      <w:pPr>
        <w:spacing w:after="0" w:line="133" w:lineRule="exact"/>
        <w:rPr>
          <w:sz w:val="20"/>
          <w:szCs w:val="20"/>
          <w:color w:val="auto"/>
        </w:rPr>
      </w:pPr>
    </w:p>
    <w:p>
      <w:pPr>
        <w:jc w:val="both"/>
        <w:ind w:left="1280" w:hanging="634"/>
        <w:spacing w:after="0" w:line="261" w:lineRule="auto"/>
        <w:tabs>
          <w:tab w:leader="none" w:pos="127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Indenture notwithstanding, in no event shall the Trustee be liable for special, indirect, punitive, incidental or consequential loss or damage of any kind whatsoever (including loss of profit), even if the Trustee has been advised as to the likelihood of such loss or damage and regardless of the form of action.</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Individual Rights of Trustee</w:t>
      </w:r>
    </w:p>
    <w:p>
      <w:pPr>
        <w:spacing w:after="0" w:line="21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Trustee in its individual or any other capacity may become the owner or pledgee of Notes and may otherwise deal with the Company or any Affiliate of the Company with the same rights it would have if it were not Trustee. Any Agent may do the same with like rights. The Trustee is also subject to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u w:val="single" w:color="auto"/>
          <w:color w:val="auto"/>
        </w:rPr>
        <w:t>Trustee’s Disclaimer</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Notice of Defaults</w:t>
      </w:r>
    </w:p>
    <w:p>
      <w:pPr>
        <w:spacing w:after="0" w:line="216"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If a Default or Event of Default occurs and is continuing and if it is known to the Trustee, the Trustee will mail to Noteholders a notice of the Default or Event of Default within ninety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Noteholders.</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Compensation and Indemnity</w:t>
      </w:r>
    </w:p>
    <w:p>
      <w:pPr>
        <w:spacing w:after="0" w:line="202" w:lineRule="exact"/>
        <w:rPr>
          <w:sz w:val="20"/>
          <w:szCs w:val="20"/>
          <w:color w:val="auto"/>
        </w:rPr>
      </w:pPr>
    </w:p>
    <w:p>
      <w:pPr>
        <w:jc w:val="both"/>
        <w:ind w:left="1280" w:hanging="634"/>
        <w:spacing w:after="0" w:line="253" w:lineRule="auto"/>
        <w:tabs>
          <w:tab w:leader="none" w:pos="12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to the Trustee from time to time compensation for its acceptance of this Indenture and services hereunder in accordance with written arrangements between the Company and the Trustee.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65"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7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indemnify the Trustee against any and all loss, liability or expense, including taxes (other than taxes based upon, measured by or determined by the income of the Trustee), incurred by it arising out of or in connection with the acceptance or administration of its duties under this Indenture and the P1 Financing Documents, including the costs and expenses of enforcing this Indenture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03" w:name="page104"/>
    <w:bookmarkEnd w:id="103"/>
    <w:p>
      <w:pPr>
        <w:jc w:val="both"/>
        <w:ind w:left="1280"/>
        <w:spacing w:after="0" w:line="251" w:lineRule="auto"/>
        <w:rPr>
          <w:sz w:val="20"/>
          <w:szCs w:val="20"/>
          <w:color w:val="auto"/>
        </w:rPr>
      </w:pPr>
      <w:r>
        <w:rPr>
          <w:rFonts w:ascii="Times New Roman" w:cs="Times New Roman" w:eastAsia="Times New Roman" w:hAnsi="Times New Roman"/>
          <w:sz w:val="20"/>
          <w:szCs w:val="20"/>
          <w:color w:val="auto"/>
        </w:rPr>
        <w:t xml:space="preserve">(including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and defending itself against any claim (whether asserted by the Company, any Noteholder or any other Person) or liability in connection with the exercise or performance of any of its powers or duties hereunder or thereunder, except to the extent any such loss, liability or expense may be attributable to its negligence or willful misconduct. The Trustee will notify the Company promptly of any claim for which it may seek indemnity. Failure by the Trustee to so notify the Company will not relieve the Company of its obligations hereunder. The Company will defend the claim and the Trustee will cooperate in the defense. The Trustee may have separate counsel and the Company will pay the reasonable fees and expenses of such counsel. The Company need not pay for any settlement made without its consent, which consent will not be unreasonably withheld, conditioned or delayed.</w:t>
      </w:r>
    </w:p>
    <w:p>
      <w:pPr>
        <w:spacing w:after="0" w:line="168" w:lineRule="exact"/>
        <w:rPr>
          <w:sz w:val="20"/>
          <w:szCs w:val="20"/>
          <w:color w:val="auto"/>
        </w:rPr>
      </w:pPr>
    </w:p>
    <w:p>
      <w:pPr>
        <w:ind w:left="1280" w:hanging="634"/>
        <w:spacing w:after="0" w:line="283" w:lineRule="auto"/>
        <w:tabs>
          <w:tab w:leader="none" w:pos="12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Company to the Trustee under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will survive the satisfaction and discharge of this Indenture, the termination for any reason of this Indenture and the resignation or removal of the Trustee.</w:t>
      </w:r>
    </w:p>
    <w:p>
      <w:pPr>
        <w:spacing w:after="0" w:line="132"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7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secure the Company’s payment obligations in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the Trustee will have a Lien prior to the Notes on all money or property held or collected by the Trustee, except that held in trust to pay principal and interest on particular Notes. Such Lien will survive the satisfaction and discharge of this Indenture, the termination for any reason of this Indenture and the resignation or removal of the Trustee.</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60" w:lineRule="auto"/>
        <w:tabs>
          <w:tab w:leader="none" w:pos="12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Trustee incurs expenses or renders services after an Event of Default specified in Section 7.5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xml:space="preserve">) of the Common Terms Agreement as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occurs, the expenses and the compensation for the services (including the fees and expenses of its agents and counsel) are intended to constitute expenses of administration under any Debtor Relief Law.</w:t>
      </w:r>
    </w:p>
    <w:p>
      <w:pPr>
        <w:spacing w:after="0" w:line="150"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for purposes of this Section shall include any predecessor Trustee.</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u w:val="single" w:color="auto"/>
          <w:color w:val="auto"/>
        </w:rPr>
        <w:t>Replacement of Trustee</w:t>
      </w:r>
    </w:p>
    <w:p>
      <w:pPr>
        <w:spacing w:after="0" w:line="202" w:lineRule="exact"/>
        <w:rPr>
          <w:sz w:val="20"/>
          <w:szCs w:val="20"/>
          <w:color w:val="auto"/>
        </w:rPr>
      </w:pPr>
    </w:p>
    <w:p>
      <w:pPr>
        <w:ind w:left="1280" w:hanging="634"/>
        <w:spacing w:after="0" w:line="269" w:lineRule="auto"/>
        <w:tabs>
          <w:tab w:leader="none" w:pos="12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resignation or removal of the Trustee and appointment of a successor Trustee will become effective only upon the successor Trustee’s acceptance of appointment as provided in this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resign in writing at any time and be discharged from the trust hereby created by so notifying the Company. The Noteholders of a majority in aggregate principal amount of the then outstanding Notes may remove the Trustee by so notifying the Trustee and the Company in writing. The Company may remove the Trustee if:</w:t>
      </w:r>
    </w:p>
    <w:p>
      <w:pPr>
        <w:spacing w:after="0" w:line="154"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fails to comply with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1920" w:right="20" w:hanging="636"/>
        <w:spacing w:after="0" w:line="283" w:lineRule="auto"/>
        <w:tabs>
          <w:tab w:leader="none" w:pos="1916"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is adjudged a bankrupt or an insolvent or an order for relief is entered with respect to the Trustee under any Debtor Relief Law;</w:t>
      </w:r>
    </w:p>
    <w:p>
      <w:pPr>
        <w:spacing w:after="0" w:line="132"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custodian or public officer takes charge of the Trustee or its property;</w:t>
      </w:r>
    </w:p>
    <w:p>
      <w:pPr>
        <w:spacing w:after="0" w:line="202"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becomes incapable of acting;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04" w:name="page105"/>
    <w:bookmarkEnd w:id="104"/>
    <w:p>
      <w:pPr>
        <w:jc w:val="both"/>
        <w:ind w:left="1920" w:hanging="636"/>
        <w:spacing w:after="0" w:line="253" w:lineRule="auto"/>
        <w:tabs>
          <w:tab w:leader="none" w:pos="1919"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reason and upon receipt of a request from the Company to direct the removal of the Trustee and direct the appointment of a replacement Trustee in accordance with the terms hereof, in which case, (x) the Trustee shall give notice of such request to the Noteholders and (y) unless Noteholders representing more than 25% of the aggregate outstanding principal amount of the Notes object to such request within thirty days, the Trustee shall be removed on the immediately succeeding Business Day after such thirtieth day.</w:t>
      </w:r>
    </w:p>
    <w:p>
      <w:pPr>
        <w:spacing w:after="0" w:line="178" w:lineRule="exact"/>
        <w:rPr>
          <w:rFonts w:ascii="Times New Roman" w:cs="Times New Roman" w:eastAsia="Times New Roman" w:hAnsi="Times New Roman"/>
          <w:sz w:val="20"/>
          <w:szCs w:val="20"/>
          <w:color w:val="auto"/>
        </w:rPr>
      </w:pPr>
    </w:p>
    <w:p>
      <w:pPr>
        <w:jc w:val="both"/>
        <w:ind w:left="1280" w:hanging="634"/>
        <w:spacing w:after="0" w:line="254" w:lineRule="auto"/>
        <w:tabs>
          <w:tab w:leader="none" w:pos="12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Trustee resigns or is removed or if a vacancy exists in the office of Trustee for any reason, the Company will promptly appoint a successor Trustee. Within one year after the successor Trustee takes office, the Noteholders of a majority in aggregate principal amount of the then outstanding Notes may appoint a successor Trustee to replace the successor Trustee appointed by the Company.</w:t>
      </w:r>
    </w:p>
    <w:p>
      <w:pPr>
        <w:spacing w:after="0" w:line="173"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successor Trustee does not take office within sixty days after the retiring Trustee resigns or is removed, the retiring Trustee, the Company, or the Noteholders of at least 10% in aggregate principal amount of the then outstanding Notes may petition any court of competent jurisdiction for the appointment of a successor Trustee.</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Trustee, after written request by any Noteholder who has been a Noteholder for at least six months, fails to be compliant with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 such Noteholder may petition any court of competent jurisdiction for the removal of the Trustee and the appointment of a successor Trustee.</w:t>
      </w:r>
    </w:p>
    <w:p>
      <w:pPr>
        <w:spacing w:after="0" w:line="167" w:lineRule="exact"/>
        <w:rPr>
          <w:rFonts w:ascii="Times New Roman" w:cs="Times New Roman" w:eastAsia="Times New Roman" w:hAnsi="Times New Roman"/>
          <w:sz w:val="20"/>
          <w:szCs w:val="20"/>
          <w:color w:val="auto"/>
        </w:rPr>
      </w:pPr>
    </w:p>
    <w:p>
      <w:pPr>
        <w:jc w:val="both"/>
        <w:ind w:left="1280" w:hanging="634"/>
        <w:spacing w:after="0" w:line="251" w:lineRule="auto"/>
        <w:tabs>
          <w:tab w:leader="none" w:pos="127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Noteholders. The retiring Trustee will promptly transfer all property held by it as Trustee to the successor Trustee;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sums owing to the Trustee hereunder have been paid and subject to the Lien provided for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Notwithstanding replacement of the Trustee pursuant to this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the Company’s obligations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will continue for the benefit of the retiring Trustee.</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u w:val="single" w:color="auto"/>
          <w:color w:val="auto"/>
        </w:rPr>
        <w:t>Successor Trustee by Merger, etc.</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If the Trustee consolidates, merges or converts into, or transfers all or substantially all of its corporate trust business to, another Person, the successor Person without any further act will be the successor Trustee.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9"/>
          <w:szCs w:val="19"/>
          <w:u w:val="single" w:color="auto"/>
          <w:color w:val="auto"/>
        </w:rPr>
        <w:t>Eligibility; Disqualification</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There will at all times be a Trustee hereunder that is a Person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$100,000,000 as set forth in its most recent published annual report of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05" w:name="page106"/>
    <w:bookmarkEnd w:id="105"/>
    <w:p>
      <w:pPr>
        <w:spacing w:after="0"/>
        <w:tabs>
          <w:tab w:leader="none" w:pos="62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u w:val="single" w:color="auto"/>
          <w:color w:val="auto"/>
        </w:rPr>
        <w:t>Authorization to Enter Into Accession Agreements</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The Trustee is hereby directed and authorized by the Company and each Noteholder to enter into the Common Terms Accession Agreement and the CIA Accession Confirmation and exercise all the rights and perform all the obligations of a Senior Secured Debt Holder Representative set out in the Common Terms Agreement and the Collateral and Intercreditor Agreement, including making, on behalf of the Noteholders, the agreements expressed to be made by Senior Secured Debt Holders under the P1 Financing Documents (including each reliance letter provided under Section 4.18(a) of the Note Purchase Agreement).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u w:val="single" w:color="auto"/>
          <w:color w:val="auto"/>
        </w:rPr>
        <w:t>Trustee Protective Provisions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Without duplication of any amounts the Trustee is entitled to recover under any indemnification provisions in the P1 Financing Documents, the rights, privileges, protections, indemnities, immunities and benefits provided to the Trustee in this Indenture are in addition to, and are not intended to be in conflict with or limited by, any such provisions in the P1 Financing Documents.</w:t>
      </w:r>
    </w:p>
    <w:p>
      <w:pPr>
        <w:spacing w:after="0" w:line="164" w:lineRule="exact"/>
        <w:rPr>
          <w:sz w:val="20"/>
          <w:szCs w:val="20"/>
          <w:color w:val="auto"/>
        </w:rPr>
      </w:pPr>
    </w:p>
    <w:p>
      <w:pPr>
        <w:ind w:left="640" w:hanging="632"/>
        <w:spacing w:after="0"/>
        <w:tabs>
          <w:tab w:leader="none" w:pos="64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LEGAL DEFEASANCE AND COVENANT DEFEASANCE</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Option to Effect Legal Defeasance or Covenant Defeasance</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Company may at any time, as evidenced by a resolution duly adopted by the authorized governing body and set forth in an Officer’s Certificate, elect to have either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be applied to all outstanding Notes upon compliance with the conditions set forth below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u w:val="single" w:color="auto"/>
          <w:color w:val="auto"/>
        </w:rPr>
        <w:t>Legal Defeasance and Discharge</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Upon the Company’s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option applicable to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the Company will, 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be deemed to have been discharged from its obligations with respect to all outstanding Notes on the date the conditions set forth below are satisfied (hereinafter, “</w:t>
      </w:r>
      <w:r>
        <w:rPr>
          <w:rFonts w:ascii="Times New Roman" w:cs="Times New Roman" w:eastAsia="Times New Roman" w:hAnsi="Times New Roman"/>
          <w:sz w:val="20"/>
          <w:szCs w:val="20"/>
          <w:b w:val="1"/>
          <w:bCs w:val="1"/>
          <w:color w:val="auto"/>
        </w:rPr>
        <w:t>Legal Defeasance</w:t>
      </w:r>
      <w:r>
        <w:rPr>
          <w:rFonts w:ascii="Times New Roman" w:cs="Times New Roman" w:eastAsia="Times New Roman" w:hAnsi="Times New Roman"/>
          <w:sz w:val="20"/>
          <w:szCs w:val="20"/>
          <w:color w:val="auto"/>
        </w:rPr>
        <w:t>”). For this purpose, Legal Defeasance means that the Company will be deemed to have paid and discharged the entire Indebtedness represented by all outstanding Notes, which will thereafter be deemed to be “</w:t>
      </w:r>
      <w:r>
        <w:rPr>
          <w:rFonts w:ascii="Times New Roman" w:cs="Times New Roman" w:eastAsia="Times New Roman" w:hAnsi="Times New Roman"/>
          <w:sz w:val="20"/>
          <w:szCs w:val="20"/>
          <w:b w:val="1"/>
          <w:bCs w:val="1"/>
          <w:color w:val="auto"/>
        </w:rPr>
        <w:t>outstanding</w:t>
      </w:r>
      <w:r>
        <w:rPr>
          <w:rFonts w:ascii="Times New Roman" w:cs="Times New Roman" w:eastAsia="Times New Roman" w:hAnsi="Times New Roman"/>
          <w:sz w:val="20"/>
          <w:szCs w:val="20"/>
          <w:color w:val="auto"/>
        </w:rPr>
        <w:t xml:space="preserve">” only for the purposes of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and the other Sections of this Indenture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below, and to have satisfied all their other obligations under such Notes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68" w:lineRule="exact"/>
        <w:rPr>
          <w:sz w:val="20"/>
          <w:szCs w:val="20"/>
          <w:color w:val="auto"/>
        </w:rPr>
      </w:pPr>
    </w:p>
    <w:p>
      <w:pPr>
        <w:ind w:left="1280" w:hanging="634"/>
        <w:spacing w:after="0" w:line="283" w:lineRule="auto"/>
        <w:tabs>
          <w:tab w:leader="none" w:pos="12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rights of Noteholders of outstanding Notes to receive payments in respect of the principal of, or interest or premium, if any, on, such Notes when such payments are due from the trust referred to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obligations with respect to such Notes under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1280" w:hanging="634"/>
        <w:spacing w:after="0" w:line="283" w:lineRule="auto"/>
        <w:tabs>
          <w:tab w:leader="none" w:pos="12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powers, trusts, duties and immunities of the Trustee hereunder and the Company’s obligations in connection therewith; and</w:t>
      </w:r>
    </w:p>
    <w:p>
      <w:pPr>
        <w:spacing w:after="0" w:line="13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06" w:name="page107"/>
    <w:bookmarkEnd w:id="106"/>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Subject to compliance with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the Company may exercise its option under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notwithstanding the prior exercise of its option under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u w:val="single" w:color="auto"/>
          <w:color w:val="auto"/>
        </w:rPr>
        <w:t>Covenant Defeasance</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Upon the Company’s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option applicable to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the Company will, 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be released from each of its obligations under the covenants contained in </w:t>
      </w:r>
      <w:r>
        <w:rPr>
          <w:rFonts w:ascii="Times New Roman" w:cs="Times New Roman" w:eastAsia="Times New Roman" w:hAnsi="Times New Roman"/>
          <w:sz w:val="20"/>
          <w:szCs w:val="20"/>
          <w:u w:val="single" w:color="auto"/>
          <w:color w:val="auto"/>
        </w:rPr>
        <w:t>Sections 4.3</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with respect to all outstanding Notes on and after the date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are satisfied (hereinafter, “</w:t>
      </w:r>
      <w:r>
        <w:rPr>
          <w:rFonts w:ascii="Times New Roman" w:cs="Times New Roman" w:eastAsia="Times New Roman" w:hAnsi="Times New Roman"/>
          <w:sz w:val="20"/>
          <w:szCs w:val="20"/>
          <w:b w:val="1"/>
          <w:bCs w:val="1"/>
          <w:color w:val="auto"/>
        </w:rPr>
        <w:t>Covenant Defeasance</w:t>
      </w:r>
      <w:r>
        <w:rPr>
          <w:rFonts w:ascii="Times New Roman" w:cs="Times New Roman" w:eastAsia="Times New Roman" w:hAnsi="Times New Roman"/>
          <w:sz w:val="20"/>
          <w:szCs w:val="20"/>
          <w:color w:val="auto"/>
        </w:rPr>
        <w:t>”), and all outstanding Notes will thereafter be deemed not “outstanding” for the purposes of any direction, waiver, consent or declaration or act of Noteholders (and the consequences of any thereof) in connection with such covenants, but will continue to be deemed “outstanding” for all other purposes hereunder (it being understood that such Notes will not be deemed outstanding for accounting purposes).</w:t>
      </w:r>
    </w:p>
    <w:p>
      <w:pPr>
        <w:spacing w:after="0" w:line="166"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For this purpose, Covenant Defeasance means that, with respect to all outstanding Notes, the Company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but, except as specified above, the remainder of this Indenture and such Notes will be unaffected thereby. In addition, upon the Company’s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option applicable to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Sections 6.1(a)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6.1(h)</w:t>
      </w:r>
      <w:r>
        <w:rPr>
          <w:rFonts w:ascii="Times New Roman" w:cs="Times New Roman" w:eastAsia="Times New Roman" w:hAnsi="Times New Roman"/>
          <w:sz w:val="20"/>
          <w:szCs w:val="20"/>
          <w:color w:val="auto"/>
        </w:rPr>
        <w:t xml:space="preserve"> will not constitute Events of Default.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u w:val="single" w:color="auto"/>
          <w:color w:val="auto"/>
        </w:rPr>
        <w:t>Conditions to Legal or Covenant Defeasance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In order to exercise either Legal Defeasance or Covenant Defeasance under either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1280" w:hanging="634"/>
        <w:spacing w:after="0" w:line="274" w:lineRule="auto"/>
        <w:tabs>
          <w:tab w:leader="none" w:pos="128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must irrevocably deposit with the Trustee, in trust, for the benefit of the Noteholders,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all outstanding Notes on the Maturity Date or on the applicable redemption date, as the case may be, and the Company must specify whether the Notes are being defeased to the Maturity Date or to a particular redemption date;</w:t>
      </w:r>
    </w:p>
    <w:p>
      <w:pPr>
        <w:spacing w:after="0" w:line="143" w:lineRule="exact"/>
        <w:rPr>
          <w:rFonts w:ascii="Times New Roman" w:cs="Times New Roman" w:eastAsia="Times New Roman" w:hAnsi="Times New Roman"/>
          <w:sz w:val="19"/>
          <w:szCs w:val="19"/>
          <w:color w:val="auto"/>
        </w:rPr>
      </w:pPr>
    </w:p>
    <w:p>
      <w:pPr>
        <w:ind w:left="1280" w:hanging="634"/>
        <w:spacing w:after="0" w:line="269" w:lineRule="auto"/>
        <w:tabs>
          <w:tab w:leader="none" w:pos="127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election under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the Company has delivered to the Trustee an Opinion of Counsel confirming that:</w:t>
      </w:r>
    </w:p>
    <w:p>
      <w:pPr>
        <w:spacing w:after="0" w:line="159"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received from, or there has been published by, the Internal Revenue Service a ruling; or</w:t>
      </w:r>
    </w:p>
    <w:p>
      <w:pPr>
        <w:spacing w:after="0" w:line="202" w:lineRule="exact"/>
        <w:rPr>
          <w:rFonts w:ascii="Times New Roman" w:cs="Times New Roman" w:eastAsia="Times New Roman" w:hAnsi="Times New Roman"/>
          <w:sz w:val="20"/>
          <w:szCs w:val="20"/>
          <w:color w:val="auto"/>
        </w:rPr>
      </w:pPr>
    </w:p>
    <w:p>
      <w:pPr>
        <w:ind w:left="1920" w:hanging="636"/>
        <w:spacing w:after="0"/>
        <w:tabs>
          <w:tab w:leader="none" w:pos="192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Issue Date, there has been a change in the applicable federal income tax law,</w:t>
      </w:r>
    </w:p>
    <w:p>
      <w:pPr>
        <w:spacing w:after="0" w:line="202" w:lineRule="exact"/>
        <w:rPr>
          <w:sz w:val="20"/>
          <w:szCs w:val="20"/>
          <w:color w:val="auto"/>
        </w:rPr>
      </w:pPr>
    </w:p>
    <w:p>
      <w:pPr>
        <w:ind w:left="1280"/>
        <w:spacing w:after="0" w:line="283" w:lineRule="auto"/>
        <w:rPr>
          <w:sz w:val="20"/>
          <w:szCs w:val="20"/>
          <w:color w:val="auto"/>
        </w:rPr>
      </w:pPr>
      <w:r>
        <w:rPr>
          <w:rFonts w:ascii="Times New Roman" w:cs="Times New Roman" w:eastAsia="Times New Roman" w:hAnsi="Times New Roman"/>
          <w:sz w:val="20"/>
          <w:szCs w:val="20"/>
          <w:color w:val="auto"/>
        </w:rPr>
        <w:t>in either case to the effect that, and based thereon such Opinion of Counsel shall confirm that, the Noteholders of the outstanding Notes will not recognize income, gain or loss for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07" w:name="page108"/>
    <w:bookmarkEnd w:id="107"/>
    <w:p>
      <w:pPr>
        <w:ind w:left="1280"/>
        <w:spacing w:after="0" w:line="283" w:lineRule="auto"/>
        <w:rPr>
          <w:sz w:val="20"/>
          <w:szCs w:val="20"/>
          <w:color w:val="auto"/>
        </w:rPr>
      </w:pPr>
      <w:r>
        <w:rPr>
          <w:rFonts w:ascii="Times New Roman" w:cs="Times New Roman" w:eastAsia="Times New Roman" w:hAnsi="Times New Roman"/>
          <w:sz w:val="20"/>
          <w:szCs w:val="20"/>
          <w:color w:val="auto"/>
        </w:rPr>
        <w:t>federal income tax purposes as a result of such Legal Defeasance and will be subject to federal income tax on the same amounts, in the same manner and at the same times as would have been the case if such Legal Defeasance had not occurred;</w:t>
      </w:r>
    </w:p>
    <w:p>
      <w:pPr>
        <w:spacing w:after="0" w:line="133" w:lineRule="exact"/>
        <w:rPr>
          <w:sz w:val="20"/>
          <w:szCs w:val="20"/>
          <w:color w:val="auto"/>
        </w:rPr>
      </w:pPr>
    </w:p>
    <w:p>
      <w:pPr>
        <w:jc w:val="both"/>
        <w:ind w:left="1280" w:hanging="634"/>
        <w:spacing w:after="0" w:line="258" w:lineRule="auto"/>
        <w:tabs>
          <w:tab w:leader="none" w:pos="12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election under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the Company must deliver to the Trustee an Opinion of Counsel confirming that the Noteholders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58"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7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on the date of such deposit (other than a Default or Event of Default resulting from the borrowing of funds to be applied to such deposit and the granting of Liens securing such borrowing) and the deposit will not result in a breach or violation of, or constitute a default under, any other instrument to which the Company is a party or by which the Company is bound;</w:t>
      </w:r>
    </w:p>
    <w:p>
      <w:pPr>
        <w:spacing w:after="0" w:line="158"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Legal Defeasance or Covenant Defeasance will not result in a breach or violation of, or constitute a default under, any material agreement or instrument (other than this Indenture) to which the Company is a party or by which the Company is bound;</w:t>
      </w:r>
    </w:p>
    <w:p>
      <w:pPr>
        <w:spacing w:after="0" w:line="154" w:lineRule="exact"/>
        <w:rPr>
          <w:rFonts w:ascii="Times New Roman" w:cs="Times New Roman" w:eastAsia="Times New Roman" w:hAnsi="Times New Roman"/>
          <w:sz w:val="20"/>
          <w:szCs w:val="20"/>
          <w:color w:val="auto"/>
        </w:rPr>
      </w:pPr>
    </w:p>
    <w:p>
      <w:pPr>
        <w:jc w:val="both"/>
        <w:ind w:left="1280" w:right="20" w:hanging="634"/>
        <w:spacing w:after="0" w:line="268" w:lineRule="auto"/>
        <w:tabs>
          <w:tab w:leader="none" w:pos="127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deliver to the Trustee an Officer’s Certificate stating that the deposit was not made by the Company with the intent of preferring the Noteholders over the other creditors of the Company with the intent of defeating, hindering, delaying or defrauding creditors of the Company or others;</w:t>
      </w:r>
    </w:p>
    <w:p>
      <w:pPr>
        <w:spacing w:after="0" w:line="147" w:lineRule="exact"/>
        <w:rPr>
          <w:rFonts w:ascii="Times New Roman" w:cs="Times New Roman" w:eastAsia="Times New Roman" w:hAnsi="Times New Roman"/>
          <w:sz w:val="20"/>
          <w:szCs w:val="20"/>
          <w:color w:val="auto"/>
        </w:rPr>
      </w:pPr>
    </w:p>
    <w:p>
      <w:pPr>
        <w:ind w:left="1280" w:hanging="634"/>
        <w:spacing w:after="0" w:line="269" w:lineRule="auto"/>
        <w:tabs>
          <w:tab w:leader="none" w:pos="127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must deliver to the Trustee an Officer’s Certificate stating that all conditions precedent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have been complied with; and</w:t>
      </w:r>
    </w:p>
    <w:p>
      <w:pPr>
        <w:spacing w:after="0" w:line="159" w:lineRule="exact"/>
        <w:rPr>
          <w:rFonts w:ascii="Times New Roman" w:cs="Times New Roman" w:eastAsia="Times New Roman" w:hAnsi="Times New Roman"/>
          <w:sz w:val="20"/>
          <w:szCs w:val="20"/>
          <w:color w:val="auto"/>
        </w:rPr>
      </w:pPr>
    </w:p>
    <w:p>
      <w:pPr>
        <w:jc w:val="both"/>
        <w:ind w:left="1280" w:hanging="634"/>
        <w:spacing w:after="0" w:line="254" w:lineRule="auto"/>
        <w:tabs>
          <w:tab w:leader="none" w:pos="127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must deliver to the Trustee an Opinion of Counsel (which opinion of counsel may be subject to customary assumptions, qualifications and exclusions), stating that all conditions precedent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have been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Opinion of Counsel with respect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may be to the knowledge of such counsel.</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19"/>
          <w:szCs w:val="19"/>
          <w:u w:val="single" w:color="auto"/>
          <w:color w:val="auto"/>
        </w:rPr>
        <w:t>Deposited Money and Government Securities to Be Held in Trust; Other Miscellaneous Provisions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all money and non-callable Government Securities (including the proceeds thereof) deposited with the Trustee (or other qualifying trustee, collectively for purposes of this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Noteholders of such Notes of all sums due and to become due thereon in respect of principal, premium, if any, and interest, but such money need not be segregated from other funds except to the extent required by law.</w:t>
      </w:r>
    </w:p>
    <w:p>
      <w:pPr>
        <w:spacing w:after="0" w:line="165"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The Company will pay and indemnify the Trustee against any tax, fee or other charge imposed on or assessed against the cash or non-callable Government Securities deposited pursuant to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08" w:name="page109"/>
    <w:bookmarkEnd w:id="108"/>
    <w:p>
      <w:pPr>
        <w:jc w:val="both"/>
        <w:ind w:left="640"/>
        <w:spacing w:after="0" w:line="283" w:lineRule="auto"/>
        <w:rPr>
          <w:sz w:val="20"/>
          <w:szCs w:val="20"/>
          <w:color w:val="auto"/>
        </w:rPr>
      </w:pP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or the principal and interest received in respect thereof other than any such tax, fee or other charge which by law is for the account of the Noteholders of the outstanding Notes.</w:t>
      </w:r>
    </w:p>
    <w:p>
      <w:pPr>
        <w:spacing w:after="0" w:line="133"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to the contrary, the Trustee will deliver or pay to the Company from time to time upon the request of the Company any money or non-callable Government Securities held by it as provided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which, in the opinion of a nationally recognized firm of independent public accountants expressed in a written certification thereof delivered to the Trustee (which may be the opinion delivered under </w:t>
      </w:r>
      <w:r>
        <w:rPr>
          <w:rFonts w:ascii="Times New Roman" w:cs="Times New Roman" w:eastAsia="Times New Roman" w:hAnsi="Times New Roman"/>
          <w:sz w:val="20"/>
          <w:szCs w:val="20"/>
          <w:u w:val="single" w:color="auto"/>
          <w:color w:val="auto"/>
        </w:rPr>
        <w:t>Section 8.4(a)</w:t>
      </w:r>
      <w:r>
        <w:rPr>
          <w:rFonts w:ascii="Times New Roman" w:cs="Times New Roman" w:eastAsia="Times New Roman" w:hAnsi="Times New Roman"/>
          <w:sz w:val="20"/>
          <w:szCs w:val="20"/>
          <w:color w:val="auto"/>
        </w:rPr>
        <w:t>), are in excess of the amount thereof that would then be required to be deposited to effect an equivalent Legal Defeasance or Covenant Defeasance.</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u w:val="single" w:color="auto"/>
          <w:color w:val="auto"/>
        </w:rPr>
        <w:t>Repayment to Company</w:t>
      </w:r>
    </w:p>
    <w:p>
      <w:pPr>
        <w:spacing w:after="0" w:line="216"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9"/>
          <w:szCs w:val="19"/>
          <w:color w:val="auto"/>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request or (if then held by the Company) will be discharged from such trust; and the Noteholder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thirty days from the date of such notification or publication, any unclaimed balance of such money then remaining will be repaid to the Company.</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u w:val="single" w:color="auto"/>
          <w:color w:val="auto"/>
        </w:rPr>
        <w:t>Reinstatement</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If the Trustee or Paying Agent is unable to apply any U.S. dollars or non-callable Government Securities in accordance with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as the case may be, by reason of any order or judgment of any court or governmental authority enjoining, restraining or otherwise prohibiting such application, then the Company’s obligations under this Indenture and the Notes will be revived and reinstated as though no deposit had occurred pursuant to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until such time as the Trustee or Paying Agent is permitted to apply all such money in accordance with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Company makes any payment of principal of, premium, if any, or interest on, any Note following the reinstatement of its obligations, the Company will be subrogated to the rights of the Noteholders of such Notes to receive such payment from the money held by the Trustee or Paying Agent.</w:t>
      </w:r>
    </w:p>
    <w:p>
      <w:pPr>
        <w:spacing w:after="0" w:line="164" w:lineRule="exact"/>
        <w:rPr>
          <w:sz w:val="20"/>
          <w:szCs w:val="20"/>
          <w:color w:val="auto"/>
        </w:rPr>
      </w:pPr>
    </w:p>
    <w:p>
      <w:pPr>
        <w:ind w:left="640" w:hanging="632"/>
        <w:spacing w:after="0"/>
        <w:tabs>
          <w:tab w:leader="none" w:pos="64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SUPPLEMENT AND WAIVER</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Without Consent of Noteholders</w:t>
      </w:r>
    </w:p>
    <w:p>
      <w:pPr>
        <w:spacing w:after="0" w:line="202" w:lineRule="exact"/>
        <w:rPr>
          <w:sz w:val="20"/>
          <w:szCs w:val="20"/>
          <w:color w:val="auto"/>
        </w:rPr>
      </w:pPr>
    </w:p>
    <w:p>
      <w:pPr>
        <w:ind w:left="640"/>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the Company and the Trustee may amend or supplement the Notes and this Indenture without the consent of any Noteholder:</w:t>
      </w:r>
    </w:p>
    <w:p>
      <w:pPr>
        <w:spacing w:after="0" w:line="159" w:lineRule="exact"/>
        <w:rPr>
          <w:sz w:val="20"/>
          <w:szCs w:val="20"/>
          <w:color w:val="auto"/>
        </w:rPr>
      </w:pPr>
    </w:p>
    <w:p>
      <w:pPr>
        <w:ind w:left="1280" w:hanging="634"/>
        <w:spacing w:after="0"/>
        <w:tabs>
          <w:tab w:leader="none" w:pos="12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defect or inconsistency;</w:t>
      </w:r>
    </w:p>
    <w:p>
      <w:pPr>
        <w:spacing w:after="0" w:line="20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uncertificated Notes in addition to or in place of certificated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09" w:name="page110"/>
    <w:bookmarkEnd w:id="109"/>
    <w:p>
      <w:pPr>
        <w:ind w:left="1280" w:hanging="634"/>
        <w:spacing w:after="0" w:line="283" w:lineRule="auto"/>
        <w:tabs>
          <w:tab w:leader="none" w:pos="12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would provide any additional rights or benefits to the Noteholders or that does not adversely affect the legal rights hereunder of any Noteholder;</w:t>
      </w:r>
    </w:p>
    <w:p>
      <w:pPr>
        <w:spacing w:after="0" w:line="13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a successor Trustee in accordance with the provisions of this Indenture;</w:t>
      </w:r>
    </w:p>
    <w:p>
      <w:pPr>
        <w:spacing w:after="0" w:line="202" w:lineRule="exact"/>
        <w:rPr>
          <w:rFonts w:ascii="Times New Roman" w:cs="Times New Roman" w:eastAsia="Times New Roman" w:hAnsi="Times New Roman"/>
          <w:sz w:val="20"/>
          <w:szCs w:val="20"/>
          <w:color w:val="auto"/>
        </w:rPr>
      </w:pPr>
    </w:p>
    <w:p>
      <w:pPr>
        <w:ind w:left="1280" w:hanging="634"/>
        <w:spacing w:after="0" w:line="283" w:lineRule="auto"/>
        <w:tabs>
          <w:tab w:leader="none" w:pos="12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assumption of the Company’s obligations to the Noteholders by a successor to the Company pursuant to Article 5;</w:t>
      </w:r>
    </w:p>
    <w:p>
      <w:pPr>
        <w:spacing w:after="0" w:line="132" w:lineRule="exact"/>
        <w:rPr>
          <w:rFonts w:ascii="Times New Roman" w:cs="Times New Roman" w:eastAsia="Times New Roman" w:hAnsi="Times New Roman"/>
          <w:sz w:val="20"/>
          <w:szCs w:val="20"/>
          <w:color w:val="auto"/>
        </w:rPr>
      </w:pPr>
    </w:p>
    <w:p>
      <w:pPr>
        <w:ind w:left="1280" w:hanging="634"/>
        <w:spacing w:after="0" w:line="283" w:lineRule="auto"/>
        <w:tabs>
          <w:tab w:leader="none" w:pos="127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issue Additional Notes either pursuant to this Indenture or pursuant to a Supplemental Indenture, subject to compliance with the provisions of this Indenture; or</w:t>
      </w:r>
    </w:p>
    <w:p>
      <w:pPr>
        <w:spacing w:after="0" w:line="132" w:lineRule="exact"/>
        <w:rPr>
          <w:rFonts w:ascii="Times New Roman" w:cs="Times New Roman" w:eastAsia="Times New Roman" w:hAnsi="Times New Roman"/>
          <w:sz w:val="20"/>
          <w:szCs w:val="20"/>
          <w:color w:val="auto"/>
        </w:rPr>
      </w:pPr>
    </w:p>
    <w:p>
      <w:pPr>
        <w:ind w:left="1280" w:hanging="634"/>
        <w:spacing w:after="0" w:line="269" w:lineRule="auto"/>
        <w:tabs>
          <w:tab w:leader="none" w:pos="127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add any additional Guarantors or to evidence or effect the release of any Guarantor from its obligations under its Note Guarantee pursuant to </w:t>
      </w:r>
      <w:r>
        <w:rPr>
          <w:rFonts w:ascii="Times New Roman" w:cs="Times New Roman" w:eastAsia="Times New Roman" w:hAnsi="Times New Roman"/>
          <w:sz w:val="20"/>
          <w:szCs w:val="20"/>
          <w:u w:val="single" w:color="auto"/>
          <w:color w:val="auto"/>
        </w:rPr>
        <w:t>Section 4.28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Upon the request of the Company accompanied by a resolution duly adopted by the authorized governing body authorizing the execution of any such amended or supplemental indenture, and upon receipt by the Trustee of the documents described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the Trustee will join with the Company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With Consent of Noteholders</w:t>
      </w:r>
    </w:p>
    <w:p>
      <w:pPr>
        <w:spacing w:after="0" w:line="202"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 xml:space="preserve">Except as provided below in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the Company and the Trustee may amend or supplement this Indenture (including </w:t>
      </w:r>
      <w:r>
        <w:rPr>
          <w:rFonts w:ascii="Times New Roman" w:cs="Times New Roman" w:eastAsia="Times New Roman" w:hAnsi="Times New Roman"/>
          <w:sz w:val="20"/>
          <w:szCs w:val="20"/>
          <w:u w:val="single" w:color="auto"/>
          <w:color w:val="auto"/>
        </w:rPr>
        <w:t>Sections 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and the Notes with the consent of (a) the Noteholders of a majority in aggregate principal amount of the then outstanding Notes (including Additional Notes, if any) voting as a single class, or (b) if such amendment or supplement applies to less than all series of Notes, the Noteholders of a majority in aggregate principal amount of the then outstanding Notes (including Additional Notes, if any) of all series affected by such amendment or supplement, in each case including consents obtained in connection with a tender offer or exchange offer for, or purchase of, the Notes, and, subject to the Common Terms Agreement, the Collateral and Intercreditor Agreement, and </w:t>
      </w:r>
      <w:r>
        <w:rPr>
          <w:rFonts w:ascii="Times New Roman" w:cs="Times New Roman" w:eastAsia="Times New Roman" w:hAnsi="Times New Roman"/>
          <w:sz w:val="20"/>
          <w:szCs w:val="20"/>
          <w:u w:val="single" w:color="auto"/>
          <w:color w:val="auto"/>
        </w:rPr>
        <w:t>Sections 6.4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6.7</w:t>
      </w:r>
      <w:r>
        <w:rPr>
          <w:rFonts w:ascii="Times New Roman" w:cs="Times New Roman" w:eastAsia="Times New Roman" w:hAnsi="Times New Roman"/>
          <w:sz w:val="20"/>
          <w:szCs w:val="20"/>
          <w:color w:val="auto"/>
        </w:rPr>
        <w:t xml:space="preserve">,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or the Notes may be waived with the consent of the Noteholders of a majority in aggregate principal amount of the then outstanding Notes (including Additional Notes, if any) voting as a single class (including consents obtained in connection with a tender offer or exchange offer for, or purchase of, the Notes).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shall determine which Notes are considered to be “outstanding” for purposes of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For the avoidance of doubt, the Company may issue Additional Notes either pursuant to this Indenture or pursuant to a Supplemental Indenture, in each case, without the consent of any Noteholder, subject to compliance with the provisions of this Indenture.</w:t>
      </w:r>
    </w:p>
    <w:p>
      <w:pPr>
        <w:spacing w:after="0" w:line="187"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Upon the request of the Company accompanied by a resolution duly adopted by the authorized governing body of the Company authorizing the execution of any such amended or supplemental indenture, and upon the filing with the Trustee of evidence satisfactory to the Trustee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10" w:name="page111"/>
    <w:bookmarkEnd w:id="110"/>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consent of the Noteholders as aforesaid, and upon receipt by the Trustee of the documents described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the Trustee will join with the Company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59"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It is not necessary for the consent of the Noteholders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to approve the particular form of any proposed amendment, supplement or waiver, but it is sufficient if such consent approves the substance thereof.</w:t>
      </w:r>
    </w:p>
    <w:p>
      <w:pPr>
        <w:spacing w:after="0" w:line="133"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Any consent given by a holder of a Note that has transferred or has agreed to transfer its Note to (i) the Company, (ii) any subsidiary or any other Affiliate or (iii)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to this Indenture or any other P1 Financing Document that would not have been or would not be so effected or granted but for such consent (and the consents of all other holders of Notes that were acquired under the same or similar conditions) shall be void and of no force or effect except solely as to such holder and except for the purpose of determining whether the Trustee will be protected in relying on any such consent.</w:t>
      </w:r>
    </w:p>
    <w:p>
      <w:pPr>
        <w:spacing w:after="0" w:line="168"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0"/>
          <w:szCs w:val="20"/>
          <w:color w:val="auto"/>
        </w:rPr>
        <w:t xml:space="preserve">Promptly after an amendment, supplement or waiver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becomes effective, the Company will mail or cause to be mailed to the Noteholders affected thereby a notice briefly describing the amendment, supplement or waiver and executed or true and correct copies of each amendment, waiver or consent effected. Any failure of the Company to mail such notice, or any defect therein, will not, however, in any way impair or affect the validity of any such amended or supplemental indenture or waiver. Subject to </w:t>
      </w:r>
      <w:r>
        <w:rPr>
          <w:rFonts w:ascii="Times New Roman" w:cs="Times New Roman" w:eastAsia="Times New Roman" w:hAnsi="Times New Roman"/>
          <w:sz w:val="20"/>
          <w:szCs w:val="20"/>
          <w:u w:val="single" w:color="auto"/>
          <w:color w:val="auto"/>
        </w:rPr>
        <w:t>Sections 6.4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6.7</w:t>
      </w:r>
      <w:r>
        <w:rPr>
          <w:rFonts w:ascii="Times New Roman" w:cs="Times New Roman" w:eastAsia="Times New Roman" w:hAnsi="Times New Roman"/>
          <w:sz w:val="20"/>
          <w:szCs w:val="20"/>
          <w:color w:val="auto"/>
        </w:rPr>
        <w:t xml:space="preserve">, the Noteholders of a majority in aggregate principal amount of the Notes then outstanding voting as a single class may waive compliance in a particular instance by the Company with any provision of this Indenture or the Notes. However, without the consent of each Noteholder of each series of Notes affected and subject to the provisions of the Collateral and Intercreditor Agreement, an amendment, supplement or waiver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may not (with respect to any Notes held by a non-consenting Noteholder):</w:t>
      </w:r>
    </w:p>
    <w:p>
      <w:pPr>
        <w:spacing w:after="0" w:line="162" w:lineRule="exact"/>
        <w:rPr>
          <w:sz w:val="20"/>
          <w:szCs w:val="20"/>
          <w:color w:val="auto"/>
        </w:rPr>
      </w:pPr>
    </w:p>
    <w:p>
      <w:pPr>
        <w:ind w:left="1280" w:hanging="634"/>
        <w:spacing w:after="0"/>
        <w:tabs>
          <w:tab w:leader="none" w:pos="128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Notes whose Noteholders must consent to an amendment, supplement or waiver;</w:t>
      </w:r>
    </w:p>
    <w:p>
      <w:pPr>
        <w:spacing w:after="0" w:line="215"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change the fixed maturity of any Note or alter or waive any of the provisions with respect to the redemption of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purchase or repurchase of Notes, including pursuant to </w:t>
      </w:r>
      <w:r>
        <w:rPr>
          <w:rFonts w:ascii="Times New Roman" w:cs="Times New Roman" w:eastAsia="Times New Roman" w:hAnsi="Times New Roman"/>
          <w:sz w:val="20"/>
          <w:szCs w:val="20"/>
          <w:u w:val="single" w:color="auto"/>
          <w:color w:val="auto"/>
        </w:rPr>
        <w:t>Sections 4.12,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shall not be deemed a redemption of the Notes;</w:t>
      </w:r>
    </w:p>
    <w:p>
      <w:pPr>
        <w:spacing w:after="0" w:line="154"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change the time for payment of interest, including default interest, on any Note;</w:t>
      </w:r>
    </w:p>
    <w:p>
      <w:pPr>
        <w:spacing w:after="0" w:line="202"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or Event of Default in the payment of principal of, or interest or premium, if any, on the Notes (except a rescission of acceleration of the Notes by the Noteholders of a majority in aggregate principal amount of the then outstanding Notes and a waiver of the payment default that resulted from such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11" w:name="page112"/>
    <w:bookmarkEnd w:id="111"/>
    <w:p>
      <w:pPr>
        <w:ind w:left="1280" w:hanging="634"/>
        <w:spacing w:after="0"/>
        <w:tabs>
          <w:tab w:leader="none" w:pos="128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Note payable in money other than that stated in the Notes;</w:t>
      </w:r>
    </w:p>
    <w:p>
      <w:pPr>
        <w:spacing w:after="0" w:line="202" w:lineRule="exact"/>
        <w:rPr>
          <w:rFonts w:ascii="Times New Roman" w:cs="Times New Roman" w:eastAsia="Times New Roman" w:hAnsi="Times New Roman"/>
          <w:sz w:val="20"/>
          <w:szCs w:val="20"/>
          <w:color w:val="auto"/>
        </w:rPr>
      </w:pPr>
    </w:p>
    <w:p>
      <w:pPr>
        <w:ind w:left="1280" w:hanging="634"/>
        <w:spacing w:after="0" w:line="283" w:lineRule="auto"/>
        <w:tabs>
          <w:tab w:leader="none" w:pos="127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provisions of this Indenture relating to waivers of past Defaults or the rights of Noteholders to receive payments of principal of, or interest or premium, if any, on the Notes;</w:t>
      </w:r>
    </w:p>
    <w:p>
      <w:pPr>
        <w:spacing w:after="0" w:line="13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27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 redemption payment with respect to any Note;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purchase or repurchase of Notes, including pursuant to </w:t>
      </w:r>
      <w:r>
        <w:rPr>
          <w:rFonts w:ascii="Times New Roman" w:cs="Times New Roman" w:eastAsia="Times New Roman" w:hAnsi="Times New Roman"/>
          <w:sz w:val="20"/>
          <w:szCs w:val="20"/>
          <w:u w:val="single" w:color="auto"/>
          <w:color w:val="auto"/>
        </w:rPr>
        <w:t>Sections 4.12,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shall not be deemed a redemption of the Notes; or</w:t>
      </w:r>
    </w:p>
    <w:p>
      <w:pPr>
        <w:spacing w:after="0" w:line="132"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preceding amendment and waiver provisions.</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u w:val="single" w:color="auto"/>
          <w:color w:val="auto"/>
        </w:rPr>
        <w:t>Decisions under Other Financing Documents</w:t>
      </w:r>
    </w:p>
    <w:p>
      <w:pPr>
        <w:spacing w:after="0" w:line="202" w:lineRule="exact"/>
        <w:rPr>
          <w:sz w:val="20"/>
          <w:szCs w:val="20"/>
          <w:color w:val="auto"/>
        </w:rPr>
      </w:pPr>
    </w:p>
    <w:p>
      <w:pPr>
        <w:jc w:val="both"/>
        <w:ind w:left="1280" w:hanging="634"/>
        <w:spacing w:after="0" w:line="258" w:lineRule="auto"/>
        <w:tabs>
          <w:tab w:leader="none" w:pos="12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of this Indenture or the Collateral and Intercreditor Agreement to the contrary, each Noteholder shall be deemed to have consented to, and the Trustee shall be deemed, without the requirement of any vote or consent by the Noteholders and without seeking vote, consent or direction by or from the Noteholders with respect to any of the clauses set forth below, to have voted as follows:</w:t>
      </w:r>
    </w:p>
    <w:p>
      <w:pPr>
        <w:spacing w:after="0" w:line="158" w:lineRule="exact"/>
        <w:rPr>
          <w:rFonts w:ascii="Times New Roman" w:cs="Times New Roman" w:eastAsia="Times New Roman" w:hAnsi="Times New Roman"/>
          <w:sz w:val="20"/>
          <w:szCs w:val="20"/>
          <w:color w:val="auto"/>
        </w:rPr>
      </w:pPr>
    </w:p>
    <w:p>
      <w:pPr>
        <w:jc w:val="both"/>
        <w:ind w:left="1920" w:hanging="636"/>
        <w:spacing w:after="0" w:line="253" w:lineRule="auto"/>
        <w:tabs>
          <w:tab w:leader="none" w:pos="1915"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 proposed Economic Terms Modification applies only to the Notes, the Trustee shall be deemed to have voted in favor of any such Economic Terms Modification if (A) any such Economic Terms Modification is approved by each Senior Secured Bank Debt Holder Representative (if any) in accordance with the Collateral and Intercreditor Agreement and (B) the Company certifies to the Trustee, as set forth in a certificate of an Authorized Officer of the Company, that such Economic Terms Modification could not reasonably be expected to result in a Material Adverse Effect;</w:t>
      </w:r>
    </w:p>
    <w:p>
      <w:pPr>
        <w:spacing w:after="0" w:line="178" w:lineRule="exact"/>
        <w:rPr>
          <w:rFonts w:ascii="Times New Roman" w:cs="Times New Roman" w:eastAsia="Times New Roman" w:hAnsi="Times New Roman"/>
          <w:sz w:val="20"/>
          <w:szCs w:val="20"/>
          <w:color w:val="auto"/>
        </w:rPr>
      </w:pPr>
    </w:p>
    <w:p>
      <w:pPr>
        <w:jc w:val="both"/>
        <w:ind w:left="1920" w:hanging="636"/>
        <w:spacing w:after="0" w:line="250" w:lineRule="auto"/>
        <w:tabs>
          <w:tab w:leader="none" w:pos="1916"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be deemed to have cast its vote in favor of any amendment, supplement, or waiver of the provisions of the Collateral and Intercreditor Agreement and P1 Accounts Agreement related to the application of Collateral Proceeds, the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ranking of the Senior Secured Debt, or the priority, deposit, and application of funds in the accounts (in each case prior to an enforcement action) if (A) approved by each Senior Secured Bank Debt Holder Representative (if any) in accordance with the Collateral and Intercreditor Agreement and (B) the Company certifies to the Trustee, as set forth in a certificate of an Authorized Officer of the Company, that such amendment, supplement or waiver does not result in (1) the Notes receiving payments that are less than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Senior Secured Bank Debt (other than due to timing differences in when payments are due on the Notes in accordance with their terms) and (2) does not result in a material adverse change (when considered with all other such amendments, supplements, and waivers) in (i) the priority within Section 3.3 (</w:t>
      </w:r>
      <w:r>
        <w:rPr>
          <w:rFonts w:ascii="Times New Roman" w:cs="Times New Roman" w:eastAsia="Times New Roman" w:hAnsi="Times New Roman"/>
          <w:sz w:val="20"/>
          <w:szCs w:val="20"/>
          <w:i w:val="1"/>
          <w:iCs w:val="1"/>
          <w:color w:val="auto"/>
        </w:rPr>
        <w:t>P1 Revenue Account</w:t>
      </w:r>
      <w:r>
        <w:rPr>
          <w:rFonts w:ascii="Times New Roman" w:cs="Times New Roman" w:eastAsia="Times New Roman" w:hAnsi="Times New Roman"/>
          <w:sz w:val="20"/>
          <w:szCs w:val="20"/>
          <w:color w:val="auto"/>
        </w:rPr>
        <w:t>) and 3.9 (</w:t>
      </w:r>
      <w:r>
        <w:rPr>
          <w:rFonts w:ascii="Times New Roman" w:cs="Times New Roman" w:eastAsia="Times New Roman" w:hAnsi="Times New Roman"/>
          <w:sz w:val="20"/>
          <w:szCs w:val="20"/>
          <w:i w:val="1"/>
          <w:iCs w:val="1"/>
          <w:color w:val="auto"/>
        </w:rPr>
        <w:t>P1 Proceeds Account</w:t>
      </w:r>
      <w:r>
        <w:rPr>
          <w:rFonts w:ascii="Times New Roman" w:cs="Times New Roman" w:eastAsia="Times New Roman" w:hAnsi="Times New Roman"/>
          <w:sz w:val="20"/>
          <w:szCs w:val="20"/>
          <w:color w:val="auto"/>
        </w:rPr>
        <w:t>) of the P1 Accounts Agreement with respect to any payment of principal, interest, or other amounts payable (whether by prepayment or redemption, upon an offer to purchase, upon acceleration, or otherwise) under the Notes or (ii) the funding of the BLK Senior Notes DSRA;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12" w:name="page113"/>
    <w:bookmarkEnd w:id="112"/>
    <w:p>
      <w:pPr>
        <w:jc w:val="both"/>
        <w:ind w:left="1920" w:hanging="636"/>
        <w:spacing w:after="0" w:line="253" w:lineRule="auto"/>
        <w:tabs>
          <w:tab w:leader="none" w:pos="1917"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deemed to have cast its vote in favor of any Modification to provisions of the Collateral and Intercreditor Agreement or the P1 Accounts Agreement related to the application of proceeds of Replacement Debt to the mandatory prepayment of Senior Secured Debt under the CD Credit Agreement if approved by the Senior Secured Bank Debt Holder Representative under the CD Credit Agreement in accordance with the Collateral and Intercreditor Agreement;</w:t>
      </w:r>
    </w:p>
    <w:p>
      <w:pPr>
        <w:spacing w:after="0" w:line="178" w:lineRule="exact"/>
        <w:rPr>
          <w:rFonts w:ascii="Times New Roman" w:cs="Times New Roman" w:eastAsia="Times New Roman" w:hAnsi="Times New Roman"/>
          <w:sz w:val="20"/>
          <w:szCs w:val="20"/>
          <w:color w:val="auto"/>
        </w:rPr>
      </w:pPr>
    </w:p>
    <w:p>
      <w:pPr>
        <w:jc w:val="both"/>
        <w:ind w:left="1920" w:hanging="636"/>
        <w:spacing w:after="0" w:line="253" w:lineRule="auto"/>
        <w:tabs>
          <w:tab w:leader="none" w:pos="192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deemed to have cast its vote in favor of any Modification of any P1 Collateral Document (other than the Collateral and Intercreditor Agreement) if (A) approved by each Senior Secured Bank Debt Holder Representative (if any) in accordance with the Collateral and Intercreditor Agreement and (B) the Company certifies to the Trustee, as set forth in a certificate of an Authorized Officer of the Company, that such Modification is not materially adverse to the Noteholders; and</w:t>
      </w:r>
    </w:p>
    <w:p>
      <w:pPr>
        <w:spacing w:after="0" w:line="164" w:lineRule="exact"/>
        <w:rPr>
          <w:rFonts w:ascii="Times New Roman" w:cs="Times New Roman" w:eastAsia="Times New Roman" w:hAnsi="Times New Roman"/>
          <w:sz w:val="20"/>
          <w:szCs w:val="20"/>
          <w:color w:val="auto"/>
        </w:rPr>
      </w:pPr>
    </w:p>
    <w:p>
      <w:pPr>
        <w:jc w:val="both"/>
        <w:ind w:left="1920" w:hanging="636"/>
        <w:spacing w:after="0" w:line="253" w:lineRule="auto"/>
        <w:tabs>
          <w:tab w:leader="none" w:pos="1919"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deemed to have consented to the release of any Lien on any portion of the Collateral (other than a release of Collateral that comprises all or substantially all of the Collateral) or assets owned by any RG Facility Entity if (A) the Company certifies to the Trustee, as set forth in a certificate of an Authorized Officer of the Company, that such release is reasonable and such Collateral or assets are not reasonably required for the operation of the RG Facility Entity in accordance with the RG Facility Agreement and (B) the Independent Engineer concurs with such certification.</w:t>
      </w:r>
    </w:p>
    <w:p>
      <w:pPr>
        <w:spacing w:after="0" w:line="165" w:lineRule="exact"/>
        <w:rPr>
          <w:rFonts w:ascii="Times New Roman" w:cs="Times New Roman" w:eastAsia="Times New Roman" w:hAnsi="Times New Roman"/>
          <w:sz w:val="20"/>
          <w:szCs w:val="20"/>
          <w:color w:val="auto"/>
        </w:rPr>
      </w:pPr>
    </w:p>
    <w:p>
      <w:pPr>
        <w:jc w:val="both"/>
        <w:ind w:left="1280" w:hanging="634"/>
        <w:spacing w:after="0" w:line="253" w:lineRule="auto"/>
        <w:tabs>
          <w:tab w:leader="none" w:pos="127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Trustee shall not vote in favor of amendments of, supplements to, or waivers of the Common Terms Agreement (other than Administrative Decisions) unless it first receives the affirmative vote of Noteholders of a majority of the aggregate outstanding principal amount of the Notes voting as a single class. If the Trustee has not received the affirmative vote of Noteholders of a majority in aggregate principal amount of the then-outstanding Notes voting as a single class on or prior to the date by which it must cast its vote in accordance with the Collateral and Intercreditor Agreement, then the Trustee shall vote against the relevant Modification.</w:t>
      </w:r>
    </w:p>
    <w:p>
      <w:pPr>
        <w:spacing w:after="0" w:line="178" w:lineRule="exact"/>
        <w:rPr>
          <w:rFonts w:ascii="Times New Roman" w:cs="Times New Roman" w:eastAsia="Times New Roman" w:hAnsi="Times New Roman"/>
          <w:sz w:val="18"/>
          <w:szCs w:val="18"/>
          <w:color w:val="auto"/>
        </w:rPr>
      </w:pPr>
    </w:p>
    <w:p>
      <w:pPr>
        <w:jc w:val="both"/>
        <w:ind w:left="1280" w:hanging="634"/>
        <w:spacing w:after="0" w:line="253" w:lineRule="auto"/>
        <w:tabs>
          <w:tab w:leader="none" w:pos="12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 request from the Company to direct the removal of the P1 Intercreditor Agent or the P1 Collateral Agent and direct the appointment of a replacement P1 Intercreditor Agent or P1 Collateral Agent in accordance with the terms of the Collateral and Intercreditor Agreement, the Trustee shall give notice of such request to the Noteholders. Unless Noteholders representing more than 25% of the aggregate outstanding principal amount of the Notes object to such request within thirty days, the Trustee shall provide such direction on the immediately succeeding Business Day after such thirtieth day.</w:t>
      </w:r>
    </w:p>
    <w:p>
      <w:pPr>
        <w:spacing w:after="0" w:line="165"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the Trustee shall not consent to amendments of, supplements to, or waivers of the P1 Collateral Documents (other than Administrative Decisions) unless it first receives the affirmative vote of a majority of the aggregate outstanding principal amount of the Notes voting as a single class.</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68" w:lineRule="auto"/>
        <w:tabs>
          <w:tab w:leader="none" w:pos="12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 certificate of an Authorized Officer of the Company and without the requirement of any vote or consent by the Noteholders, the Trustee shall consent to any Administrative Decisions pursuant to the Collateral and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13" w:name="page114"/>
    <w:bookmarkEnd w:id="113"/>
    <w:p>
      <w:pPr>
        <w:jc w:val="both"/>
        <w:ind w:left="1280" w:hanging="634"/>
        <w:spacing w:after="0" w:line="253" w:lineRule="auto"/>
        <w:tabs>
          <w:tab w:leader="none" w:pos="127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voting in accordance with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the Trustee shall have received a certificate from an Authorized Officer of the Company, which certificate shall set forth (1) the vote or consent the Trustee is directed to make as required by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in connection with any vote required by the Trustee as Senior Secured Debt Holder Representative under the Collateral and Intercreditor Agreement or any other P1 Financing Document and (2) the relevant subsection of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pursuant to which such vote is required.</w:t>
      </w:r>
    </w:p>
    <w:p>
      <w:pPr>
        <w:spacing w:after="0" w:line="17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u w:val="single" w:color="auto"/>
          <w:color w:val="auto"/>
        </w:rPr>
        <w:t>Revocation and Effect of Consents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Until an amendment, supplement or waiver becomes effective, a consent to it by a Noteholder is a continuing consent by the Noteholder of a Note and every subsequent Noteholder or portion of a Note that evidences the same debt as the consenting Noteholder’s Note, even if notation of the consent is not made on any Note. However, any such Noteholder or subsequent Noteholder may revoke the consent as to its Note if the Trustee receives written notice of revocation before the date the amendment, supplement or waiver becomes effective. An amendment, supplement or waiver becomes effective in accordance with its terms and thereafter binds every Noteholder.</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19"/>
          <w:szCs w:val="19"/>
          <w:u w:val="single" w:color="auto"/>
          <w:color w:val="auto"/>
        </w:rPr>
        <w:t>Notation on or Exchange of Notes</w:t>
      </w:r>
    </w:p>
    <w:p>
      <w:pPr>
        <w:spacing w:after="0" w:line="202"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48"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Failure to make the appropriate notation or issue a new Note will not affect the validity and effect of such amendment, supplement or waiver.</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u w:val="single" w:color="auto"/>
          <w:color w:val="auto"/>
        </w:rPr>
        <w:t>Trustee to Sign Amendments, etc.</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Trustee will sign any amended or supplemental indenture authorized pursuant to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if the amendment or supplement does not adversely affect the rights, duties, liabilities or immunities of the Trustee. In executing any amended or supplemental indenture, the Trustee will be entitled to receive and (subject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will be fully protected in relying upon an Officer’s Certificate and an Opinion of Counsel stating that the execution of such amended or supplemental indenture by the Company is authorized or permitted by this Indenture and that such supplemental indenture is the valid and legally binding obligation of the Company, enforceable against the Company in accordance with its terms, subject to customary exceptions.</w:t>
      </w:r>
    </w:p>
    <w:p>
      <w:pPr>
        <w:spacing w:after="0" w:line="161" w:lineRule="exact"/>
        <w:rPr>
          <w:sz w:val="20"/>
          <w:szCs w:val="20"/>
          <w:color w:val="auto"/>
        </w:rPr>
      </w:pPr>
    </w:p>
    <w:p>
      <w:pPr>
        <w:ind w:left="640" w:hanging="632"/>
        <w:spacing w:after="0"/>
        <w:tabs>
          <w:tab w:leader="none" w:pos="64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COLLATERAL AND SECURITY</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Senior Secured Debt</w:t>
      </w:r>
    </w:p>
    <w:p>
      <w:pPr>
        <w:spacing w:after="0" w:line="216" w:lineRule="exact"/>
        <w:rPr>
          <w:sz w:val="20"/>
          <w:szCs w:val="20"/>
          <w:color w:val="auto"/>
        </w:rPr>
      </w:pPr>
    </w:p>
    <w:p>
      <w:pPr>
        <w:jc w:val="both"/>
        <w:ind w:left="1280" w:hanging="634"/>
        <w:spacing w:after="0" w:line="261" w:lineRule="auto"/>
        <w:tabs>
          <w:tab w:leader="none" w:pos="12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Notes, upon issuance, will be Senior Secured Debt for purposes of the Common Terms Agreement and the Senior Security Documents. The Trustee shall be the Senior Secured Debt Holder Representative for the Notes and a Senior Secured Creditor Representative. The Noteholders shall be Senior Secured Debt Holders.</w:t>
      </w:r>
    </w:p>
    <w:p>
      <w:pPr>
        <w:spacing w:after="0" w:line="150" w:lineRule="exact"/>
        <w:rPr>
          <w:rFonts w:ascii="Times New Roman" w:cs="Times New Roman" w:eastAsia="Times New Roman" w:hAnsi="Times New Roman"/>
          <w:sz w:val="20"/>
          <w:szCs w:val="20"/>
          <w:color w:val="auto"/>
        </w:rPr>
      </w:pPr>
    </w:p>
    <w:p>
      <w:pPr>
        <w:ind w:left="1280" w:hanging="634"/>
        <w:spacing w:after="0" w:line="287" w:lineRule="auto"/>
        <w:tabs>
          <w:tab w:leader="none" w:pos="127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Notes will constitute a Senior Secured Debt Instruments, Senior Secured Debt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all other Senior Secured Debt, and will be secured by the Collateral equally and ratable with all other Senior Secured Debt.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14" w:name="page115"/>
    <w:bookmarkEnd w:id="114"/>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Release of Collateral</w:t>
      </w:r>
    </w:p>
    <w:p>
      <w:pPr>
        <w:spacing w:after="0" w:line="202" w:lineRule="exact"/>
        <w:rPr>
          <w:sz w:val="20"/>
          <w:szCs w:val="20"/>
          <w:color w:val="auto"/>
        </w:rPr>
      </w:pPr>
    </w:p>
    <w:p>
      <w:pPr>
        <w:jc w:val="both"/>
        <w:ind w:left="1280" w:hanging="634"/>
        <w:spacing w:after="0" w:line="258" w:lineRule="auto"/>
        <w:tabs>
          <w:tab w:leader="none" w:pos="128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Notes or each series of Notes, the P1 Collateral Agent’s Liens upon Collateral will no longer secure the Senior Secured Obligations with respect to the Notes or that series of Notes and the right of the Holders of such Senior Secured Obligations to the benefits and proceeds of the P1 Collateral Agent’s Liens on Collateral will terminate and be discharged:</w:t>
      </w:r>
    </w:p>
    <w:p>
      <w:pPr>
        <w:spacing w:after="0" w:line="158" w:lineRule="exact"/>
        <w:rPr>
          <w:rFonts w:ascii="Times New Roman" w:cs="Times New Roman" w:eastAsia="Times New Roman" w:hAnsi="Times New Roman"/>
          <w:sz w:val="20"/>
          <w:szCs w:val="20"/>
          <w:color w:val="auto"/>
        </w:rPr>
      </w:pPr>
    </w:p>
    <w:p>
      <w:pPr>
        <w:jc w:val="both"/>
        <w:ind w:left="1920" w:hanging="636"/>
        <w:spacing w:after="0" w:line="258" w:lineRule="auto"/>
        <w:tabs>
          <w:tab w:leader="none" w:pos="1915" w:val="left"/>
        </w:tabs>
        <w:numPr>
          <w:ilvl w:val="2"/>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upon satisfaction and discharge of this Indenture as set forth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(B) upon a Legal Defeasance or Covenant Defeasance with respect to that series of Notes as set forth in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(C) upon payment in full of the applicable Notes and all other related Senior Secured Obligations that are outstanding, due and payable under this Indenture at the time the Notes are paid in full; or</w:t>
      </w:r>
    </w:p>
    <w:p>
      <w:pPr>
        <w:spacing w:after="0" w:line="158" w:lineRule="exact"/>
        <w:rPr>
          <w:rFonts w:ascii="Times New Roman" w:cs="Times New Roman" w:eastAsia="Times New Roman" w:hAnsi="Times New Roman"/>
          <w:sz w:val="20"/>
          <w:szCs w:val="20"/>
          <w:color w:val="auto"/>
        </w:rPr>
      </w:pPr>
    </w:p>
    <w:p>
      <w:pPr>
        <w:ind w:left="1920" w:hanging="636"/>
        <w:spacing w:after="0" w:line="283" w:lineRule="auto"/>
        <w:tabs>
          <w:tab w:leader="none" w:pos="1916" w:val="left"/>
        </w:tabs>
        <w:numPr>
          <w:ilvl w:val="2"/>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Common Terms Agreement, the Collateral and Intercreditor Agreement and the Senior Security Documents.</w:t>
      </w:r>
    </w:p>
    <w:p>
      <w:pPr>
        <w:spacing w:after="0" w:line="132" w:lineRule="exact"/>
        <w:rPr>
          <w:rFonts w:ascii="Times New Roman" w:cs="Times New Roman" w:eastAsia="Times New Roman" w:hAnsi="Times New Roman"/>
          <w:sz w:val="20"/>
          <w:szCs w:val="20"/>
          <w:color w:val="auto"/>
        </w:rPr>
      </w:pPr>
    </w:p>
    <w:p>
      <w:pPr>
        <w:jc w:val="both"/>
        <w:ind w:left="1280" w:hanging="634"/>
        <w:spacing w:after="0" w:line="266" w:lineRule="auto"/>
        <w:tabs>
          <w:tab w:leader="none" w:pos="1277"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request of the Company pursuant to an Officer’s Certificate confirming that all applicable conditions under this Indenture for the release of Collateral have been complied with, the Trustee will, based on such Officer’s Certificate, deliver a certificate to the P1 Collateral Agent instructing the P1 Collateral Agent to release the relevant Liens without the further consent of the Noteholders. No certificate by the Trustee, nor any consent by the Noteholders, shall be required in connection with any sale, transfer or other disposition of Collateral if such sale, transfer or other disposition does not constitute an Asset Sale or is otherwise permitted by the terms of the Common Terms Agreement, the Collateral and Intercreditor Agreement and the Senior Security Documents and such documents do not require delivery of such certificate. If the Collateral is then held by the Trustee, the Trustee shall, execute, deliver or acknowledge any necessary or proper instruments of termination, satisfaction or release prepared by the Company and at the expense of the Company to evidence such release.</w:t>
      </w:r>
    </w:p>
    <w:p>
      <w:pPr>
        <w:spacing w:after="0" w:line="156" w:lineRule="exact"/>
        <w:rPr>
          <w:rFonts w:ascii="Times New Roman" w:cs="Times New Roman" w:eastAsia="Times New Roman" w:hAnsi="Times New Roman"/>
          <w:sz w:val="19"/>
          <w:szCs w:val="19"/>
          <w:color w:val="auto"/>
        </w:rPr>
      </w:pPr>
    </w:p>
    <w:p>
      <w:pPr>
        <w:jc w:val="both"/>
        <w:ind w:left="1280" w:hanging="634"/>
        <w:spacing w:after="0" w:line="258" w:lineRule="auto"/>
        <w:tabs>
          <w:tab w:leader="none" w:pos="128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of any Collateral from the terms of this Indenture, the Common Terms Agreement, the Collateral and Intercreditor Agreement and the Senior Security Documents shall not be deemed to impair the security under this Indenture in contravention of the provisions hereof if and to the extent the Collateral is released pursuant to the terms of the Common Terms Agreement, the Collateral and Intercreditor Agreement and the Senior Security Documents.</w:t>
      </w:r>
    </w:p>
    <w:p>
      <w:pPr>
        <w:spacing w:after="0" w:line="154"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SATISFACTION AND DISCHARGE</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Satisfaction and Discharge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Indenture will be discharged and will cease to be of further effect as to all Notes issued hereunder, when:</w:t>
      </w:r>
    </w:p>
    <w:p>
      <w:pPr>
        <w:spacing w:after="0" w:line="202" w:lineRule="exact"/>
        <w:rPr>
          <w:sz w:val="20"/>
          <w:szCs w:val="20"/>
          <w:color w:val="auto"/>
        </w:rPr>
      </w:pPr>
    </w:p>
    <w:p>
      <w:pPr>
        <w:ind w:left="1280" w:hanging="634"/>
        <w:spacing w:after="0"/>
        <w:tabs>
          <w:tab w:leader="none" w:pos="128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02" w:lineRule="exact"/>
        <w:rPr>
          <w:rFonts w:ascii="Times New Roman" w:cs="Times New Roman" w:eastAsia="Times New Roman" w:hAnsi="Times New Roman"/>
          <w:sz w:val="20"/>
          <w:szCs w:val="20"/>
          <w:color w:val="auto"/>
        </w:rPr>
      </w:pPr>
    </w:p>
    <w:p>
      <w:pPr>
        <w:jc w:val="both"/>
        <w:ind w:left="1920" w:hanging="636"/>
        <w:spacing w:after="0" w:line="261" w:lineRule="auto"/>
        <w:tabs>
          <w:tab w:leader="none" w:pos="1915"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15" w:name="page116"/>
    <w:bookmarkEnd w:id="115"/>
    <w:p>
      <w:pPr>
        <w:jc w:val="both"/>
        <w:ind w:left="1920" w:hanging="636"/>
        <w:spacing w:after="0" w:line="253" w:lineRule="auto"/>
        <w:tabs>
          <w:tab w:leader="none" w:pos="1916"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that have not been delivered to the Trustee for cancellation have become due and payable by reason of the mailing of a notice of redemption or otherwise or will become due and payable within one year and the Company has irrevocably deposited or caused to be deposited with the Trustee as trust funds in trust solely for the benefit of the Noteholders,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65"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77"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on the date of such deposit (other than a Default or Event of Default resulting from the borrowing of funds to be applied to such deposit and the granting of Liens securing such borrowing);</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8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deposit will not result in a breach or violation of, or constitute a default under (other than a Default or Event of Default resulting from the borrowing of funds to be applied to such deposit and the granting of Liens securing such borrowing), any material agreement or instrument to which the Company is a party or by which the Company is bound;</w:t>
      </w:r>
    </w:p>
    <w:p>
      <w:pPr>
        <w:spacing w:after="0" w:line="167"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paid or caused to be paid all sums payable by it under this Indenture; and</w:t>
      </w:r>
    </w:p>
    <w:p>
      <w:pPr>
        <w:spacing w:after="0" w:line="20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28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delivered irrevocable instructions to the Trustee under this Indenture to apply the deposited money toward the payment of the Notes at maturity or the redemption date, as the case may be.</w:t>
      </w:r>
    </w:p>
    <w:p>
      <w:pPr>
        <w:spacing w:after="0" w:line="133"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In addition, the Company must deliver to the Trustee (1) an Officer’s Certificate stating that all conditions precedent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have been satisfied, and (2) an Opinion of Counsel (which opinion of counsel may be subject to customary assumptions, qualifications and exclusions), stating that all conditions precedent set forth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have been satisfied; provided, that the Opinion of Counsel with respect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may be to the knowledge of such counsel.</w:t>
      </w:r>
    </w:p>
    <w:p>
      <w:pPr>
        <w:spacing w:after="0" w:line="16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the satisfaction and discharge of this Indenture, if money has been deposited with the Trustee pursuant to </w:t>
      </w:r>
      <w:r>
        <w:rPr>
          <w:rFonts w:ascii="Times New Roman" w:cs="Times New Roman" w:eastAsia="Times New Roman" w:hAnsi="Times New Roman"/>
          <w:sz w:val="20"/>
          <w:szCs w:val="20"/>
          <w:u w:val="single" w:color="auto"/>
          <w:color w:val="auto"/>
        </w:rPr>
        <w:t>subclause (ii)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Sections 11.2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8.6</w:t>
      </w:r>
      <w:r>
        <w:rPr>
          <w:rFonts w:ascii="Times New Roman" w:cs="Times New Roman" w:eastAsia="Times New Roman" w:hAnsi="Times New Roman"/>
          <w:sz w:val="20"/>
          <w:szCs w:val="20"/>
          <w:color w:val="auto"/>
        </w:rPr>
        <w:t xml:space="preserve"> will survive. In addition, nothing in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will be deemed to discharge those provisions of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that, by their terms, survive the satisfaction and discharge of this Indenture.</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Application of Trust Money</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all money deposited with the Trustee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interest and premium, if any, for whose payment such money has been deposited with the Trustee; but such money need not be segregated from other funds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16" w:name="page117"/>
    <w:bookmarkEnd w:id="116"/>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If the Trustee or Paying Agent is unable to apply any money or Government Securities in accordance with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Company has made any payment of principal of, premium, if any, or interest on, any Notes because of the reinstatement of its obligations, the Company shall be subrogated to the rights of the Noteholders of such Notes to receive such payment from the money or Government Securities held by the Trustee or Paying Agent.</w:t>
      </w:r>
    </w:p>
    <w:p>
      <w:pPr>
        <w:spacing w:after="0" w:line="162" w:lineRule="exact"/>
        <w:rPr>
          <w:sz w:val="20"/>
          <w:szCs w:val="20"/>
          <w:color w:val="auto"/>
        </w:rPr>
      </w:pPr>
    </w:p>
    <w:p>
      <w:pPr>
        <w:ind w:left="640" w:hanging="632"/>
        <w:spacing w:after="0"/>
        <w:tabs>
          <w:tab w:leader="none" w:pos="64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0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u w:val="single" w:color="auto"/>
          <w:color w:val="auto"/>
        </w:rPr>
        <w:t>Notices</w:t>
      </w:r>
    </w:p>
    <w:p>
      <w:pPr>
        <w:spacing w:after="0" w:line="202"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Any notice or communication by the Company or the Trustee to the others is duly given if in writing and delivered in Person or by first class mail (registered or certified, return receipt requested), electronic mail or overnight air courier guaranteeing next day delivery, to the others’ address:</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2" w:lineRule="exact"/>
        <w:rPr>
          <w:sz w:val="20"/>
          <w:szCs w:val="20"/>
          <w:color w:val="auto"/>
        </w:rPr>
      </w:pPr>
    </w:p>
    <w:p>
      <w:pPr>
        <w:ind w:left="1280"/>
        <w:spacing w:after="0"/>
        <w:tabs>
          <w:tab w:leader="none" w:pos="21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1000 Louisiana Street, 39th Floor</w:t>
      </w:r>
    </w:p>
    <w:p>
      <w:pPr>
        <w:spacing w:after="0" w:line="28" w:lineRule="exact"/>
        <w:rPr>
          <w:sz w:val="20"/>
          <w:szCs w:val="20"/>
          <w:color w:val="auto"/>
        </w:rPr>
      </w:pPr>
    </w:p>
    <w:p>
      <w:pPr>
        <w:jc w:val="center"/>
        <w:ind w:right="572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jc w:val="center"/>
        <w:ind w:right="5660"/>
        <w:spacing w:after="0"/>
        <w:tabs>
          <w:tab w:leader="none" w:pos="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Vera De Brito de Gyarfas</w:t>
      </w:r>
    </w:p>
    <w:p>
      <w:pPr>
        <w:spacing w:after="0" w:line="6" w:lineRule="exact"/>
        <w:rPr>
          <w:sz w:val="20"/>
          <w:szCs w:val="20"/>
          <w:color w:val="auto"/>
        </w:rPr>
      </w:pPr>
    </w:p>
    <w:p>
      <w:pPr>
        <w:ind w:left="1280"/>
        <w:spacing w:after="0"/>
        <w:tabs>
          <w:tab w:leader="none" w:pos="23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vdegyarfas@next-decade.com</w:t>
      </w:r>
    </w:p>
    <w:p>
      <w:pPr>
        <w:spacing w:after="0" w:line="187"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With a copy to (which copy shall be delivered as an accommodation and shall not be required to be delivered in satisfaction of any requirement hereof):</w:t>
      </w:r>
    </w:p>
    <w:p>
      <w:pPr>
        <w:spacing w:after="0" w:line="1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line="202"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20"/>
          <w:szCs w:val="20"/>
          <w:color w:val="auto"/>
        </w:rPr>
        <w:t>Address:</w:t>
        <w:tab/>
        <w:t>811 Main Street</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Houston, TX 77002</w:t>
      </w:r>
    </w:p>
    <w:p>
      <w:pPr>
        <w:spacing w:after="0" w:line="13"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Jason Webber</w:t>
      </w:r>
    </w:p>
    <w:p>
      <w:pPr>
        <w:spacing w:after="0" w:line="6" w:lineRule="exact"/>
        <w:rPr>
          <w:sz w:val="20"/>
          <w:szCs w:val="20"/>
          <w:color w:val="auto"/>
        </w:rPr>
      </w:pPr>
    </w:p>
    <w:p>
      <w:pPr>
        <w:ind w:left="1280"/>
        <w:spacing w:after="0"/>
        <w:tabs>
          <w:tab w:leader="none" w:pos="2380" w:val="left"/>
        </w:tabs>
        <w:rPr>
          <w:sz w:val="20"/>
          <w:szCs w:val="20"/>
          <w:color w:val="auto"/>
        </w:rPr>
      </w:pPr>
      <w:r>
        <w:rPr>
          <w:rFonts w:ascii="Times New Roman" w:cs="Times New Roman" w:eastAsia="Times New Roman" w:hAnsi="Times New Roman"/>
          <w:sz w:val="20"/>
          <w:szCs w:val="20"/>
          <w:color w:val="auto"/>
        </w:rPr>
        <w:t>Telephone:</w:t>
        <w:tab/>
        <w:t>(212) 906-1214</w:t>
      </w:r>
    </w:p>
    <w:p>
      <w:pPr>
        <w:spacing w:after="0" w:line="6" w:lineRule="exact"/>
        <w:rPr>
          <w:sz w:val="20"/>
          <w:szCs w:val="20"/>
          <w:color w:val="auto"/>
        </w:rPr>
      </w:pPr>
    </w:p>
    <w:p>
      <w:pPr>
        <w:ind w:left="1280"/>
        <w:spacing w:after="0"/>
        <w:tabs>
          <w:tab w:leader="none" w:pos="23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Jason.Webber@lw.com</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to the Trustee:</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16" w:lineRule="exact"/>
        <w:rPr>
          <w:sz w:val="20"/>
          <w:szCs w:val="20"/>
          <w:color w:val="auto"/>
        </w:rPr>
      </w:pPr>
    </w:p>
    <w:p>
      <w:pPr>
        <w:ind w:left="1280"/>
        <w:spacing w:after="0"/>
        <w:tabs>
          <w:tab w:leader="none" w:pos="21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1100 North Market Street</w:t>
      </w:r>
    </w:p>
    <w:p>
      <w:pPr>
        <w:spacing w:after="0" w:line="2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6"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D. Amedeo Morreale</w:t>
      </w:r>
    </w:p>
    <w:p>
      <w:pPr>
        <w:spacing w:after="0" w:line="6" w:lineRule="exact"/>
        <w:rPr>
          <w:sz w:val="20"/>
          <w:szCs w:val="20"/>
          <w:color w:val="auto"/>
        </w:rPr>
      </w:pPr>
    </w:p>
    <w:p>
      <w:pPr>
        <w:ind w:left="1280"/>
        <w:spacing w:after="0"/>
        <w:tabs>
          <w:tab w:leader="none" w:pos="234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19"/>
          <w:szCs w:val="19"/>
          <w:color w:val="auto"/>
        </w:rPr>
        <w:t>(561) 724-2258</w:t>
      </w:r>
    </w:p>
    <w:p>
      <w:pPr>
        <w:spacing w:after="0" w:line="6"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dmorreale@wilmingtontrust.com</w:t>
      </w:r>
    </w:p>
    <w:p>
      <w:pPr>
        <w:spacing w:after="0" w:line="187"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The Company or the Trustee, by notice to the others, may designate additional or different addresses for subsequent notices or communications.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13" w:right="33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type w:val="continuous"/>
        </w:sectPr>
      </w:pPr>
    </w:p>
    <w:bookmarkStart w:id="117" w:name="page118"/>
    <w:bookmarkEnd w:id="117"/>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All notices and communications (other than those sent to Noteholders) will be deemed to have been duly given: at the time delivered by hand, if personally delivered; five Business Days after being deposited in the mail, postage prepaid, if mailed; at the time sent, if transmitted by electronic mail; and the next Business Day after timely delivery to the courier, if sent by overnight air courier guaranteeing next day delivery;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all notices and communications to the Trustee shall not be deemed received by the Trustee unless actually received by the Trustee at its address or electronic mail address set forth above.</w:t>
      </w:r>
    </w:p>
    <w:p>
      <w:pPr>
        <w:spacing w:after="0" w:line="178"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Any notice or communication to a Noteholder may be provided electronically (including through posting on Debtdomain or other web site (collectively,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xml:space="preserve">”) in use to distribute information to Noteholders), mailed by first class mail, or by certified or registered mail, return receipt requested, or by overnight air courier guaranteeing next day delivery to its address shown on the register kept by the Registrar;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upon request of any holder to receive paper copies of such notice or communication or to receive them by email, the Company will promptly deliver paper copies or email them, as the case may be, to such holder. Failure to mail or deliver a notice or communication to a Noteholder or any defect in it will not affect its sufficiency with respect to other Noteholders.</w:t>
      </w:r>
    </w:p>
    <w:p>
      <w:pPr>
        <w:spacing w:after="0" w:line="16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Trustee from time to time (including, as of the date hereof, a user ID/password authorization system) and the Approved Electronic Platform is secured through a per-deal authorization method whereby each user may access the Approved Electronic Platform only on a deal-by-deal basis, each of the Noteholders acknowledges and agrees that the distribution of material through an electronic medium is not necessarily secure, that the Trustee is not responsible for approving or vetting the representatives or contacts that are added to the Approved Electronic Platform, and that there may be confidentiality and other risks associated with such distribution. The Company hereby approves distribution of the any notice or communication through the Approved Electronic Platform and understands and assumes the risks of such distribution.</w:t>
      </w:r>
    </w:p>
    <w:p>
      <w:pPr>
        <w:spacing w:after="0" w:line="167"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THE APPROVED ELECTRONIC PLATFORM AND THE NOTICES OR COMMUNICATIONS ARE PROVIDED “AS IS” AND “AS AVAILABLE”. THE COMPANY AND TRUSTEE DO NOT WARRANT THE ACCURACY OR COMPLETENESS OF THE NOTICES OR COMMUNICATIONS, OR THE ADEQUACY OF THE APPROVED ELECTRONIC PLATFORM AND EXPRESSLY DISCLAIM LIABILITY FOR ERRORS OR OMISSIONS IN THE APPROVED ELECTRONIC PLATFORM AND THE NOTICES AND COMMUNICATIONS. NO WARRANTY OF ANY KIND, EXPRESS, IMPLIED OR STATUTORY, INCLUDING ANY WARRANTY OF MERCHANTABILITY, FITNESS FOR A PARTICULAR PURPOSE, NON-INFRINGEMENT OF THIRD PARTY RIGHTS OR FREEDOM FROM VIRUSES OR OTHER CODE DEFECTS, IS MADE BY THE COMPANY OR TRUSTEE IN CONNECTION WITH THE COMMUNICATIONS OR THE APPROVED ELECTRONIC PLATFORM. IN NO EVENT SHALL THE TRUSTEE HAVE ANY LIABILITY TO ANY NOTEHOLDER OR ANY OTHER PERSON OR ENTITY FOR DAMAGES OF ANY KIND, INCLUDING DIRECT OR INDIRECT, SPECIAL, INCIDENTAL OR CONSEQUENTIAL DAMAGES, LOSSES OR EXPENSES (WHETHER IN TORT, CONTRACT OR OTHERWISE) ARISING OUT OF ANY COMPANY OR TRUSTEE’S TRANSMISSION OF NOTICES OR COMMUNICATIONS THROUGH THE INTERNET OR THE APPROVED ELECTRONIC PLATFORM EXCEPT WITH RESPECT TO ACTUAL AND DIRECT DAMAGES TO THE EXTENT DETERMINED BY A COURT OF COMPETENT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18" w:name="page119"/>
    <w:bookmarkEnd w:id="118"/>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JURISDICTION BY FINAL AND NON-APPEALABLE JUDGMENT TO HAVE RESULTED FROM THE WILLFUL MISCONDUCT OR GROSS NEGLIGENCE OF THE COMPANY OR TRUSTEE; PROVIDED THAT ANY NOTICES OR COMMUNICATION TO NOTEHOLDER OR, TO THE EXTENT SUCH DISCLOSURE IS OTHERWISE PERMITTED, TO ANY OTHER PERSON THROUGH AN APPROVED ELECTRONIC PLATFORM SHALL BE MADE SUBJECT TO THE ACKNOWLEDGEMENT AND ACCEPTANCE BY SUCH PERSON THAT SUCH COMMUNICATION IS BEING DISSEMINATED OR DISCLOSED ON A CONFIDENTIAL BASIS, WHICH SHALL IN ANY EVENT REQUIRE “CLICK THROUGH” OR OTHER AFFIRMATIVE ACTIONS ON THE PART OF THE RECIPIENT TO ACCESS SUCH COMMUNICATION.</w:t>
      </w:r>
    </w:p>
    <w:p>
      <w:pPr>
        <w:spacing w:after="0" w:line="168"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If a notice or communication is mailed or delivered in the manner provided above within the time prescribed, it is duly given, whether or not the addressee receives it.</w:t>
      </w:r>
    </w:p>
    <w:p>
      <w:pPr>
        <w:spacing w:after="0" w:line="133"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If the Company mails or delivers a notice or communication to Noteholders, it will send a copy to the Trustee and each Agent at the same time by any of the means described above with respect to notice or communication by the Company.</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u w:val="single" w:color="auto"/>
          <w:color w:val="auto"/>
        </w:rPr>
        <w:t>Certificate and Opinion as to Conditions Precedent</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Upon any request or application by the Company to the Trustee to take any action under this Indenture, the Company shall furnish to the Trustee:</w:t>
      </w:r>
    </w:p>
    <w:p>
      <w:pPr>
        <w:spacing w:after="0" w:line="133" w:lineRule="exact"/>
        <w:rPr>
          <w:sz w:val="20"/>
          <w:szCs w:val="20"/>
          <w:color w:val="auto"/>
        </w:rPr>
      </w:pPr>
    </w:p>
    <w:p>
      <w:pPr>
        <w:jc w:val="both"/>
        <w:ind w:left="1280" w:hanging="634"/>
        <w:spacing w:after="0" w:line="261" w:lineRule="auto"/>
        <w:tabs>
          <w:tab w:leader="none" w:pos="12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Officer’s Certificate in form reasonably satisfactory to the Trustee (which must include the statements set forth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stating that, in the opinion of the signers, all conditions precedent and covenants, if any, provided for in this Indenture relating to the proposed action have been complied with; and</w:t>
      </w:r>
    </w:p>
    <w:p>
      <w:pPr>
        <w:spacing w:after="0" w:line="167" w:lineRule="exact"/>
        <w:rPr>
          <w:rFonts w:ascii="Times New Roman" w:cs="Times New Roman" w:eastAsia="Times New Roman" w:hAnsi="Times New Roman"/>
          <w:sz w:val="20"/>
          <w:szCs w:val="20"/>
          <w:color w:val="auto"/>
        </w:rPr>
      </w:pPr>
    </w:p>
    <w:p>
      <w:pPr>
        <w:jc w:val="both"/>
        <w:ind w:left="1280" w:hanging="634"/>
        <w:spacing w:after="0" w:line="254" w:lineRule="auto"/>
        <w:tabs>
          <w:tab w:leader="none" w:pos="1277"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Opinion of Counsel in form reasonably satisfactory to the Trustee (which must include the statements set forth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stating that, in the opinion of such counsel, all such conditions precedent and covenants have been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Opinion of Counsel shall be delivered on the date of this Indenture in connection with the original issuance of the initial Notes.</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u w:val="single" w:color="auto"/>
          <w:color w:val="auto"/>
        </w:rPr>
        <w:t>Statements Required in Certificate or Opinion</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certificate or opinion with respect to compliance with a condition or covenant provided for in this Indenture must include:</w:t>
      </w:r>
    </w:p>
    <w:p>
      <w:pPr>
        <w:spacing w:after="0" w:line="202" w:lineRule="exact"/>
        <w:rPr>
          <w:sz w:val="20"/>
          <w:szCs w:val="20"/>
          <w:color w:val="auto"/>
        </w:rPr>
      </w:pPr>
    </w:p>
    <w:p>
      <w:pPr>
        <w:ind w:left="1280" w:hanging="634"/>
        <w:spacing w:after="0"/>
        <w:tabs>
          <w:tab w:leader="none" w:pos="12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Person making such certificate or opinion has read such covenant or condition;</w:t>
      </w:r>
    </w:p>
    <w:p>
      <w:pPr>
        <w:spacing w:after="0" w:line="20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27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statement as to the nature and scope of the examination or investigation upon which the statements or opinions contained in such certificate or opinion are based;</w:t>
      </w:r>
    </w:p>
    <w:p>
      <w:pPr>
        <w:spacing w:after="0" w:line="132" w:lineRule="exact"/>
        <w:rPr>
          <w:rFonts w:ascii="Times New Roman" w:cs="Times New Roman" w:eastAsia="Times New Roman" w:hAnsi="Times New Roman"/>
          <w:sz w:val="20"/>
          <w:szCs w:val="20"/>
          <w:color w:val="auto"/>
        </w:rPr>
      </w:pPr>
    </w:p>
    <w:p>
      <w:pPr>
        <w:jc w:val="both"/>
        <w:ind w:left="1280" w:hanging="634"/>
        <w:spacing w:after="0" w:line="261" w:lineRule="auto"/>
        <w:tabs>
          <w:tab w:leader="none" w:pos="12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67" w:lineRule="exact"/>
        <w:rPr>
          <w:rFonts w:ascii="Times New Roman" w:cs="Times New Roman" w:eastAsia="Times New Roman" w:hAnsi="Times New Roman"/>
          <w:sz w:val="20"/>
          <w:szCs w:val="20"/>
          <w:color w:val="auto"/>
        </w:rPr>
      </w:pPr>
    </w:p>
    <w:p>
      <w:pPr>
        <w:ind w:left="1280" w:hanging="634"/>
        <w:spacing w:after="0"/>
        <w:tabs>
          <w:tab w:leader="none" w:pos="12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as to whether or not, in the opinion of such Person, such condition or covenant has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19" w:name="page120"/>
    <w:bookmarkEnd w:id="119"/>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u w:val="single" w:color="auto"/>
          <w:color w:val="auto"/>
        </w:rPr>
        <w:t>Rules by Trustee and Agents</w:t>
      </w:r>
    </w:p>
    <w:p>
      <w:pPr>
        <w:spacing w:after="0" w:line="202"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The Trustee may make reasonable rules for action by or at a meeting of Noteholders. The Registrar or Paying Agent may make reasonable rules and set reasonable requirements for its functions.</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u w:val="single" w:color="auto"/>
          <w:color w:val="auto"/>
        </w:rPr>
        <w:t>No Personal Liability of Directors, Officers, Employees and Stockholders</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No past, present or future director, manager, officer, employee, incorporator, member, partner or stockholder of the Company, as such, will have any liability for any obligations of the Company under the Notes, this Indenture, the Senior Security Documents, the P1 Financing Documents or for any claim based on, in respect of, or by reason of, such obligations or their creation. Each Noteholder by accepting a Note waives and releases all such liability. The waiver and release are part of the consideration for issuance of the Notes.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u w:val="single" w:color="auto"/>
          <w:color w:val="auto"/>
        </w:rPr>
        <w:t>Applicable Law, Jurisdiction, etc.</w:t>
      </w:r>
    </w:p>
    <w:p>
      <w:pPr>
        <w:spacing w:after="0" w:line="202" w:lineRule="exact"/>
        <w:rPr>
          <w:sz w:val="20"/>
          <w:szCs w:val="20"/>
          <w:color w:val="auto"/>
        </w:rPr>
      </w:pPr>
    </w:p>
    <w:p>
      <w:pPr>
        <w:jc w:val="both"/>
        <w:ind w:left="1280" w:right="20" w:hanging="634"/>
        <w:spacing w:after="0" w:line="261" w:lineRule="auto"/>
        <w:tabs>
          <w:tab w:leader="none" w:pos="12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INDENTURE, AND THE RIGHTS AND OBLIGATIONS OF THE PARTIES HEREUNDER, SHALL BE GOVERNED BY, AND CONSTRUED IN ACCORDANCE WITH, THE LAW OF THE STATE OF NEW YORK, UNITED STATES OF AMERICA.</w:t>
      </w:r>
    </w:p>
    <w:p>
      <w:pPr>
        <w:spacing w:after="0" w:line="167" w:lineRule="exact"/>
        <w:rPr>
          <w:rFonts w:ascii="Times New Roman" w:cs="Times New Roman" w:eastAsia="Times New Roman" w:hAnsi="Times New Roman"/>
          <w:sz w:val="20"/>
          <w:szCs w:val="20"/>
          <w:color w:val="auto"/>
        </w:rPr>
      </w:pPr>
    </w:p>
    <w:p>
      <w:pPr>
        <w:jc w:val="both"/>
        <w:ind w:left="1280" w:hanging="634"/>
        <w:spacing w:after="0" w:line="248" w:lineRule="auto"/>
        <w:tabs>
          <w:tab w:leader="none" w:pos="127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xml:space="preserve">. TO THE EXTENT PERMITTED BY APPLICABLE LAW, EACH OF THE COMPANY, THE TRUSTEE, AND EACH NOTEHOLDER IRREVOCABLY AND UNCONDITIONALLY SUBMITS, FOR ITSELF AND ITS PROPERTY, TO THE EXCLUSIVE JURISDICTION OF THE COURTS OF THE STATE OF NEW YORK SITTING IN NEW YORK COUNTY AND OF THE UNITED STATES DISTRICT COURT FOR THE SOUTHERN DISTRICT OF NEW YORK, AND ANY APPELLATE COURT FROM ANY THEREOF, IN ANY ACTION OR PROCEEDING ARISING OUT OF OR RELATING TO THIS AGREEMENT OR ANY OTHER P1 FINANCING DOCUMENT, OR FOR RECOGNITION OR ENFORCEMENT OF ANY JUDGMENT, AND EACH OF THE COMPANY, THE TRUSTEE, AND EACH NOTEHOLDER IRREVOCABLY AND UNCONDITIONALLY AGREES THAT ALL CLAIMS IN RESPECT OF ANY SUCH ACTION OR PROCEEDING MAY BE HEARD AND DETERMINED IN SUCH NEW YORK STATE COURT OR, TO THE FULLEST EXTENT PERMITTED BY LAW, IN SUCH FEDERAL COURT. EACH OF THE COMPANY, THE TRUSTEE, AND EACH NOTEHOLDER HERETO AGREES THAT A FINAL JUDGMENT IN ANY SUCH ACTION OR PROCEEDING SHALL BE CONCLUSIVE AND MAY BE ENFORCED IN OTHER JURISDICTIONS BY SUIT ON THE JUDGMENT OR IN ANY OTHER MANNER PROVIDED BY LAW. NOTHING IN THIS AGREEMENT OR IN ANY OTHER P1 FINANCING DOCUMENT SHALL AFFECT ANY RIGHT THAT ANY PARTY HERETO MAY OTHERWISE HAVE TO BRING ANY ACTION OR PROCEEDING RELATING TO THIS AGREEMENT OR ANY OTHER P1 FINANCING DOCUMENT AGAINST THE COMPANY OR ITS PROPERTIES IN THE COURTS OF ANY JURISDICTION IF APPLICABLE LAW DOES NOT PERMIT A CLAIM, ACTION OR PROCEEDING REFERRED TO IN THE FIRST SENTENCE OF THIS </w:t>
      </w:r>
      <w:r>
        <w:rPr>
          <w:rFonts w:ascii="Times New Roman" w:cs="Times New Roman" w:eastAsia="Times New Roman" w:hAnsi="Times New Roman"/>
          <w:sz w:val="20"/>
          <w:szCs w:val="20"/>
          <w:u w:val="single" w:color="auto"/>
          <w:color w:val="auto"/>
        </w:rPr>
        <w:t>SECTION 12.6(b)</w:t>
      </w:r>
      <w:r>
        <w:rPr>
          <w:rFonts w:ascii="Times New Roman" w:cs="Times New Roman" w:eastAsia="Times New Roman" w:hAnsi="Times New Roman"/>
          <w:sz w:val="20"/>
          <w:szCs w:val="20"/>
          <w:color w:val="auto"/>
        </w:rPr>
        <w:t xml:space="preserve"> TO BE FILED, HEARD OR DETERMINED IN OR BY THE COURTS SPECIFIED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20" w:name="page121"/>
    <w:bookmarkEnd w:id="120"/>
    <w:p>
      <w:pPr>
        <w:jc w:val="both"/>
        <w:ind w:left="1280" w:hanging="634"/>
        <w:spacing w:after="0" w:line="269" w:lineRule="auto"/>
        <w:tabs>
          <w:tab w:leader="none" w:pos="128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VENUE</w:t>
      </w:r>
      <w:r>
        <w:rPr>
          <w:rFonts w:ascii="Times New Roman" w:cs="Times New Roman" w:eastAsia="Times New Roman" w:hAnsi="Times New Roman"/>
          <w:sz w:val="19"/>
          <w:szCs w:val="19"/>
          <w:color w:val="auto"/>
        </w:rPr>
        <w:t xml:space="preserve">. THE COMPANY, THE TRUSTEE, AND EACH NOTEHOLDER IRREVOCABLY AND UNCONDITIONALLY WAIVES, TO THE FULLEST EXTENT PERMITTED BY LAW, ANY OBJECTION THAT IT MAY NOW OR HEREAFTER HAVE TO THE LAYING OF VENUE OF ANY ACTION OR PROCEEDING ARISING OUT OF OR RELATING TO THIS AGREEMENT OR ANY OTHER P1 FINANCING DOCUMENT IN ANY COURT REFERRED TO IN </w:t>
      </w:r>
      <w:r>
        <w:rPr>
          <w:rFonts w:ascii="Times New Roman" w:cs="Times New Roman" w:eastAsia="Times New Roman" w:hAnsi="Times New Roman"/>
          <w:sz w:val="19"/>
          <w:szCs w:val="19"/>
          <w:u w:val="single" w:color="auto"/>
          <w:color w:val="auto"/>
        </w:rPr>
        <w:t>SECTION 12.6(b)</w:t>
      </w:r>
      <w:r>
        <w:rPr>
          <w:rFonts w:ascii="Times New Roman" w:cs="Times New Roman" w:eastAsia="Times New Roman" w:hAnsi="Times New Roman"/>
          <w:sz w:val="19"/>
          <w:szCs w:val="19"/>
          <w:color w:val="auto"/>
        </w:rPr>
        <w:t>. THE COMPANY, THE TRUSTEE, AND EACH NOTEHOLDER HEREBY IRREVOCABLY WAIVES, TO THE FULLEST EXTENT PERMITTED BY APPLICABLE LAW, THE DEFENSE OF AN INCONVENIENT FORUM TO THE MAINTENANCE OF SUCH ACTION OR PROCEEDING IN ANY SUCH COURT.</w:t>
      </w:r>
    </w:p>
    <w:p>
      <w:pPr>
        <w:spacing w:after="0" w:line="148" w:lineRule="exact"/>
        <w:rPr>
          <w:rFonts w:ascii="Times New Roman" w:cs="Times New Roman" w:eastAsia="Times New Roman" w:hAnsi="Times New Roman"/>
          <w:sz w:val="19"/>
          <w:szCs w:val="19"/>
          <w:color w:val="auto"/>
        </w:rPr>
      </w:pPr>
    </w:p>
    <w:p>
      <w:pPr>
        <w:ind w:left="1280" w:hanging="634"/>
        <w:spacing w:after="0" w:line="295" w:lineRule="auto"/>
        <w:tabs>
          <w:tab w:leader="none" w:pos="1277"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of Process</w:t>
      </w:r>
      <w:r>
        <w:rPr>
          <w:rFonts w:ascii="Times New Roman" w:cs="Times New Roman" w:eastAsia="Times New Roman" w:hAnsi="Times New Roman"/>
          <w:sz w:val="19"/>
          <w:szCs w:val="19"/>
          <w:color w:val="auto"/>
        </w:rPr>
        <w:t xml:space="preserve">. The Company irrevocably consents to the service of any and all process in any such action or proceeding by the mailing of copies of such process to such Person at its then effective notice addresses pursuant to </w:t>
      </w:r>
      <w:r>
        <w:rPr>
          <w:rFonts w:ascii="Times New Roman" w:cs="Times New Roman" w:eastAsia="Times New Roman" w:hAnsi="Times New Roman"/>
          <w:sz w:val="19"/>
          <w:szCs w:val="19"/>
          <w:u w:val="single" w:color="auto"/>
          <w:color w:val="auto"/>
        </w:rPr>
        <w:t>Section 12.1</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jc w:val="both"/>
        <w:ind w:left="1280" w:hanging="634"/>
        <w:spacing w:after="0" w:line="249" w:lineRule="auto"/>
        <w:tabs>
          <w:tab w:leader="none" w:pos="12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OF THE COMPANY, THE TRUSTEE, AND EACH NOTEHOLDER HEREBY IRREVOCABLY WAIVES, TO THE FULLEST EXTENT PERMITTED BY LAW, ANY RIGHT IT MAY HAVE TO A TRIAL BY JURY IN ANY LEGAL PROCEEDING DIRECTLY OR INDIRECTLY ARISING OUT OF OR RELATING TO THIS INDENTURE, ANY OTHER P1 FINANCING DOCUMENT OR THE TRANSACTIONS CONTEMPLATED HEREBY OR THEREBY (WHETHER BASED ON CONTRACT, TORT OR ANY OTHER THEORY). EACH OF THE COMPANY AND THE TRUSTEE (i) CERTIFIES THAT NO REPRESENTATIVE, AGENT OR ATTORNEY OF ANY OTHER PERSON HAS REPRESENTED TO IT, EXPRESSLY OR OTHERWISE, THAT SUCH OTHER PERSON WOULD NOT, IN THE EVENT OF LITIGATION, SEEK TO ENFORCE THE FOREGOING WAIVER AND (ii)</w:t>
      </w:r>
    </w:p>
    <w:p>
      <w:pPr>
        <w:spacing w:after="0" w:line="3" w:lineRule="exact"/>
        <w:rPr>
          <w:rFonts w:ascii="Times New Roman" w:cs="Times New Roman" w:eastAsia="Times New Roman" w:hAnsi="Times New Roman"/>
          <w:sz w:val="20"/>
          <w:szCs w:val="20"/>
          <w:color w:val="auto"/>
        </w:rPr>
      </w:pPr>
    </w:p>
    <w:p>
      <w:pPr>
        <w:jc w:val="both"/>
        <w:ind w:left="1280"/>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ACKNOWLEDGES THAT IT AND THE OTHER PARTIES HERETO HAVE BEEN INDUCED TO ENTER INTO THIS AGREEMENT AND THE OTHER P1 FINANCING DOCUMENTS BY, AMONG OTHER THINGS, THE MUTUAL WAIVERS AND CERTIFICATIONS IN THIS </w:t>
      </w:r>
      <w:r>
        <w:rPr>
          <w:rFonts w:ascii="Times New Roman" w:cs="Times New Roman" w:eastAsia="Times New Roman" w:hAnsi="Times New Roman"/>
          <w:sz w:val="20"/>
          <w:szCs w:val="20"/>
          <w:u w:val="single" w:color="auto"/>
          <w:color w:val="auto"/>
        </w:rPr>
        <w:t>SECTION 12.6(e)</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19"/>
          <w:szCs w:val="19"/>
          <w:u w:val="single" w:color="auto"/>
          <w:color w:val="auto"/>
        </w:rPr>
        <w:t>No Adverse Interpretation of Other Agreements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Indenture may not be used to interpret any other indenture, loan or debt agreement of the Company or of any other Person.</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Except as expressly set forth herein, no such other indenture, loan or debt agreement may be used to interpret this Indenture.</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9"/>
          <w:szCs w:val="19"/>
          <w:u w:val="single" w:color="auto"/>
          <w:color w:val="auto"/>
        </w:rPr>
        <w:t>Successors</w:t>
      </w:r>
    </w:p>
    <w:p>
      <w:pPr>
        <w:spacing w:after="0" w:line="202" w:lineRule="exact"/>
        <w:rPr>
          <w:sz w:val="20"/>
          <w:szCs w:val="20"/>
          <w:color w:val="auto"/>
        </w:rPr>
      </w:pPr>
    </w:p>
    <w:p>
      <w:pPr>
        <w:ind w:left="640"/>
        <w:spacing w:after="0" w:line="283" w:lineRule="auto"/>
        <w:rPr>
          <w:sz w:val="20"/>
          <w:szCs w:val="20"/>
          <w:color w:val="auto"/>
        </w:rPr>
      </w:pPr>
      <w:r>
        <w:rPr>
          <w:rFonts w:ascii="Times New Roman" w:cs="Times New Roman" w:eastAsia="Times New Roman" w:hAnsi="Times New Roman"/>
          <w:sz w:val="20"/>
          <w:szCs w:val="20"/>
          <w:color w:val="auto"/>
        </w:rPr>
        <w:t>All agreements of the Company in this Indenture and the Notes will bind its successors. All agreements of the Trustee in this Indenture will bind its successors.</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19"/>
          <w:szCs w:val="19"/>
          <w:u w:val="single" w:color="auto"/>
          <w:color w:val="auto"/>
        </w:rPr>
        <w:t>Severability</w:t>
      </w:r>
    </w:p>
    <w:p>
      <w:pPr>
        <w:spacing w:after="0" w:line="202" w:lineRule="exact"/>
        <w:rPr>
          <w:sz w:val="20"/>
          <w:szCs w:val="20"/>
          <w:color w:val="auto"/>
        </w:rPr>
      </w:pPr>
    </w:p>
    <w:p>
      <w:pPr>
        <w:ind w:left="640" w:right="20"/>
        <w:spacing w:after="0" w:line="283" w:lineRule="auto"/>
        <w:rPr>
          <w:sz w:val="20"/>
          <w:szCs w:val="20"/>
          <w:color w:val="auto"/>
        </w:rPr>
      </w:pPr>
      <w:r>
        <w:rPr>
          <w:rFonts w:ascii="Times New Roman" w:cs="Times New Roman" w:eastAsia="Times New Roman" w:hAnsi="Times New Roman"/>
          <w:sz w:val="20"/>
          <w:szCs w:val="20"/>
          <w:color w:val="auto"/>
        </w:rPr>
        <w:t>In case any provision in this Indenture or in the Notes is invalid, illegal or unenforceable, the validity, legality and enforceability of the remaining provisions will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21" w:name="page122"/>
    <w:bookmarkEnd w:id="121"/>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12.10</w:t>
      </w:r>
      <w:r>
        <w:rPr>
          <w:sz w:val="20"/>
          <w:szCs w:val="20"/>
          <w:color w:val="auto"/>
        </w:rPr>
        <w:tab/>
      </w:r>
      <w:r>
        <w:rPr>
          <w:rFonts w:ascii="Times New Roman" w:cs="Times New Roman" w:eastAsia="Times New Roman" w:hAnsi="Times New Roman"/>
          <w:sz w:val="19"/>
          <w:szCs w:val="19"/>
          <w:u w:val="single" w:color="auto"/>
          <w:color w:val="auto"/>
        </w:rPr>
        <w:t>Counterpart Originals</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The Parties may sign any number of copies of this Indenture. Each signed copy will be an original, but all of them together represent the same agreement. The exchange of copies of this Indenture and of signature pages in electronic format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“pdf” or “tif”) transmission shall constitute effective execution and delivery of this Indenture as to the Parties hereto and may be used in lieu of the original Indenture for all purposes. Signatures of the Parties hereto transmitted in electronic format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“pdf” or “tif”) shall be deemed to be their original signatures for all purposes.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12.11</w:t>
      </w:r>
      <w:r>
        <w:rPr>
          <w:sz w:val="20"/>
          <w:szCs w:val="20"/>
          <w:color w:val="auto"/>
        </w:rPr>
        <w:tab/>
      </w:r>
      <w:r>
        <w:rPr>
          <w:rFonts w:ascii="Times New Roman" w:cs="Times New Roman" w:eastAsia="Times New Roman" w:hAnsi="Times New Roman"/>
          <w:sz w:val="19"/>
          <w:szCs w:val="19"/>
          <w:u w:val="single" w:color="auto"/>
          <w:color w:val="auto"/>
        </w:rPr>
        <w:t>Trustee’s Receipt of Funds to the Extent not Required to be Applied to Payment of the Notes</w:t>
      </w:r>
    </w:p>
    <w:p>
      <w:pPr>
        <w:spacing w:after="0" w:line="202" w:lineRule="exact"/>
        <w:rPr>
          <w:sz w:val="20"/>
          <w:szCs w:val="20"/>
          <w:color w:val="auto"/>
        </w:rPr>
      </w:pPr>
    </w:p>
    <w:p>
      <w:pPr>
        <w:jc w:val="both"/>
        <w:ind w:left="640" w:right="20"/>
        <w:spacing w:after="0" w:line="281" w:lineRule="auto"/>
        <w:rPr>
          <w:sz w:val="20"/>
          <w:szCs w:val="20"/>
          <w:color w:val="auto"/>
        </w:rPr>
      </w:pPr>
      <w:r>
        <w:rPr>
          <w:rFonts w:ascii="Times New Roman" w:cs="Times New Roman" w:eastAsia="Times New Roman" w:hAnsi="Times New Roman"/>
          <w:sz w:val="19"/>
          <w:szCs w:val="19"/>
          <w:color w:val="auto"/>
        </w:rPr>
        <w:t>To the extent the Trustee receives any money from the Company or pursuant to any of the P1 Financing Documents, and such money is not required to be used to redeem or repay the Notes as set forth in the certificate of an Authorized Officer of the Company, such moneys shall be deposited into the P1 Accounts under the P1 Accounts Agreement as specified by the Company in such certificate.</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12.12</w:t>
      </w:r>
      <w:r>
        <w:rPr>
          <w:sz w:val="20"/>
          <w:szCs w:val="20"/>
          <w:color w:val="auto"/>
        </w:rPr>
        <w:tab/>
      </w:r>
      <w:r>
        <w:rPr>
          <w:rFonts w:ascii="Times New Roman" w:cs="Times New Roman" w:eastAsia="Times New Roman" w:hAnsi="Times New Roman"/>
          <w:sz w:val="19"/>
          <w:szCs w:val="19"/>
          <w:u w:val="single" w:color="auto"/>
          <w:color w:val="auto"/>
        </w:rPr>
        <w:t>Table of Contents, Headings, etc.</w:t>
      </w:r>
    </w:p>
    <w:p>
      <w:pPr>
        <w:spacing w:after="0" w:line="202"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12.13</w:t>
      </w:r>
      <w:r>
        <w:rPr>
          <w:sz w:val="20"/>
          <w:szCs w:val="20"/>
          <w:color w:val="auto"/>
        </w:rPr>
        <w:tab/>
      </w:r>
      <w:r>
        <w:rPr>
          <w:rFonts w:ascii="Times New Roman" w:cs="Times New Roman" w:eastAsia="Times New Roman" w:hAnsi="Times New Roman"/>
          <w:sz w:val="19"/>
          <w:szCs w:val="19"/>
          <w:u w:val="single" w:color="auto"/>
          <w:color w:val="auto"/>
        </w:rPr>
        <w:t>USA Patriot Act</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Signatures on following pag</w:t>
      </w:r>
      <w:r>
        <w:rPr>
          <w:rFonts w:ascii="Times New Roman" w:cs="Times New Roman" w:eastAsia="Times New Roman" w:hAnsi="Times New Roman"/>
          <w:sz w:val="20"/>
          <w:szCs w:val="20"/>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22" w:name="page123"/>
    <w:bookmarkEnd w:id="122"/>
    <w:p>
      <w:pPr>
        <w:ind w:left="386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RIO GRANDE LNG, LLC</w:t>
      </w:r>
    </w:p>
    <w:p>
      <w:pPr>
        <w:spacing w:after="0" w:line="200" w:lineRule="exact"/>
        <w:rPr>
          <w:sz w:val="20"/>
          <w:szCs w:val="20"/>
          <w:color w:val="auto"/>
        </w:rPr>
      </w:pPr>
    </w:p>
    <w:p>
      <w:pPr>
        <w:spacing w:after="0" w:line="30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Schatzman</w:t>
      </w:r>
    </w:p>
    <w:p>
      <w:pPr>
        <w:spacing w:after="0" w:line="2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Name: Matthew Schatzman</w:t>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00" w:lineRule="exact"/>
        <w:rPr>
          <w:sz w:val="20"/>
          <w:szCs w:val="20"/>
          <w:color w:val="auto"/>
        </w:rPr>
      </w:pPr>
    </w:p>
    <w:p>
      <w:pPr>
        <w:spacing w:after="0" w:line="280" w:lineRule="exact"/>
        <w:rPr>
          <w:sz w:val="20"/>
          <w:szCs w:val="20"/>
          <w:color w:val="auto"/>
        </w:rPr>
      </w:pPr>
    </w:p>
    <w:p>
      <w:pPr>
        <w:ind w:left="3040" w:right="1259"/>
        <w:spacing w:after="0" w:line="273" w:lineRule="auto"/>
        <w:rPr>
          <w:sz w:val="20"/>
          <w:szCs w:val="20"/>
          <w:color w:val="auto"/>
        </w:rPr>
      </w:pPr>
      <w:r>
        <w:rPr>
          <w:rFonts w:ascii="Times New Roman" w:cs="Times New Roman" w:eastAsia="Times New Roman" w:hAnsi="Times New Roman"/>
          <w:sz w:val="20"/>
          <w:szCs w:val="20"/>
          <w:b w:val="1"/>
          <w:bCs w:val="1"/>
          <w:color w:val="auto"/>
        </w:rPr>
        <w:t>WILMINGTON TRUST, NATIONAL ASSOCIATION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Amedeo Morreale</w:t>
      </w:r>
    </w:p>
    <w:p>
      <w:pPr>
        <w:spacing w:after="0" w:line="2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Name: Amedeo Morreale</w:t>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409" w:right="1440" w:bottom="1440" w:gutter="0" w:footer="0" w:header="0"/>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PAYMENT SCHEDULE</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2180" w:type="dxa"/>
            <w:vAlign w:val="bottom"/>
            <w:tcBorders>
              <w:top w:val="single" w:sz="8" w:color="auto"/>
              <w:left w:val="single" w:sz="8" w:color="auto"/>
              <w:bottom w:val="single" w:sz="8" w:color="D9D9D9"/>
              <w:right w:val="single" w:sz="8" w:color="auto"/>
            </w:tcBorders>
            <w:shd w:val="clear" w:color="auto" w:fill="D9D9D9"/>
          </w:tcPr>
          <w:p>
            <w:pPr>
              <w:ind w:left="900"/>
              <w:spacing w:after="0"/>
              <w:rPr>
                <w:sz w:val="20"/>
                <w:szCs w:val="20"/>
                <w:color w:val="auto"/>
              </w:rPr>
            </w:pPr>
            <w:r>
              <w:rPr>
                <w:rFonts w:ascii="Times New Roman" w:cs="Times New Roman" w:eastAsia="Times New Roman" w:hAnsi="Times New Roman"/>
                <w:sz w:val="20"/>
                <w:szCs w:val="20"/>
                <w:b w:val="1"/>
                <w:bCs w:val="1"/>
                <w:color w:val="auto"/>
              </w:rPr>
              <w:t>Date</w:t>
            </w:r>
          </w:p>
        </w:tc>
        <w:tc>
          <w:tcPr>
            <w:tcW w:w="4540" w:type="dxa"/>
            <w:vAlign w:val="bottom"/>
            <w:tcBorders>
              <w:top w:val="single" w:sz="8" w:color="auto"/>
              <w:bottom w:val="single" w:sz="8" w:color="D9D9D9"/>
              <w:right w:val="single" w:sz="8" w:color="auto"/>
            </w:tcBorders>
            <w:shd w:val="clear" w:color="auto" w:fill="D9D9D9"/>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Principal Repayment (US$ Amount)</w:t>
            </w:r>
          </w:p>
        </w:tc>
        <w:tc>
          <w:tcPr>
            <w:tcW w:w="4540" w:type="dxa"/>
            <w:vAlign w:val="bottom"/>
            <w:tcBorders>
              <w:top w:val="single" w:sz="8" w:color="auto"/>
              <w:bottom w:val="single" w:sz="8" w:color="D9D9D9"/>
              <w:right w:val="single" w:sz="8" w:color="auto"/>
            </w:tcBorders>
            <w:shd w:val="clear" w:color="auto" w:fill="D9D9D9"/>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Outstanding Principal (US$ Amount)</w:t>
            </w:r>
          </w:p>
        </w:tc>
      </w:tr>
      <w:tr>
        <w:trPr>
          <w:trHeight w:val="269"/>
        </w:trPr>
        <w:tc>
          <w:tcPr>
            <w:tcW w:w="21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6/30/2029</w:t>
            </w:r>
          </w:p>
        </w:tc>
        <w:tc>
          <w:tcPr>
            <w:tcW w:w="45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2,632,777.00</w:t>
            </w:r>
          </w:p>
        </w:tc>
        <w:tc>
          <w:tcPr>
            <w:tcW w:w="45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187,367,223.00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12/30/2029</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2,632,777.00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184,734,446.00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6/30/2030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180,934,446.00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12/30/2030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177,134,446.00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6/30/2031</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171,434,446.00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12/30/2031</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165,734,446.00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6/30/2032</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160,034,446.00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12/30/2032</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154,334,446.00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6/30/2033</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6,412,500.00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147,921,946.00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12/30/2033</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6,412,500.00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141,509,446.00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6/30/2034</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134,859,446.00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12/30/2034</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128,209,446.00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6/30/2035</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121,559,446.00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12/30/2035</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114,909,446.00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6/30/2036</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108,259,446.00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12/30/2036</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101,609,446.00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6/30/2037</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94,959,446.00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12/30/2037</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88,309,446.00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6/30/2038</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81,659,446.00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12/30/2038</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75,009,446.00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6/30/2039</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68,359,446.00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12/30/2039</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6,650,000.00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61,709,446.00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6/30/2040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4,275,000.00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57,434,446.00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12/30/2040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4,275,000.00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53,159,446.00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6/30/2041</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4,006,517.00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49,152,929.00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12/30/2041</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4,006,517.00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45,146,412.00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6/30/2042</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4,006,517.00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41,139,895.00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12/30/2042</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4,006,517.00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37,133,378.00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6/30/2043</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4,006,517.00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33,126,861.00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12/30/2043</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4,006,517.00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29,120,344.00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6/30/2044</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4,006,517.00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25,113,827.00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12/30/2044</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4,006,517.00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21,107,310.00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6/30/2045</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4,006,517.00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17,100,793.00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70"/>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12/30/2045</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4,006,517.00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13,094,276.00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6/30/2046</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4,006,517.00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9,087,759.00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12/30/2046</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4,006,517.00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5,081,242.00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69"/>
        </w:trPr>
        <w:tc>
          <w:tcPr>
            <w:tcW w:w="2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6/30/2047</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5,081,242.00</w:t>
            </w:r>
          </w:p>
        </w:tc>
        <w:tc>
          <w:tcPr>
            <w:tcW w:w="4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0.00</w:t>
            </w:r>
          </w:p>
        </w:tc>
      </w:tr>
      <w:tr>
        <w:trPr>
          <w:trHeight w:val="48"/>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260"/>
          </w:cols>
          <w:pgMar w:left="320" w:top="1409" w:right="319" w:bottom="1014"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7"/>
          <w:szCs w:val="17"/>
          <w:color w:val="auto"/>
        </w:rPr>
        <w:t>Annex A-1</w:t>
      </w:r>
    </w:p>
    <w:p>
      <w:pPr>
        <w:sectPr>
          <w:pgSz w:w="11900" w:h="16838" w:orient="portrait"/>
          <w:cols w:equalWidth="0" w:num="1">
            <w:col w:w="9019"/>
          </w:cols>
          <w:pgMar w:left="1440" w:top="81" w:right="1440" w:bottom="1440" w:gutter="0" w:footer="0" w:header="0"/>
        </w:sectPr>
      </w:pPr>
    </w:p>
    <w:bookmarkStart w:id="125" w:name="page126"/>
    <w:bookmarkEnd w:id="125"/>
    <w:p>
      <w:pPr>
        <w:jc w:val="both"/>
        <w:spacing w:after="0" w:line="253" w:lineRule="auto"/>
        <w:rPr>
          <w:sz w:val="20"/>
          <w:szCs w:val="20"/>
          <w:color w:val="auto"/>
        </w:rPr>
      </w:pPr>
      <w:r>
        <w:rPr>
          <w:rFonts w:ascii="Times New Roman" w:cs="Times New Roman" w:eastAsia="Times New Roman" w:hAnsi="Times New Roman"/>
          <w:sz w:val="20"/>
          <w:szCs w:val="20"/>
          <w:color w:val="auto"/>
        </w:rPr>
        <w:t>The Payment Schedule shall be appropriately adjusted (whereby the amounts set forth in the column headed “Principal Repayment” (the “</w:t>
      </w:r>
      <w:r>
        <w:rPr>
          <w:rFonts w:ascii="Times New Roman" w:cs="Times New Roman" w:eastAsia="Times New Roman" w:hAnsi="Times New Roman"/>
          <w:sz w:val="20"/>
          <w:szCs w:val="20"/>
          <w:b w:val="1"/>
          <w:bCs w:val="1"/>
          <w:color w:val="auto"/>
        </w:rPr>
        <w:t>Principal Repayment amounts</w:t>
      </w:r>
      <w:r>
        <w:rPr>
          <w:rFonts w:ascii="Times New Roman" w:cs="Times New Roman" w:eastAsia="Times New Roman" w:hAnsi="Times New Roman"/>
          <w:sz w:val="20"/>
          <w:szCs w:val="20"/>
          <w:color w:val="auto"/>
        </w:rPr>
        <w:t xml:space="preserve">”) are decreased in the manner set forth below and the amounts set forth in the column headed “Outstanding Principal” are correspondingly adjusted) in any circumstance in which (i) the Company elects or is required to make an Applicable Prepayment (as defined in </w:t>
      </w:r>
      <w:r>
        <w:rPr>
          <w:rFonts w:ascii="Times New Roman" w:cs="Times New Roman" w:eastAsia="Times New Roman" w:hAnsi="Times New Roman"/>
          <w:sz w:val="20"/>
          <w:szCs w:val="20"/>
          <w:u w:val="single" w:color="auto"/>
          <w:color w:val="auto"/>
        </w:rPr>
        <w:t>Section 2.1(c)</w:t>
      </w:r>
      <w:r>
        <w:rPr>
          <w:rFonts w:ascii="Times New Roman" w:cs="Times New Roman" w:eastAsia="Times New Roman" w:hAnsi="Times New Roman"/>
          <w:sz w:val="20"/>
          <w:szCs w:val="20"/>
          <w:color w:val="auto"/>
        </w:rPr>
        <w:t xml:space="preserve"> of the Indenture) and (ii) less than all outstanding Notes are redeemed, repurchased, repaid (prior to the Maturity Date) or prepaid by the Company.</w:t>
      </w:r>
    </w:p>
    <w:p>
      <w:pPr>
        <w:spacing w:after="0" w:line="215" w:lineRule="exact"/>
        <w:rPr>
          <w:sz w:val="20"/>
          <w:szCs w:val="20"/>
          <w:color w:val="auto"/>
        </w:rPr>
      </w:pPr>
    </w:p>
    <w:p>
      <w:pPr>
        <w:jc w:val="both"/>
        <w:ind w:firstLine="8"/>
        <w:spacing w:after="0" w:line="254" w:lineRule="auto"/>
        <w:tabs>
          <w:tab w:leader="none" w:pos="19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Optional Redemption</w:t>
      </w:r>
      <w:r>
        <w:rPr>
          <w:rFonts w:ascii="Times New Roman" w:cs="Times New Roman" w:eastAsia="Times New Roman" w:hAnsi="Times New Roman"/>
          <w:sz w:val="20"/>
          <w:szCs w:val="20"/>
          <w:color w:val="auto"/>
        </w:rPr>
        <w:t>. In the case of any optional redemption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Indenture, the aggregate principal amount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all Notes redeemed shall be applied against subsequent Principal Repayment amounts in the Payment Schedule, in inverse order of maturity, </w:t>
      </w:r>
      <w:r>
        <w:rPr>
          <w:rFonts w:ascii="Times New Roman" w:cs="Times New Roman" w:eastAsia="Times New Roman" w:hAnsi="Times New Roman"/>
          <w:sz w:val="20"/>
          <w:szCs w:val="20"/>
          <w:i w:val="1"/>
          <w:iCs w:val="1"/>
          <w:color w:val="auto"/>
        </w:rPr>
        <w:t xml:space="preserve">pro rata </w:t>
      </w:r>
      <w:r>
        <w:rPr>
          <w:rFonts w:ascii="Times New Roman" w:cs="Times New Roman" w:eastAsia="Times New Roman" w:hAnsi="Times New Roman"/>
          <w:sz w:val="20"/>
          <w:szCs w:val="20"/>
          <w:color w:val="auto"/>
        </w:rPr>
        <w:t>against all remaining Principal Repayment amounts in the Payment Schedule, or in direct order of maturity, at the Company’s sole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discretion, as set forth in the adjusted Payment Schedule attached to the Officer’s Certificate delivered to the Trustee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2.1(c)</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firstLine="8"/>
        <w:spacing w:after="0" w:line="263" w:lineRule="auto"/>
        <w:tabs>
          <w:tab w:leader="none" w:pos="19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LNG SPA Termination Offer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Loss Proceeds Offer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Asset Sale Offer</w:t>
      </w:r>
      <w:r>
        <w:rPr>
          <w:rFonts w:ascii="Times New Roman" w:cs="Times New Roman" w:eastAsia="Times New Roman" w:hAnsi="Times New Roman"/>
          <w:sz w:val="20"/>
          <w:szCs w:val="20"/>
          <w:color w:val="auto"/>
        </w:rPr>
        <w:t>, or a</w:t>
      </w:r>
      <w:r>
        <w:rPr>
          <w:rFonts w:ascii="Times New Roman" w:cs="Times New Roman" w:eastAsia="Times New Roman" w:hAnsi="Times New Roman"/>
          <w:sz w:val="20"/>
          <w:szCs w:val="20"/>
          <w:b w:val="1"/>
          <w:bCs w:val="1"/>
          <w:color w:val="auto"/>
        </w:rPr>
        <w:t xml:space="preserve"> PLD Proceeds Offer</w:t>
      </w:r>
      <w:r>
        <w:rPr>
          <w:rFonts w:ascii="Times New Roman" w:cs="Times New Roman" w:eastAsia="Times New Roman" w:hAnsi="Times New Roman"/>
          <w:sz w:val="20"/>
          <w:szCs w:val="20"/>
          <w:color w:val="auto"/>
        </w:rPr>
        <w:t>. In the case of any offer to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of the Indenture, the aggregate principal amount of all Notes repurchased shall be applied against subsequent Principal Repayment amounts in the Payment Schedule, as follows:</w:t>
      </w:r>
    </w:p>
    <w:p>
      <w:pPr>
        <w:spacing w:after="0" w:line="206"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2.1. in inverse order of maturity of the Principal Repayment amounts in the Payment Schedule, in the case of any Loss Proceeds Offer or Asset Sale Offer; and</w:t>
      </w:r>
    </w:p>
    <w:p>
      <w:pPr>
        <w:spacing w:after="0" w:line="196" w:lineRule="exact"/>
        <w:rPr>
          <w:sz w:val="20"/>
          <w:szCs w:val="20"/>
          <w:color w:val="auto"/>
        </w:rPr>
      </w:pPr>
    </w:p>
    <w:p>
      <w:pPr>
        <w:ind w:left="660"/>
        <w:spacing w:after="0" w:line="287"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against all remaining Principal Repayment amounts in the Payment Schedule, in the case of any LNG SPA Termination Offer or PLD Proceeds Offer.</w:t>
      </w:r>
    </w:p>
    <w:p>
      <w:pPr>
        <w:spacing w:after="0" w:line="165" w:lineRule="exact"/>
        <w:rPr>
          <w:sz w:val="20"/>
          <w:szCs w:val="20"/>
          <w:color w:val="auto"/>
        </w:rPr>
      </w:pPr>
    </w:p>
    <w:p>
      <w:pPr>
        <w:jc w:val="both"/>
        <w:ind w:firstLine="8"/>
        <w:spacing w:after="0" w:line="263" w:lineRule="auto"/>
        <w:tabs>
          <w:tab w:leader="none" w:pos="22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Change of Control Triggering Event</w:t>
      </w:r>
      <w:r>
        <w:rPr>
          <w:rFonts w:ascii="Times New Roman" w:cs="Times New Roman" w:eastAsia="Times New Roman" w:hAnsi="Times New Roman"/>
          <w:sz w:val="20"/>
          <w:szCs w:val="20"/>
          <w:color w:val="auto"/>
        </w:rPr>
        <w:t>. In the case of any offer to purchase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Indenture, the aggregate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principal amount of all Notes repurchased shall be applied against subsequent Principal Repayment amounts in the Payment Schedule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rata </w:t>
      </w:r>
      <w:r>
        <w:rPr>
          <w:rFonts w:ascii="Times New Roman" w:cs="Times New Roman" w:eastAsia="Times New Roman" w:hAnsi="Times New Roman"/>
          <w:sz w:val="20"/>
          <w:szCs w:val="20"/>
          <w:color w:val="auto"/>
        </w:rPr>
        <w:t>against all remaining Principal Repayment amounts in the Payment Schedule.</w:t>
      </w:r>
    </w:p>
    <w:p>
      <w:pPr>
        <w:spacing w:after="0" w:line="202" w:lineRule="exact"/>
        <w:rPr>
          <w:rFonts w:ascii="Times New Roman" w:cs="Times New Roman" w:eastAsia="Times New Roman" w:hAnsi="Times New Roman"/>
          <w:sz w:val="20"/>
          <w:szCs w:val="20"/>
          <w:color w:val="auto"/>
        </w:rPr>
      </w:pPr>
    </w:p>
    <w:p>
      <w:pPr>
        <w:jc w:val="both"/>
        <w:ind w:firstLine="8"/>
        <w:spacing w:after="0" w:line="263" w:lineRule="auto"/>
        <w:tabs>
          <w:tab w:leader="none" w:pos="19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Application of Payment Schedule To Notes Not Subject to any Applicable Prepayment</w:t>
      </w:r>
      <w:r>
        <w:rPr>
          <w:rFonts w:ascii="Times New Roman" w:cs="Times New Roman" w:eastAsia="Times New Roman" w:hAnsi="Times New Roman"/>
          <w:sz w:val="20"/>
          <w:szCs w:val="20"/>
          <w:color w:val="auto"/>
        </w:rPr>
        <w:t>. Notwithstanding any provision in this Annex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to the contrary, any adjustment of the Payment Schedule for Principal Repayments shall not affect, in any way, the amount of any principal or interest payments required to be made under:</w:t>
      </w:r>
    </w:p>
    <w:p>
      <w:pPr>
        <w:spacing w:after="0" w:line="20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4.1. any outstanding Note that is not subject to the Applicable Prepayment (including as a result of any election by the Holder not to accept any offer to purchase or any failure of any Note held by any Holder to be selected for optional redemption), except solely to the extent that any reduction in the amounts set forth in the column headed “Outstanding Principal” (as a result of any Applicable Prepayments of other Notes resulting in adjustments and reductions of the amounts set forth in the column headed “Principal Repayment”) affects the amounts payable under the express terms of any Note; or</w:t>
      </w:r>
    </w:p>
    <w:p>
      <w:pPr>
        <w:spacing w:after="0" w:line="21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4.2. any Note that (x) is subject to the Applicable Prepayment and (y) is fully redeemed, repurchased, repaid (prior to the Maturity Date) or prepaid by the Company (as to principal, interest, premium, make-whole payment or other amount), in each case, in accordance with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26" w:name="page127"/>
    <w:bookmarkEnd w:id="126"/>
    <w:p>
      <w:pPr>
        <w:jc w:val="both"/>
        <w:ind w:firstLine="8"/>
        <w:spacing w:after="0" w:line="263" w:lineRule="auto"/>
        <w:tabs>
          <w:tab w:leader="none" w:pos="21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Note Purchases</w:t>
      </w:r>
      <w:r>
        <w:rPr>
          <w:rFonts w:ascii="Times New Roman" w:cs="Times New Roman" w:eastAsia="Times New Roman" w:hAnsi="Times New Roman"/>
          <w:sz w:val="20"/>
          <w:szCs w:val="20"/>
          <w:color w:val="auto"/>
        </w:rPr>
        <w:t>. If the Company at any time or from time to time purchases Notes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Indenture and any such Notes cease to be outstanding in accordance with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of the Indenture, the Payment Schedule will be appropriately adjusted in the same manner as set forth in the foregoing paragraph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27" w:name="page128"/>
    <w:bookmarkEnd w:id="127"/>
    <w:p>
      <w:pPr>
        <w:ind w:left="1042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[Face of Note]</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CUSIP / PPN: 76711* AC4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6.85% Senior Secured Notes due 2047</w:t>
      </w:r>
    </w:p>
    <w:p>
      <w:pPr>
        <w:sectPr>
          <w:pgSz w:w="11900" w:h="16838" w:orient="portrait"/>
          <w:cols w:equalWidth="0" w:num="1">
            <w:col w:w="11240"/>
          </w:cols>
          <w:pgMar w:left="320" w:top="1409" w:right="339" w:bottom="1440" w:gutter="0" w:footer="0" w:header="0"/>
        </w:sect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_________</w:t>
      </w:r>
    </w:p>
    <w:p>
      <w:pPr>
        <w:spacing w:after="0" w:line="95" w:lineRule="exact"/>
        <w:rPr>
          <w:sz w:val="20"/>
          <w:szCs w:val="20"/>
          <w:color w:val="auto"/>
        </w:rPr>
      </w:pPr>
    </w:p>
    <w:p>
      <w:pPr>
        <w:sectPr>
          <w:pgSz w:w="11900" w:h="16838" w:orient="portrait"/>
          <w:cols w:equalWidth="0" w:num="2">
            <w:col w:w="9500" w:space="720"/>
            <w:col w:w="1020"/>
          </w:cols>
          <w:pgMar w:left="320" w:top="140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RIO GRANDE LNG, LLC</w:t>
      </w:r>
    </w:p>
    <w:p>
      <w:pPr>
        <w:sectPr>
          <w:pgSz w:w="11900" w:h="16838" w:orient="portrait"/>
          <w:cols w:equalWidth="0" w:num="1">
            <w:col w:w="11240"/>
          </w:cols>
          <w:pgMar w:left="320" w:top="1409" w:right="33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promises to pay to ________ or registered assigns, the principal sum of ___________________________________________ DOLLARS, in</w:t>
      </w:r>
    </w:p>
    <w:p>
      <w:pPr>
        <w:spacing w:after="0" w:line="241" w:lineRule="exact"/>
        <w:rPr>
          <w:sz w:val="20"/>
          <w:szCs w:val="20"/>
          <w:color w:val="auto"/>
        </w:rPr>
      </w:pPr>
    </w:p>
    <w:p>
      <w:pPr>
        <w:jc w:val="both"/>
        <w:spacing w:after="0" w:line="479" w:lineRule="auto"/>
        <w:rPr>
          <w:sz w:val="20"/>
          <w:szCs w:val="20"/>
          <w:color w:val="auto"/>
        </w:rPr>
      </w:pPr>
      <w:r>
        <w:rPr>
          <w:rFonts w:ascii="Times New Roman" w:cs="Times New Roman" w:eastAsia="Times New Roman" w:hAnsi="Times New Roman"/>
          <w:sz w:val="20"/>
          <w:szCs w:val="20"/>
          <w:color w:val="auto"/>
        </w:rPr>
        <w:t xml:space="preserve">the amounts and on each of the dates set forth in the Payment Schedule provided under Annex A of the Indenture, with each such principal payment equal in amount to the </w:t>
      </w:r>
      <w:r>
        <w:rPr>
          <w:rFonts w:ascii="Times New Roman" w:cs="Times New Roman" w:eastAsia="Times New Roman" w:hAnsi="Times New Roman"/>
          <w:sz w:val="20"/>
          <w:szCs w:val="20"/>
          <w:i w:val="1"/>
          <w:iCs w:val="1"/>
          <w:color w:val="auto"/>
        </w:rPr>
        <w:t>product of</w:t>
      </w:r>
      <w:r>
        <w:rPr>
          <w:rFonts w:ascii="Times New Roman" w:cs="Times New Roman" w:eastAsia="Times New Roman" w:hAnsi="Times New Roman"/>
          <w:sz w:val="20"/>
          <w:szCs w:val="20"/>
          <w:color w:val="auto"/>
        </w:rPr>
        <w:t xml:space="preserve"> (x) the amount set forth in the column headed “Principal Repayment” set forth in the Payment Schedule for any such date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(y) a fraction, the numerator of which is the aggregate unpaid principal amount outstanding under this Note as of such date and the denominator of which is the amount shown in the column headed “Outstanding Principal” set forth in the Payment Schedule for any such date, in each case, after giving effect to any adjustment of the Payment Schedule made in accordance with the Indenture and Annex A. Accrued and unpaid interest on the outstanding principal amount of this Note shall be payable at the rate(s) </w:t>
      </w:r>
      <w:r>
        <w:rPr>
          <w:rFonts w:ascii="Times New Roman" w:cs="Times New Roman" w:eastAsia="Times New Roman" w:hAnsi="Times New Roman"/>
          <w:sz w:val="20"/>
          <w:szCs w:val="20"/>
          <w:i w:val="1"/>
          <w:iCs w:val="1"/>
          <w:color w:val="auto"/>
        </w:rPr>
        <w:t>per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annum </w:t>
      </w:r>
      <w:r>
        <w:rPr>
          <w:rFonts w:ascii="Times New Roman" w:cs="Times New Roman" w:eastAsia="Times New Roman" w:hAnsi="Times New Roman"/>
          <w:sz w:val="20"/>
          <w:szCs w:val="20"/>
          <w:color w:val="auto"/>
        </w:rPr>
        <w:t>and otherwise as set forth in the reverse of this Note.</w:t>
      </w:r>
    </w:p>
    <w:p>
      <w:pPr>
        <w:spacing w:after="0"/>
        <w:rPr>
          <w:sz w:val="20"/>
          <w:szCs w:val="20"/>
          <w:color w:val="auto"/>
        </w:rPr>
      </w:pPr>
      <w:r>
        <w:rPr>
          <w:rFonts w:ascii="Times New Roman" w:cs="Times New Roman" w:eastAsia="Times New Roman" w:hAnsi="Times New Roman"/>
          <w:sz w:val="20"/>
          <w:szCs w:val="20"/>
          <w:color w:val="auto"/>
        </w:rPr>
        <w:t>Interest Payment Dates: June 30 and December 30, commencing June 30,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 Dates: June 15 and December 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 ____</w:t>
      </w:r>
    </w:p>
    <w:p>
      <w:pPr>
        <w:spacing w:after="0" w:line="10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one of the Notes referred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type w:val="continuous"/>
        </w:sectPr>
      </w:pPr>
    </w:p>
    <w:bookmarkStart w:id="128" w:name="page129"/>
    <w:bookmarkEnd w:id="128"/>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57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Amedeo Morreale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0139"/>
          </w:cols>
          <w:pgMar w:left="320" w:top="1440"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color w:val="auto"/>
        </w:rPr>
        <w:t>[Back of Note]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6.85% Senior Secured Notes due 2047</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NOTES EVIDENCED BY THIS CERTIFICATE HAVE NOT BEEN REGISTERED UNDER THE UNITED STATES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xml:space="preserve">”), AND MAY NOT BE SOLD OR OTHERWISE TRANSFERRED IN THE ABSENCE OF SUCH REGISTRATION OR AN APPLICABLE EXEMPTION THEREFROM. SUCH NOTES MAY NOT BE REOFFERED, SOLD, PLEDGED, OR OTHERWISE TRANSFERRED EXCEPT (A) TO THE COMPANY (UPON REDEMPTION OR OTHERWISE), (B) PURSUANT TO RULE 144 UNDER THE SECURITIES ACT (IF AVAILABLE) OR PURSUANT TO ANOTHER APPLICABLE EXEMPTION FROM REGISTRATION UNDER THE SECURITIES ACT, OR (C) PURSUANT TO AN EFFECTIVE REGISTRATION STATEMENT UNDER THE SECURITIES ACT, AND, IN EACH CASE, IN ACCORDANCE WITH ALL APPLICABLE SECURITIES LAWS OF THE STATES OF THE UNITED STATES AND OTHER JURISDICTIONS;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SALE OR TRANSFER SHALL BE SUBJECT TO THE CONSENT OF THE COMPANY (TO THE EXTENT SET FORTH IN THE INDENTURE) AND THE RESTRICTIONS CONTAINED IN SECTIONS 2.3 AND 2.6 OF THE INDENTURE AMONG THE PARTIES THERETO.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herein have the meanings assigned to them in the Indenture referred to below unless otherwise indicated.</w:t>
      </w:r>
    </w:p>
    <w:p>
      <w:pPr>
        <w:spacing w:after="0" w:line="198" w:lineRule="exact"/>
        <w:rPr>
          <w:sz w:val="20"/>
          <w:szCs w:val="20"/>
          <w:color w:val="auto"/>
        </w:rPr>
      </w:pPr>
    </w:p>
    <w:p>
      <w:pPr>
        <w:jc w:val="both"/>
        <w:ind w:left="920" w:hanging="1943"/>
        <w:spacing w:after="0" w:line="245" w:lineRule="auto"/>
        <w:tabs>
          <w:tab w:leader="none" w:pos="900" w:val="left"/>
        </w:tabs>
        <w:rPr>
          <w:sz w:val="20"/>
          <w:szCs w:val="20"/>
          <w:color w:val="auto"/>
        </w:rPr>
      </w:pPr>
      <w:r>
        <w:rPr>
          <w:rFonts w:ascii="Times New Roman" w:cs="Times New Roman" w:eastAsia="Times New Roman" w:hAnsi="Times New Roman"/>
          <w:sz w:val="20"/>
          <w:szCs w:val="20"/>
          <w:i w:val="1"/>
          <w:iCs w:val="1"/>
          <w:color w:val="auto"/>
        </w:rPr>
        <w:t>Interest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promises to pay interest on the principal amount of this Note at 6.85% per annum from February 9, 2024</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until maturity. The Company will pay interest semi-annually in arrears on June 30 and December 30 of each year, or if any such day is not a Business Day, on the next succeeding Business Day (each, an “</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xml:space="preserve">”). Interest on the Notes will accrue from the most recent date to which interest has been paid or, if no interest has been paid, from the date of issuance;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first Interest Payment Date shall be June 30, 2024. The Company will pay interest (including post-petition interest in any proceeding under any Debtor Relief Law) on overdue principal and premium, if any, from time to time on demand at a rate that is 2.0% per annum in excess of the rate then in effect to the extent lawful; it will pay interest (including post-petition interest in any proceeding under any Debtor Relief Law) on overdue installments of interest (without regard to any applicable grace periods) from time to time on demand at the same rate to the extent lawful. Interest will be computed on the basis of a 360-day year of twelve thirty-day months.</w:t>
      </w:r>
    </w:p>
    <w:p>
      <w:pPr>
        <w:spacing w:after="0" w:line="200" w:lineRule="exact"/>
        <w:rPr>
          <w:sz w:val="20"/>
          <w:szCs w:val="20"/>
          <w:color w:val="auto"/>
        </w:rPr>
      </w:pPr>
    </w:p>
    <w:p>
      <w:pPr>
        <w:spacing w:after="0" w:line="213" w:lineRule="exact"/>
        <w:rPr>
          <w:sz w:val="20"/>
          <w:szCs w:val="20"/>
          <w:color w:val="auto"/>
        </w:rPr>
      </w:pPr>
    </w:p>
    <w:p>
      <w:pPr>
        <w:jc w:val="both"/>
        <w:ind w:left="1860" w:hanging="1943"/>
        <w:spacing w:after="0" w:line="258" w:lineRule="auto"/>
        <w:tabs>
          <w:tab w:leader="none" w:pos="1840" w:val="left"/>
        </w:tabs>
        <w:rPr>
          <w:sz w:val="20"/>
          <w:szCs w:val="20"/>
          <w:color w:val="auto"/>
        </w:rPr>
      </w:pPr>
      <w:r>
        <w:rPr>
          <w:rFonts w:ascii="Times New Roman" w:cs="Times New Roman" w:eastAsia="Times New Roman" w:hAnsi="Times New Roman"/>
          <w:sz w:val="20"/>
          <w:szCs w:val="20"/>
          <w:i w:val="1"/>
          <w:iCs w:val="1"/>
          <w:color w:val="auto"/>
        </w:rPr>
        <w:t>Method of Payment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The Company will pay principal and interest on the Notes (except defaulted interest) to the Persons who are registered Noteholders at the close of business on the June 15 or December 15 next preceding the Interest Payment Date, even if such Notes are canceled after such record date and on or before such Interest Payment Date, except as provided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of the Indenture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2" w:lineRule="exact"/>
        <w:rPr>
          <w:sz w:val="20"/>
          <w:szCs w:val="20"/>
          <w:color w:val="auto"/>
        </w:rPr>
      </w:pPr>
    </w:p>
    <w:p>
      <w:pPr>
        <w:ind w:left="300" w:hanging="292"/>
        <w:spacing w:after="0"/>
        <w:tabs>
          <w:tab w:leader="none" w:pos="300" w:val="left"/>
        </w:tabs>
        <w:numPr>
          <w:ilvl w:val="0"/>
          <w:numId w:val="1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future issuances of Notes, if interest has already been paid, this date will be adjusted to the immediately preceding Interest Payment Date.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30" w:name="page131"/>
    <w:bookmarkEnd w:id="130"/>
    <w:p>
      <w:pPr>
        <w:jc w:val="both"/>
        <w:ind w:left="1960"/>
        <w:spacing w:after="0" w:line="251" w:lineRule="auto"/>
        <w:rPr>
          <w:sz w:val="20"/>
          <w:szCs w:val="20"/>
          <w:color w:val="auto"/>
        </w:rPr>
      </w:pPr>
      <w:r>
        <w:rPr>
          <w:rFonts w:ascii="Times New Roman" w:cs="Times New Roman" w:eastAsia="Times New Roman" w:hAnsi="Times New Roman"/>
          <w:sz w:val="20"/>
          <w:szCs w:val="20"/>
          <w:color w:val="auto"/>
        </w:rPr>
        <w:t xml:space="preserve">defaulted interest. The Notes will be payable as to principal, premium, if any, and interest at the office or agency of the Paying Agent or Registrar maintained for such purpose within or without the City and State of New York, or, at the option of the Company, payment of interest may be made by check mailed to the Noteholders at their addresses set forth in the register of Noteholders;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payment by wire transfer of immediately available funds will be required with respect to principal of and interest, premium, if any, on, all Notes and all other Notes the Noteholders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Paying Agent</w:t>
      </w:r>
    </w:p>
    <w:p>
      <w:pPr>
        <w:spacing w:after="0" w:line="32" w:lineRule="exact"/>
        <w:rPr>
          <w:sz w:val="20"/>
          <w:szCs w:val="20"/>
          <w:color w:val="auto"/>
        </w:rPr>
      </w:pPr>
    </w:p>
    <w:p>
      <w:pPr>
        <w:jc w:val="both"/>
        <w:ind w:left="1440" w:hanging="1943"/>
        <w:spacing w:after="0" w:line="253" w:lineRule="auto"/>
        <w:tabs>
          <w:tab w:leader="none" w:pos="1420" w:val="left"/>
        </w:tabs>
        <w:rPr>
          <w:sz w:val="20"/>
          <w:szCs w:val="20"/>
          <w:color w:val="auto"/>
        </w:rPr>
      </w:pPr>
      <w:r>
        <w:rPr>
          <w:rFonts w:ascii="Times New Roman" w:cs="Times New Roman" w:eastAsia="Times New Roman" w:hAnsi="Times New Roman"/>
          <w:sz w:val="20"/>
          <w:szCs w:val="20"/>
          <w:i w:val="1"/>
          <w:iCs w:val="1"/>
          <w:color w:val="auto"/>
        </w:rPr>
        <w:t>and Registrar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Initially, Wilmington Trust, National Association, the Trustee under the Indenture, will act as Paying Agent and Registrar. The Company may change any Paying Agent or Registrar without notice to any Noteholder. The Company may act in any such capacity.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Indenture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Senior Security</w:t>
      </w:r>
    </w:p>
    <w:p>
      <w:pPr>
        <w:spacing w:after="0" w:line="13" w:lineRule="exact"/>
        <w:rPr>
          <w:sz w:val="20"/>
          <w:szCs w:val="20"/>
          <w:color w:val="auto"/>
        </w:rPr>
      </w:pPr>
    </w:p>
    <w:p>
      <w:pPr>
        <w:jc w:val="both"/>
        <w:ind w:left="1200" w:hanging="1943"/>
        <w:spacing w:after="0" w:line="239" w:lineRule="auto"/>
        <w:tabs>
          <w:tab w:leader="none" w:pos="1180" w:val="left"/>
        </w:tabs>
        <w:rPr>
          <w:sz w:val="20"/>
          <w:szCs w:val="20"/>
          <w:color w:val="auto"/>
        </w:rPr>
      </w:pPr>
      <w:r>
        <w:rPr>
          <w:rFonts w:ascii="Times New Roman" w:cs="Times New Roman" w:eastAsia="Times New Roman" w:hAnsi="Times New Roman"/>
          <w:sz w:val="20"/>
          <w:szCs w:val="20"/>
          <w:i w:val="1"/>
          <w:iCs w:val="1"/>
          <w:color w:val="auto"/>
        </w:rPr>
        <w:t>Documents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Company issued the Notes under an Indenture dated as of February 9, 2024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the Company and the Trustee. The terms of the Notes include those stated in the Indenture.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The Notes are subject to all such terms, and Noteholders are referred to the Indenture for a statement of such terms. To the extent any provision of this Note conflicts with the express provisions of the Indenture, the provisions of the Indenture shall govern and be controlling. The Notes are secured obligations of the Company. The Notes are secured by a pledge of Collateral pursuant to the Senior Security Documents referred to in the Indenture. The Indenture does not limit the aggregate principal amount of Notes that may be issued thereunder.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Optional</w:t>
      </w:r>
    </w:p>
    <w:p>
      <w:pPr>
        <w:spacing w:after="0" w:line="32" w:lineRule="exact"/>
        <w:rPr>
          <w:sz w:val="20"/>
          <w:szCs w:val="20"/>
          <w:color w:val="auto"/>
        </w:rPr>
      </w:pPr>
    </w:p>
    <w:p>
      <w:pPr>
        <w:jc w:val="both"/>
        <w:ind w:left="1260" w:hanging="1943"/>
        <w:spacing w:after="0" w:line="253" w:lineRule="auto"/>
        <w:tabs>
          <w:tab w:leader="none" w:pos="124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At any time or from time to time prior to the Par Call Date of the Notes, the Company may, at its option, redeem all or a part of the Notes, at a redemption price equal to the Make-Whole Price (subject to the right of Noteholders of record on the relevant record date to receive interest due on an Interest Payment Date that is on or prior to the redemption date, without duplication).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“Make-Whole Price” shall mean the greater of:</w:t>
      </w:r>
    </w:p>
    <w:p>
      <w:pPr>
        <w:spacing w:after="0" w:line="202" w:lineRule="exact"/>
        <w:rPr>
          <w:sz w:val="20"/>
          <w:szCs w:val="20"/>
          <w:color w:val="auto"/>
        </w:rPr>
      </w:pPr>
    </w:p>
    <w:p>
      <w:pPr>
        <w:jc w:val="both"/>
        <w:ind w:left="3260" w:hanging="648"/>
        <w:spacing w:after="0" w:line="257" w:lineRule="auto"/>
        <w:tabs>
          <w:tab w:leader="none" w:pos="325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50 basis points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(ii) interest accrued to, but excluding, the redemption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714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9" w:lineRule="exact"/>
        <w:rPr>
          <w:sz w:val="20"/>
          <w:szCs w:val="20"/>
          <w:color w:val="auto"/>
        </w:rPr>
      </w:pPr>
    </w:p>
    <w:p>
      <w:pPr>
        <w:ind w:left="220" w:hanging="212"/>
        <w:spacing w:after="0"/>
        <w:tabs>
          <w:tab w:leader="none" w:pos="220" w:val="left"/>
        </w:tabs>
        <w:numPr>
          <w:ilvl w:val="0"/>
          <w:numId w:val="1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 add Supplemental Indenture references in future issuances.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31" w:name="page132"/>
    <w:bookmarkEnd w:id="131"/>
    <w:p>
      <w:pPr>
        <w:ind w:left="3240" w:hanging="628"/>
        <w:spacing w:after="0"/>
        <w:tabs>
          <w:tab w:leader="none" w:pos="32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principal amount of the Notes to be redeemed,</w:t>
      </w:r>
    </w:p>
    <w:p>
      <w:pPr>
        <w:spacing w:after="0" w:line="20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plus, in either case, accrued and unpaid interest thereon to, but excluding, the redemption date.</w:t>
      </w:r>
    </w:p>
    <w:p>
      <w:pPr>
        <w:spacing w:after="0" w:line="216" w:lineRule="exact"/>
        <w:rPr>
          <w:sz w:val="20"/>
          <w:szCs w:val="20"/>
          <w:color w:val="auto"/>
        </w:rPr>
      </w:pPr>
    </w:p>
    <w:p>
      <w:pPr>
        <w:jc w:val="both"/>
        <w:ind w:left="1960"/>
        <w:spacing w:after="0" w:line="254" w:lineRule="auto"/>
        <w:rPr>
          <w:sz w:val="20"/>
          <w:szCs w:val="20"/>
          <w:color w:val="auto"/>
        </w:rPr>
      </w:pPr>
      <w:r>
        <w:rPr>
          <w:rFonts w:ascii="Times New Roman" w:cs="Times New Roman" w:eastAsia="Times New Roman" w:hAnsi="Times New Roman"/>
          <w:sz w:val="20"/>
          <w:szCs w:val="20"/>
          <w:color w:val="auto"/>
        </w:rPr>
        <w:t>On or after March 30, 2047 (three months prior to the Maturity Date) (the “Par Call Date”), the Company may redeem the Notes, in whole or in part, at any time and from time to time, at a redemption price equal to 100% of the principal amount of the Notes being redeemed plus accrued and unpaid interest thereon to, but excluding, the redemption date.</w:t>
      </w:r>
    </w:p>
    <w:p>
      <w:pPr>
        <w:spacing w:after="0" w:line="174"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The notice of redemption with respect to the foregoing redemption need not set forth the Make-Whole Price but only the manner of calculation thereof. The Company will notify the Trustee of the Make-Whole Price with respect to any redemption promptly after the calculation, and the Trustee shall not be responsible for such calculation.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Mandatory</w:t>
      </w:r>
    </w:p>
    <w:p>
      <w:pPr>
        <w:spacing w:after="0" w:line="3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Company is not required to make mandatory redemption payments with respect to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Repurchase at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of</w:t>
      </w:r>
    </w:p>
    <w:p>
      <w:pPr>
        <w:spacing w:after="0" w:line="6" w:lineRule="exact"/>
        <w:rPr>
          <w:sz w:val="20"/>
          <w:szCs w:val="20"/>
          <w:color w:val="auto"/>
        </w:rPr>
      </w:pPr>
    </w:p>
    <w:p>
      <w:pPr>
        <w:jc w:val="both"/>
        <w:ind w:left="1240" w:hanging="1943"/>
        <w:spacing w:after="0" w:line="250" w:lineRule="auto"/>
        <w:tabs>
          <w:tab w:leader="none" w:pos="1220" w:val="left"/>
        </w:tabs>
        <w:rPr>
          <w:sz w:val="20"/>
          <w:szCs w:val="20"/>
          <w:color w:val="auto"/>
        </w:rPr>
      </w:pPr>
      <w:r>
        <w:rPr>
          <w:rFonts w:ascii="Times New Roman" w:cs="Times New Roman" w:eastAsia="Times New Roman" w:hAnsi="Times New Roman"/>
          <w:sz w:val="20"/>
          <w:szCs w:val="20"/>
          <w:i w:val="1"/>
          <w:iCs w:val="1"/>
          <w:color w:val="auto"/>
        </w:rPr>
        <w:t>Noteholder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Upon the occurrence of a Change of Control Triggering Event, the Company will make an offer (a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of payment (a “</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to each Noteholder to repurchase all or any part (equal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$100,000 and integral multiples of $1,000 in excess thereof) of that Noteholder’s Notes at a purchase price in cash equal to not less than 101% of the aggregate principal amount of Notes repurchased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not including, the date of repurchase (the “</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 which date will be no earlier than the date of such Change of Control). No later than thirty days following any Change of Control Triggering Event, the Company will mail or deliver electronically or will cause the Trustee to mail or deliver electronically, a notice to each Noteholder setting forth the procedures governing the Change of Control Offer as required by the Indenture.</w:t>
      </w:r>
    </w:p>
    <w:p>
      <w:pPr>
        <w:spacing w:after="0" w:line="200" w:lineRule="exact"/>
        <w:rPr>
          <w:sz w:val="20"/>
          <w:szCs w:val="20"/>
          <w:color w:val="auto"/>
        </w:rPr>
      </w:pPr>
    </w:p>
    <w:p>
      <w:pPr>
        <w:spacing w:after="0" w:line="204" w:lineRule="exact"/>
        <w:rPr>
          <w:sz w:val="20"/>
          <w:szCs w:val="20"/>
          <w:color w:val="auto"/>
        </w:rPr>
      </w:pPr>
    </w:p>
    <w:p>
      <w:pPr>
        <w:ind w:left="1960"/>
        <w:spacing w:after="0" w:line="283" w:lineRule="auto"/>
        <w:rPr>
          <w:sz w:val="20"/>
          <w:szCs w:val="20"/>
          <w:color w:val="auto"/>
        </w:rPr>
      </w:pPr>
      <w:r>
        <w:rPr>
          <w:rFonts w:ascii="Times New Roman" w:cs="Times New Roman" w:eastAsia="Times New Roman" w:hAnsi="Times New Roman"/>
          <w:sz w:val="20"/>
          <w:szCs w:val="20"/>
          <w:color w:val="auto"/>
        </w:rPr>
        <w:t xml:space="preserve">The Company will be required to make a LNG SPA Termination Offer, Loss Proceeds Offers, Asset Sale Offers, and PLD Proceeds Offers to the extent provided in </w:t>
      </w:r>
      <w:r>
        <w:rPr>
          <w:rFonts w:ascii="Times New Roman" w:cs="Times New Roman" w:eastAsia="Times New Roman" w:hAnsi="Times New Roman"/>
          <w:sz w:val="20"/>
          <w:szCs w:val="20"/>
          <w:u w:val="single" w:color="auto"/>
          <w:color w:val="auto"/>
        </w:rPr>
        <w:t>Sections 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respectively, of the Indenture.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Notice of</w:t>
      </w:r>
    </w:p>
    <w:p>
      <w:pPr>
        <w:spacing w:after="0" w:line="26" w:lineRule="exact"/>
        <w:rPr>
          <w:sz w:val="20"/>
          <w:szCs w:val="20"/>
          <w:color w:val="auto"/>
        </w:rPr>
      </w:pPr>
    </w:p>
    <w:p>
      <w:pPr>
        <w:jc w:val="both"/>
        <w:ind w:left="1300" w:hanging="1943"/>
        <w:spacing w:after="0" w:line="249" w:lineRule="auto"/>
        <w:tabs>
          <w:tab w:leader="none" w:pos="128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Notice of redemption will be mailed or delivered electronically at least fifteen days but not more than sixty days before the redemption date to each Noteholder whose Notes are to be redeemed at its registered address, except that redemption notices may be mailed or delivered electronically more than sixty days prior to a redemption date if the notice is issued in connection with a defeasance of the Notes or a satisfaction or discharge of the Indenture. Notes in denominations larger than $100,000 may be redeemed in part but only in whole multiples of $1,000 in excess thereof, unless all of the Notes held by a Noteholder are to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i w:val="1"/>
          <w:iCs w:val="1"/>
          <w:color w:val="auto"/>
        </w:rPr>
        <w:t>Denominations,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w:t>
      </w:r>
    </w:p>
    <w:p>
      <w:pPr>
        <w:spacing w:after="0" w:line="6" w:lineRule="exact"/>
        <w:rPr>
          <w:sz w:val="20"/>
          <w:szCs w:val="20"/>
          <w:color w:val="auto"/>
        </w:rPr>
      </w:pPr>
    </w:p>
    <w:p>
      <w:pPr>
        <w:jc w:val="both"/>
        <w:ind w:left="1180" w:hanging="1943"/>
        <w:spacing w:after="0" w:line="248" w:lineRule="auto"/>
        <w:tabs>
          <w:tab w:leader="none" w:pos="1160" w:val="left"/>
        </w:tabs>
        <w:rPr>
          <w:sz w:val="20"/>
          <w:szCs w:val="20"/>
          <w:color w:val="auto"/>
        </w:rPr>
      </w:pPr>
      <w:r>
        <w:rPr>
          <w:rFonts w:ascii="Times New Roman" w:cs="Times New Roman" w:eastAsia="Times New Roman" w:hAnsi="Times New Roman"/>
          <w:sz w:val="20"/>
          <w:szCs w:val="20"/>
          <w:i w:val="1"/>
          <w:iCs w:val="1"/>
          <w:color w:val="auto"/>
        </w:rPr>
        <w:t>Exchange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Notes are in registered form without coupons in denominations of $100,000 and integral multiples of $1,000 in excess thereof. The transfer of Notes may be registered and Notes may be exchanged as provided in the Indenture. The Registrar and the Trustee may require a Noteholder, among other things, to furnish appropriate endorsements and transfer documents and the Company may require a Noteholder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fifteen days before a selection of Notes to be redeemed or during the period between a record date and the corresponding Interest Payment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Persons Deemed</w:t>
      </w:r>
    </w:p>
    <w:p>
      <w:pPr>
        <w:spacing w:after="0" w:line="2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i w:val="1"/>
          <w:iCs w:val="1"/>
          <w:color w:val="auto"/>
        </w:rPr>
        <w:t>Owners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registered Noteholder of a Note may be treated as its owner for all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Trustee Dealings</w:t>
      </w:r>
    </w:p>
    <w:p>
      <w:pPr>
        <w:spacing w:after="0" w:line="32" w:lineRule="exact"/>
        <w:rPr>
          <w:sz w:val="20"/>
          <w:szCs w:val="20"/>
          <w:color w:val="auto"/>
        </w:rPr>
      </w:pPr>
    </w:p>
    <w:p>
      <w:pPr>
        <w:jc w:val="both"/>
        <w:ind w:left="1480" w:hanging="1943"/>
        <w:spacing w:after="0" w:line="267" w:lineRule="auto"/>
        <w:tabs>
          <w:tab w:leader="none" w:pos="1460" w:val="left"/>
        </w:tabs>
        <w:rPr>
          <w:sz w:val="20"/>
          <w:szCs w:val="20"/>
          <w:color w:val="auto"/>
        </w:rPr>
      </w:pPr>
      <w:r>
        <w:rPr>
          <w:rFonts w:ascii="Times New Roman" w:cs="Times New Roman" w:eastAsia="Times New Roman" w:hAnsi="Times New Roman"/>
          <w:sz w:val="20"/>
          <w:szCs w:val="20"/>
          <w:i w:val="1"/>
          <w:iCs w:val="1"/>
          <w:color w:val="auto"/>
        </w:rPr>
        <w:t>with Company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Trustee, in its individual or any other capacity, may make loans to, accept deposits from, and perform services for the Company or its Affiliates, and may otherwise deal with the Company or its Affiliates, as if it were not the Trustee.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 Recourse</w:t>
      </w:r>
    </w:p>
    <w:p>
      <w:pPr>
        <w:spacing w:after="0" w:line="26" w:lineRule="exact"/>
        <w:rPr>
          <w:sz w:val="20"/>
          <w:szCs w:val="20"/>
          <w:color w:val="auto"/>
        </w:rPr>
      </w:pPr>
    </w:p>
    <w:p>
      <w:pPr>
        <w:jc w:val="both"/>
        <w:ind w:left="1680" w:hanging="1943"/>
        <w:spacing w:after="0" w:line="251" w:lineRule="auto"/>
        <w:tabs>
          <w:tab w:leader="none" w:pos="1660" w:val="left"/>
        </w:tabs>
        <w:rPr>
          <w:sz w:val="20"/>
          <w:szCs w:val="20"/>
          <w:color w:val="auto"/>
        </w:rPr>
      </w:pPr>
      <w:r>
        <w:rPr>
          <w:rFonts w:ascii="Times New Roman" w:cs="Times New Roman" w:eastAsia="Times New Roman" w:hAnsi="Times New Roman"/>
          <w:sz w:val="20"/>
          <w:szCs w:val="20"/>
          <w:i w:val="1"/>
          <w:iCs w:val="1"/>
          <w:color w:val="auto"/>
        </w:rPr>
        <w:t>Against Others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 past, present or future director, manager, officer, employee, incorporator, member, partner or stockholder of the Company, as such, will have any liability for any obligations of the Company under the Notes, this Indenture, the Senior Security Documents, the P1 Financing Documents or for any claim based on, in respect of, or by reason of, such obligations or their creation. Each Noteholder by accepting a Note waives and releases all such liability. The waiver and release are part of the consideration for issuance of the Notes.</w:t>
      </w:r>
    </w:p>
    <w:p>
      <w:pPr>
        <w:spacing w:after="0" w:line="162" w:lineRule="exact"/>
        <w:rPr>
          <w:sz w:val="20"/>
          <w:szCs w:val="20"/>
          <w:color w:val="auto"/>
        </w:rPr>
      </w:pPr>
    </w:p>
    <w:p>
      <w:pPr>
        <w:jc w:val="both"/>
        <w:ind w:left="1540" w:hanging="1943"/>
        <w:spacing w:after="0" w:line="283"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Authentication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This Note will not be valid until authenticated by the manual or electronic signature of the Trustee or an authenticating agent.</w:t>
      </w:r>
    </w:p>
    <w:p>
      <w:pPr>
        <w:spacing w:after="0" w:line="133" w:lineRule="exact"/>
        <w:rPr>
          <w:sz w:val="20"/>
          <w:szCs w:val="20"/>
          <w:color w:val="auto"/>
        </w:rPr>
      </w:pPr>
    </w:p>
    <w:p>
      <w:pPr>
        <w:jc w:val="both"/>
        <w:ind w:left="1540" w:hanging="1943"/>
        <w:spacing w:after="0" w:line="261"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Abbreviations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Customary abbreviations may be used in the name of a Noteholder or an assignee, such as: TEN COM (= tenants in common), TEN ENT (= tenants by the entireties), JT TEN (= joint tenants with right of survivorship and not as tenants in common), CUST (= Custodian), and U/G/M/A (= Uniform Gifts to Minors 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CUSIP Numbers /</w:t>
      </w:r>
    </w:p>
    <w:p>
      <w:pPr>
        <w:spacing w:after="0" w:line="32" w:lineRule="exact"/>
        <w:rPr>
          <w:sz w:val="20"/>
          <w:szCs w:val="20"/>
          <w:color w:val="auto"/>
        </w:rPr>
      </w:pPr>
    </w:p>
    <w:p>
      <w:pPr>
        <w:jc w:val="both"/>
        <w:ind w:left="840" w:hanging="1943"/>
        <w:spacing w:after="0" w:line="249" w:lineRule="auto"/>
        <w:tabs>
          <w:tab w:leader="none" w:pos="820" w:val="left"/>
        </w:tabs>
        <w:rPr>
          <w:sz w:val="20"/>
          <w:szCs w:val="20"/>
          <w:color w:val="auto"/>
        </w:rPr>
      </w:pPr>
      <w:r>
        <w:rPr>
          <w:rFonts w:ascii="Times New Roman" w:cs="Times New Roman" w:eastAsia="Times New Roman" w:hAnsi="Times New Roman"/>
          <w:sz w:val="20"/>
          <w:szCs w:val="20"/>
          <w:i w:val="1"/>
          <w:iCs w:val="1"/>
          <w:color w:val="auto"/>
        </w:rPr>
        <w:t>PPNs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Pursuant to a recommendation promulgated by the Committee on Uniform Security Identification Procedures, the Company has caused CUSIP numbers or private placement numbers (“PPNs”) to be printed on the Notes, and the Trustee may use CUSIP numbers or PPNs in notices of redemption as a convenience to Noteholders. No representation is made as to the accuracy of such numbers either as printed on the Notes or as contained in any notice of redemption, and reliance may be placed only on the other identification numbers placed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33" w:name="page134"/>
    <w:bookmarkEnd w:id="133"/>
    <w:p>
      <w:pPr>
        <w:ind w:left="1600" w:hanging="1943"/>
        <w:spacing w:after="0" w:line="283" w:lineRule="auto"/>
        <w:tabs>
          <w:tab w:leader="none" w:pos="1580" w:val="left"/>
        </w:tabs>
        <w:rPr>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LAW OF THE STATE OF NEW YORK WILL GOVERN AND BE USED TO CONSTRUE THE INDENTURE AND THIS NOTE.</w:t>
      </w:r>
    </w:p>
    <w:p>
      <w:pPr>
        <w:spacing w:after="0" w:line="1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The Company will furnish to any Noteholder upon written request and without charge a copy of the Indenture.</w:t>
      </w:r>
    </w:p>
    <w:p>
      <w:pPr>
        <w:spacing w:after="0" w:line="2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Requests may be made to:</w:t>
      </w:r>
    </w:p>
    <w:p>
      <w:pPr>
        <w:spacing w:after="0" w:line="19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2" w:lineRule="exact"/>
        <w:rPr>
          <w:sz w:val="20"/>
          <w:szCs w:val="20"/>
          <w:color w:val="auto"/>
        </w:rPr>
      </w:pPr>
    </w:p>
    <w:p>
      <w:pPr>
        <w:ind w:left="2580"/>
        <w:spacing w:after="0"/>
        <w:tabs>
          <w:tab w:leader="none" w:pos="34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1000 Louisiana Street, 39th Floor</w:t>
      </w:r>
    </w:p>
    <w:p>
      <w:pPr>
        <w:spacing w:after="0" w:line="28"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jc w:val="center"/>
        <w:ind w:right="3060"/>
        <w:spacing w:after="0"/>
        <w:tabs>
          <w:tab w:leader="none" w:pos="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Vera De Brito de Gyarfas</w:t>
      </w:r>
    </w:p>
    <w:p>
      <w:pPr>
        <w:spacing w:after="0" w:line="6" w:lineRule="exact"/>
        <w:rPr>
          <w:sz w:val="20"/>
          <w:szCs w:val="20"/>
          <w:color w:val="auto"/>
        </w:rPr>
      </w:pPr>
    </w:p>
    <w:p>
      <w:pPr>
        <w:ind w:left="2580"/>
        <w:spacing w:after="0"/>
        <w:tabs>
          <w:tab w:leader="none" w:pos="36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vdegyarfas@next-decade.com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34" w:name="page135"/>
    <w:bookmarkEnd w:id="134"/>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934720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irrevocably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14605</wp:posOffset>
            </wp:positionV>
            <wp:extent cx="59150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appoint to transfer this Note on the books of the Company. The agent may substitute another to act for him.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1774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7890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14605</wp:posOffset>
            </wp:positionV>
            <wp:extent cx="26746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0140"/>
          </w:cols>
          <w:pgMar w:left="320" w:top="1440" w:right="1439" w:bottom="1440" w:gutter="0" w:footer="0" w:header="0"/>
        </w:sectPr>
      </w:pPr>
    </w:p>
    <w:bookmarkStart w:id="135" w:name="page136"/>
    <w:bookmarkEnd w:id="135"/>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Option of Noteholder to Elect Purchase</w:t>
      </w:r>
    </w:p>
    <w:p>
      <w:pPr>
        <w:spacing w:after="0" w:line="36"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this Note purchased by the Company pursuant to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4.12, 4.13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xml:space="preserve"> of the Indenture, check the appropriate box below:</w:t>
      </w:r>
    </w:p>
    <w:p>
      <w:pPr>
        <w:spacing w:after="0" w:line="161" w:lineRule="exact"/>
        <w:rPr>
          <w:sz w:val="20"/>
          <w:szCs w:val="20"/>
          <w:color w:val="auto"/>
        </w:rPr>
      </w:pPr>
    </w:p>
    <w:p>
      <w:pPr>
        <w:ind w:left="940" w:hanging="210"/>
        <w:spacing w:after="0" w:line="207" w:lineRule="exact"/>
        <w:tabs>
          <w:tab w:leader="none" w:pos="940" w:val="left"/>
        </w:tabs>
        <w:numPr>
          <w:ilvl w:val="0"/>
          <w:numId w:val="135"/>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4.12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4.15</w:t>
      </w:r>
    </w:p>
    <w:p>
      <w:pPr>
        <w:spacing w:after="0" w:line="306"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only part of the Note purchased by the Company pursuant to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xml:space="preserve"> of the Indenture, state the amount you elect to have purchased:</w:t>
      </w: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17145</wp:posOffset>
            </wp:positionV>
            <wp:extent cx="44316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wp:posOffset>
            </wp:positionV>
            <wp:extent cx="21774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14605</wp:posOffset>
            </wp:positionV>
            <wp:extent cx="26657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160"/>
          </w:cols>
          <w:pgMar w:left="320" w:top="1440" w:right="41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FORM OF CERTIFICATE OF TRANSFER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1100 North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19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Rio Grande LNG, LLC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Louisiana Street, 39th Floor</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308"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____% Senior Secured Notes due ____ issued by Rio Grande LNG, LLC</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Reference is hereby made to the Indenture, dated as of February 9, 2024, (as amended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LLC, as issuer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Capitalized terms used but not defined herein shall have the meanings given to them in the Indenture.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 (the “</w:t>
      </w:r>
      <w:r>
        <w:rPr>
          <w:rFonts w:ascii="Times New Roman" w:cs="Times New Roman" w:eastAsia="Times New Roman" w:hAnsi="Times New Roman"/>
          <w:sz w:val="19"/>
          <w:szCs w:val="19"/>
          <w:b w:val="1"/>
          <w:bCs w:val="1"/>
          <w:color w:val="auto"/>
        </w:rPr>
        <w:t>Transferor</w:t>
      </w:r>
      <w:r>
        <w:rPr>
          <w:rFonts w:ascii="Times New Roman" w:cs="Times New Roman" w:eastAsia="Times New Roman" w:hAnsi="Times New Roman"/>
          <w:sz w:val="19"/>
          <w:szCs w:val="19"/>
          <w:color w:val="auto"/>
        </w:rPr>
        <w:t xml:space="preserve">”) owns and proposes to transfer the Note[s] or interest in such Note[s] specified in </w:t>
      </w:r>
      <w:r>
        <w:rPr>
          <w:rFonts w:ascii="Times New Roman" w:cs="Times New Roman" w:eastAsia="Times New Roman" w:hAnsi="Times New Roman"/>
          <w:sz w:val="19"/>
          <w:szCs w:val="19"/>
          <w:u w:val="single" w:color="auto"/>
          <w:color w:val="auto"/>
        </w:rPr>
        <w:t>Annex 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hereto, in the principal amount of $___________ in such Note[s] or interests (the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to (the “</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as further specified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In connection with the Transfer, the Transferor hereby certifies that: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[CHECK ALL THAT APPLY]</w:t>
      </w:r>
    </w:p>
    <w:p>
      <w:pPr>
        <w:spacing w:after="0" w:line="198" w:lineRule="exact"/>
        <w:rPr>
          <w:sz w:val="20"/>
          <w:szCs w:val="20"/>
          <w:color w:val="auto"/>
        </w:rPr>
      </w:pPr>
    </w:p>
    <w:p>
      <w:pPr>
        <w:ind w:left="640" w:hanging="632"/>
        <w:spacing w:after="0" w:line="252" w:lineRule="auto"/>
        <w:tabs>
          <w:tab w:leader="none" w:pos="229" w:val="left"/>
        </w:tabs>
        <w:numPr>
          <w:ilvl w:val="0"/>
          <w:numId w:val="136"/>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 Restricted Definitive Note pursuant to Rule 144A</w:t>
      </w:r>
      <w:r>
        <w:rPr>
          <w:rFonts w:ascii="Times New Roman" w:cs="Times New Roman" w:eastAsia="Times New Roman" w:hAnsi="Times New Roman"/>
          <w:sz w:val="20"/>
          <w:szCs w:val="20"/>
          <w:color w:val="auto"/>
        </w:rPr>
        <w:t>. The Transfer is being effected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and in accordance with Rule 144A (“</w:t>
      </w:r>
      <w:r>
        <w:rPr>
          <w:rFonts w:ascii="Times New Roman" w:cs="Times New Roman" w:eastAsia="Times New Roman" w:hAnsi="Times New Roman"/>
          <w:sz w:val="20"/>
          <w:szCs w:val="20"/>
          <w:b w:val="1"/>
          <w:bCs w:val="1"/>
          <w:color w:val="auto"/>
        </w:rPr>
        <w:t>Rule 144A</w:t>
      </w:r>
      <w:r>
        <w:rPr>
          <w:rFonts w:ascii="Times New Roman" w:cs="Times New Roman" w:eastAsia="Times New Roman" w:hAnsi="Times New Roman"/>
          <w:sz w:val="20"/>
          <w:szCs w:val="20"/>
          <w:color w:val="auto"/>
        </w:rPr>
        <w:t>”)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and, accordingly, the Transferor hereby further certifies that Definitive Note is being transferred to a Person that the Transferor reasonably believes is purchasing the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Definitive Note will be subject to the restrictions on transfer enumerated in the Private Placement Legend printed on the Restricted Definitive Note and in the Indenture and the Securities Act.</w:t>
      </w:r>
    </w:p>
    <w:p>
      <w:pPr>
        <w:spacing w:after="0" w:line="162" w:lineRule="exact"/>
        <w:rPr>
          <w:rFonts w:ascii="MS PGothic" w:cs="MS PGothic" w:eastAsia="MS PGothic" w:hAnsi="MS PGothic"/>
          <w:sz w:val="20"/>
          <w:szCs w:val="20"/>
          <w:color w:val="auto"/>
        </w:rPr>
      </w:pPr>
    </w:p>
    <w:p>
      <w:pPr>
        <w:jc w:val="right"/>
        <w:ind w:left="640" w:hanging="632"/>
        <w:spacing w:after="0" w:line="267" w:lineRule="auto"/>
        <w:tabs>
          <w:tab w:leader="none" w:pos="256" w:val="left"/>
        </w:tabs>
        <w:numPr>
          <w:ilvl w:val="0"/>
          <w:numId w:val="136"/>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u w:val="single" w:color="auto"/>
          <w:color w:val="auto"/>
        </w:rPr>
        <w:t>Check if Transferee will take delivery of a Restricted Definitive Note pursuant to Regulation S</w:t>
      </w:r>
      <w:r>
        <w:rPr>
          <w:rFonts w:ascii="Times New Roman" w:cs="Times New Roman" w:eastAsia="Times New Roman" w:hAnsi="Times New Roman"/>
          <w:sz w:val="19"/>
          <w:szCs w:val="19"/>
          <w:color w:val="auto"/>
        </w:rPr>
        <w:t>. The Transfer is being effected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and in accordance with Rule 903 or Rule 904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37" w:name="page138"/>
    <w:bookmarkEnd w:id="137"/>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Securities Act and (iv) if the proposed transfer is being made prior to the expiration of the Restricted Period, the transfer is not being made to a United States Person or for the account or benefit of a United States Person. Upon consummation of the proposed transfer in accordance with the terms of the Indenture, the transferred Definitive Note will be subject to the restrictions on Transfer enumerated in the Private Placement Legend printed on the Restricted Definitive Note and in the Indenture and the Securities Act.</w:t>
      </w:r>
    </w:p>
    <w:p>
      <w:pPr>
        <w:spacing w:after="0" w:line="155" w:lineRule="exact"/>
        <w:rPr>
          <w:sz w:val="20"/>
          <w:szCs w:val="20"/>
          <w:color w:val="auto"/>
        </w:rPr>
      </w:pPr>
    </w:p>
    <w:p>
      <w:pPr>
        <w:ind w:left="640" w:hanging="632"/>
        <w:spacing w:after="0" w:line="260" w:lineRule="auto"/>
        <w:tabs>
          <w:tab w:leader="none" w:pos="229" w:val="left"/>
        </w:tabs>
        <w:numPr>
          <w:ilvl w:val="0"/>
          <w:numId w:val="137"/>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and complete if Transferee will take delivery of a Restricted Definitive Note pursuant to any provision of the Securities Act other than Rule 144A or Regulation S</w:t>
      </w:r>
      <w:r>
        <w:rPr>
          <w:rFonts w:ascii="Times New Roman" w:cs="Times New Roman" w:eastAsia="Times New Roman" w:hAnsi="Times New Roman"/>
          <w:sz w:val="20"/>
          <w:szCs w:val="20"/>
          <w:color w:val="auto"/>
        </w:rPr>
        <w:t>. The Transfer is being effected in compliance with the transfer restrictions applicable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Definitive Notes and pursuant to and in accordance with the Securities Act and any applicable blue sky securities laws of any state of the United States, and accordingly the Transferor hereby further certifies that (check one):</w:t>
      </w:r>
    </w:p>
    <w:p>
      <w:pPr>
        <w:spacing w:after="0" w:line="109" w:lineRule="exact"/>
        <w:rPr>
          <w:rFonts w:ascii="MS PGothic" w:cs="MS PGothic" w:eastAsia="MS PGothic" w:hAnsi="MS PGothic"/>
          <w:sz w:val="20"/>
          <w:szCs w:val="20"/>
          <w:color w:val="auto"/>
        </w:rPr>
      </w:pPr>
    </w:p>
    <w:p>
      <w:pPr>
        <w:ind w:left="640"/>
        <w:spacing w:after="0" w:line="230" w:lineRule="exact"/>
        <w:rPr>
          <w:rFonts w:ascii="MS PGothic" w:cs="MS PGothic" w:eastAsia="MS PGothic" w:hAnsi="MS PGothic"/>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such Transfer is being effected pursuant to and in accordance with Rule 144 under the Securities Act;</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or</w:t>
      </w:r>
    </w:p>
    <w:p>
      <w:pPr>
        <w:spacing w:after="0" w:line="216" w:lineRule="exact"/>
        <w:rPr>
          <w:sz w:val="20"/>
          <w:szCs w:val="20"/>
          <w:color w:val="auto"/>
        </w:rPr>
      </w:pPr>
    </w:p>
    <w:p>
      <w:pPr>
        <w:ind w:left="1280" w:right="6580" w:hanging="637"/>
        <w:spacing w:after="0" w:line="427" w:lineRule="auto"/>
        <w:tabs>
          <w:tab w:leader="none" w:pos="864" w:val="left"/>
        </w:tabs>
        <w:numPr>
          <w:ilvl w:val="0"/>
          <w:numId w:val="13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such Transfer is being effected to the Company; or</w:t>
      </w:r>
    </w:p>
    <w:p>
      <w:pPr>
        <w:spacing w:after="0" w:line="45" w:lineRule="exact"/>
        <w:rPr>
          <w:rFonts w:ascii="MS PGothic" w:cs="MS PGothic" w:eastAsia="MS PGothic" w:hAnsi="MS PGothic"/>
          <w:sz w:val="20"/>
          <w:szCs w:val="20"/>
          <w:color w:val="auto"/>
        </w:rPr>
      </w:pPr>
    </w:p>
    <w:p>
      <w:pPr>
        <w:ind w:left="1280" w:hanging="637"/>
        <w:spacing w:after="0" w:line="283" w:lineRule="auto"/>
        <w:tabs>
          <w:tab w:leader="none" w:pos="877" w:val="left"/>
        </w:tabs>
        <w:numPr>
          <w:ilvl w:val="0"/>
          <w:numId w:val="13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such Transfer is being effected pursuant to an effective registration statement under the Securities Act and in compliance with the prospectus delivery requirements of the Securities Act;</w:t>
      </w:r>
    </w:p>
    <w:p>
      <w:pPr>
        <w:spacing w:after="0" w:line="1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or</w:t>
      </w:r>
    </w:p>
    <w:p>
      <w:pPr>
        <w:spacing w:after="0" w:line="202" w:lineRule="exact"/>
        <w:rPr>
          <w:sz w:val="20"/>
          <w:szCs w:val="20"/>
          <w:color w:val="auto"/>
        </w:rPr>
      </w:pPr>
    </w:p>
    <w:p>
      <w:pPr>
        <w:ind w:left="1280" w:hanging="637"/>
        <w:spacing w:after="0" w:line="252" w:lineRule="auto"/>
        <w:tabs>
          <w:tab w:leader="none" w:pos="916" w:val="left"/>
        </w:tabs>
        <w:numPr>
          <w:ilvl w:val="1"/>
          <w:numId w:val="13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Restricted Definitive Notes and the requirements of the exemption claimed, which certification is supported by (1) a certificate executed by the Transferee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Definitive Note will be subject to the restrictions on transfer enumerated in the Private Placement Legend printed on the Restricted Definitive Notes and in the Indenture and the Securities Act.</w:t>
      </w:r>
    </w:p>
    <w:p>
      <w:pPr>
        <w:spacing w:after="0" w:line="159" w:lineRule="exact"/>
        <w:rPr>
          <w:rFonts w:ascii="MS PGothic" w:cs="MS PGothic" w:eastAsia="MS PGothic" w:hAnsi="MS PGothic"/>
          <w:sz w:val="20"/>
          <w:szCs w:val="20"/>
          <w:color w:val="auto"/>
        </w:rPr>
      </w:pPr>
    </w:p>
    <w:p>
      <w:pPr>
        <w:ind w:left="240" w:hanging="232"/>
        <w:spacing w:after="0"/>
        <w:tabs>
          <w:tab w:leader="none" w:pos="240" w:val="left"/>
        </w:tabs>
        <w:numPr>
          <w:ilvl w:val="0"/>
          <w:numId w:val="139"/>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an Unrestricted Definitive Note</w:t>
      </w:r>
      <w:r>
        <w:rPr>
          <w:rFonts w:ascii="Times New Roman" w:cs="Times New Roman" w:eastAsia="Times New Roman" w:hAnsi="Times New Roman"/>
          <w:sz w:val="20"/>
          <w:szCs w:val="20"/>
          <w:color w:val="auto"/>
        </w:rPr>
        <w:t>.</w:t>
      </w:r>
    </w:p>
    <w:p>
      <w:pPr>
        <w:spacing w:after="0" w:line="202" w:lineRule="exact"/>
        <w:rPr>
          <w:rFonts w:ascii="MS PGothic" w:cs="MS PGothic" w:eastAsia="MS PGothic" w:hAnsi="MS PGothic"/>
          <w:sz w:val="20"/>
          <w:szCs w:val="20"/>
          <w:color w:val="auto"/>
        </w:rPr>
      </w:pPr>
    </w:p>
    <w:p>
      <w:pPr>
        <w:ind w:left="1280" w:hanging="637"/>
        <w:spacing w:after="0" w:line="260" w:lineRule="auto"/>
        <w:tabs>
          <w:tab w:leader="none" w:pos="870" w:val="left"/>
        </w:tabs>
        <w:numPr>
          <w:ilvl w:val="1"/>
          <w:numId w:val="139"/>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Transfer is pursuant to Rule 144</w:t>
      </w:r>
      <w:r>
        <w:rPr>
          <w:rFonts w:ascii="Times New Roman" w:cs="Times New Roman" w:eastAsia="Times New Roman" w:hAnsi="Times New Roman"/>
          <w:sz w:val="20"/>
          <w:szCs w:val="20"/>
          <w:color w:val="auto"/>
        </w:rPr>
        <w:t>. (i) The Transfer is being effected pursuant to and in accordance with Rule 144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38" w:name="page139"/>
    <w:bookmarkEnd w:id="138"/>
    <w:p>
      <w:pPr>
        <w:jc w:val="both"/>
        <w:ind w:left="1280"/>
        <w:spacing w:after="0" w:line="261" w:lineRule="auto"/>
        <w:rPr>
          <w:sz w:val="20"/>
          <w:szCs w:val="20"/>
          <w:color w:val="auto"/>
        </w:rPr>
      </w:pPr>
      <w:r>
        <w:rPr>
          <w:rFonts w:ascii="Times New Roman" w:cs="Times New Roman" w:eastAsia="Times New Roman" w:hAnsi="Times New Roman"/>
          <w:sz w:val="20"/>
          <w:szCs w:val="20"/>
          <w:color w:val="auto"/>
        </w:rPr>
        <w:t>the Securities Act. Upon consummation of the proposed Transfer in accordance with the terms of the Indenture, the transferred Definitive Note will no longer be subject to the restrictions on transfer enumerated in the Private Placement Legend printed on Restricted Definitive Notes and in the Indenture.</w:t>
      </w:r>
    </w:p>
    <w:p>
      <w:pPr>
        <w:spacing w:after="0" w:line="150" w:lineRule="exact"/>
        <w:rPr>
          <w:sz w:val="20"/>
          <w:szCs w:val="20"/>
          <w:color w:val="auto"/>
        </w:rPr>
      </w:pPr>
    </w:p>
    <w:p>
      <w:pPr>
        <w:ind w:left="1280" w:hanging="637"/>
        <w:spacing w:after="0" w:line="254" w:lineRule="auto"/>
        <w:tabs>
          <w:tab w:leader="none" w:pos="870" w:val="left"/>
        </w:tabs>
        <w:numPr>
          <w:ilvl w:val="0"/>
          <w:numId w:val="140"/>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Transfer is Pursuant to Regulation S</w:t>
      </w:r>
      <w:r>
        <w:rPr>
          <w:rFonts w:ascii="Times New Roman" w:cs="Times New Roman" w:eastAsia="Times New Roman" w:hAnsi="Times New Roman"/>
          <w:sz w:val="20"/>
          <w:szCs w:val="20"/>
          <w:color w:val="auto"/>
        </w:rPr>
        <w:t>. (i) The Transfer is being effected pursuant to and in accordance with Rule 903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Definitive Note will no longer be subject to the restrictions on transfer enumerated in the Private Placement Legend printed on Restricted Definitive Notes and in the Indenture.</w:t>
      </w:r>
    </w:p>
    <w:p>
      <w:pPr>
        <w:spacing w:after="0" w:line="159" w:lineRule="exact"/>
        <w:rPr>
          <w:rFonts w:ascii="MS PGothic" w:cs="MS PGothic" w:eastAsia="MS PGothic" w:hAnsi="MS PGothic"/>
          <w:sz w:val="20"/>
          <w:szCs w:val="20"/>
          <w:color w:val="auto"/>
        </w:rPr>
      </w:pPr>
    </w:p>
    <w:p>
      <w:pPr>
        <w:ind w:left="1280" w:hanging="637"/>
        <w:spacing w:after="0" w:line="254" w:lineRule="auto"/>
        <w:tabs>
          <w:tab w:leader="none" w:pos="884" w:val="left"/>
        </w:tabs>
        <w:numPr>
          <w:ilvl w:val="0"/>
          <w:numId w:val="140"/>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Transfer is Pursuant to Other Exemption</w:t>
      </w:r>
      <w:r>
        <w:rPr>
          <w:rFonts w:ascii="Times New Roman" w:cs="Times New Roman" w:eastAsia="Times New Roman" w:hAnsi="Times New Roman"/>
          <w:sz w:val="20"/>
          <w:szCs w:val="20"/>
          <w:color w:val="auto"/>
        </w:rPr>
        <w:t>. (i) The Transfer is being effected pursuant to and in compliance with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Definitive Note will not be subject to the restrictions on transfer enumerated in the Private Placement Legend printed on the Restricted Definitive Notes and in the Indenture.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262890</wp:posOffset>
            </wp:positionV>
            <wp:extent cx="1257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5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39" w:name="page140"/>
    <w:bookmarkEnd w:id="139"/>
    <w:p>
      <w:pPr>
        <w:ind w:right="2479" w:firstLine="3587"/>
        <w:spacing w:after="0" w:line="484" w:lineRule="auto"/>
        <w:rPr>
          <w:sz w:val="20"/>
          <w:szCs w:val="20"/>
          <w:color w:val="auto"/>
        </w:rPr>
      </w:pPr>
      <w:r>
        <w:rPr>
          <w:rFonts w:ascii="Times New Roman" w:cs="Times New Roman" w:eastAsia="Times New Roman" w:hAnsi="Times New Roman"/>
          <w:sz w:val="20"/>
          <w:szCs w:val="20"/>
          <w:b w:val="1"/>
          <w:bCs w:val="1"/>
          <w:color w:val="auto"/>
        </w:rPr>
        <w:t xml:space="preserve">ANNEX A TO CERTIFICATE OF TRANSFER </w:t>
      </w:r>
      <w:r>
        <w:rPr>
          <w:rFonts w:ascii="Times New Roman" w:cs="Times New Roman" w:eastAsia="Times New Roman" w:hAnsi="Times New Roman"/>
          <w:sz w:val="20"/>
          <w:szCs w:val="20"/>
          <w:color w:val="auto"/>
        </w:rPr>
        <w:t>The Transferor owns and proposes to transfer a Restricted Definitive Note.</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After the Transfer the Transferee will hold: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[CHECK ONE]</w:t>
      </w:r>
    </w:p>
    <w:p>
      <w:pPr>
        <w:spacing w:after="0" w:line="216" w:lineRule="exact"/>
        <w:rPr>
          <w:sz w:val="20"/>
          <w:szCs w:val="20"/>
          <w:color w:val="auto"/>
        </w:rPr>
      </w:pPr>
    </w:p>
    <w:p>
      <w:pPr>
        <w:ind w:left="860" w:hanging="217"/>
        <w:spacing w:after="0"/>
        <w:tabs>
          <w:tab w:leader="none" w:pos="860" w:val="left"/>
        </w:tabs>
        <w:numPr>
          <w:ilvl w:val="0"/>
          <w:numId w:val="14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Restricted Definitive Note; or</w:t>
      </w:r>
    </w:p>
    <w:p>
      <w:pPr>
        <w:spacing w:after="0" w:line="202" w:lineRule="exact"/>
        <w:rPr>
          <w:rFonts w:ascii="MS PGothic" w:cs="MS PGothic" w:eastAsia="MS PGothic" w:hAnsi="MS PGothic"/>
          <w:sz w:val="20"/>
          <w:szCs w:val="20"/>
          <w:color w:val="auto"/>
        </w:rPr>
      </w:pPr>
    </w:p>
    <w:p>
      <w:pPr>
        <w:ind w:left="860" w:hanging="217"/>
        <w:spacing w:after="0"/>
        <w:tabs>
          <w:tab w:leader="none" w:pos="860" w:val="left"/>
        </w:tabs>
        <w:numPr>
          <w:ilvl w:val="0"/>
          <w:numId w:val="14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 Unrestricted Definitive Note,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0139"/>
          </w:cols>
          <w:pgMar w:left="320" w:top="1409" w:right="14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FORM OF CERTIFICATE OF EXCHANGE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1100 North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23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Rio Grande LNG, LLC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Louisiana Street, 39th Floor</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99"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____% Senior Secured Notes due ____ issued by Rio Grande LNG, LLC</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(CUSIP / PPN __________)</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Reference is hereby made to the Indenture, dated as of February 9, 2024 (as amended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LLC, as issuer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Capitalized terms used but not defined herein shall have the meanings given to them in the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 (the “</w:t>
      </w:r>
      <w:r>
        <w:rPr>
          <w:rFonts w:ascii="Times New Roman" w:cs="Times New Roman" w:eastAsia="Times New Roman" w:hAnsi="Times New Roman"/>
          <w:sz w:val="20"/>
          <w:szCs w:val="20"/>
          <w:b w:val="1"/>
          <w:bCs w:val="1"/>
          <w:color w:val="auto"/>
        </w:rPr>
        <w:t>Owner</w:t>
      </w:r>
      <w:r>
        <w:rPr>
          <w:rFonts w:ascii="Times New Roman" w:cs="Times New Roman" w:eastAsia="Times New Roman" w:hAnsi="Times New Roman"/>
          <w:sz w:val="20"/>
          <w:szCs w:val="20"/>
          <w:color w:val="auto"/>
        </w:rPr>
        <w:t>”) owns and proposes to exchange the Note[s] or interest in such Note[s] specified herein, in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amount of $___________ in such Note[s] or interests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In connection with the Exchange, the Owner hereby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certifies that: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Exchange of Restricted Definitive Notes</w:t>
      </w:r>
    </w:p>
    <w:p>
      <w:pPr>
        <w:spacing w:after="0" w:line="202" w:lineRule="exact"/>
        <w:rPr>
          <w:sz w:val="20"/>
          <w:szCs w:val="20"/>
          <w:color w:val="auto"/>
        </w:rPr>
      </w:pPr>
    </w:p>
    <w:p>
      <w:pPr>
        <w:ind w:left="1280" w:hanging="637"/>
        <w:spacing w:after="0" w:line="254" w:lineRule="auto"/>
        <w:tabs>
          <w:tab w:leader="none" w:pos="897" w:val="left"/>
        </w:tabs>
        <w:numPr>
          <w:ilvl w:val="0"/>
          <w:numId w:val="14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Exchange is from Restricted Definitive Note to Unrestricted Definitive Note</w:t>
      </w:r>
      <w:r>
        <w:rPr>
          <w:rFonts w:ascii="Times New Roman" w:cs="Times New Roman" w:eastAsia="Times New Roman" w:hAnsi="Times New Roman"/>
          <w:sz w:val="20"/>
          <w:szCs w:val="20"/>
          <w:color w:val="auto"/>
        </w:rPr>
        <w:t>. In connection with the Owner’s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9"/>
          <w:szCs w:val="19"/>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269875</wp:posOffset>
            </wp:positionV>
            <wp:extent cx="1257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00" w:lineRule="exact"/>
        <w:rPr>
          <w:sz w:val="20"/>
          <w:szCs w:val="20"/>
          <w:color w:val="auto"/>
        </w:rPr>
      </w:pPr>
    </w:p>
    <w:p>
      <w:pPr>
        <w:spacing w:after="0" w:line="28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0139"/>
          </w:cols>
          <w:pgMar w:left="320" w:top="1413" w:right="1440"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Notes and Supplemental</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Indentures for Additional Notes</w:t>
      </w:r>
    </w:p>
    <w:p>
      <w:pPr>
        <w:spacing w:after="0" w:line="9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Reference is made in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to the Indenture dated as of February 9, 2024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LLC,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right="40" w:hanging="652"/>
        <w:spacing w:after="0" w:line="253" w:lineRule="auto"/>
        <w:tabs>
          <w:tab w:leader="none" w:pos="65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Issue Date, subject to compliance with the Indenture, including </w:t>
      </w:r>
      <w:r>
        <w:rPr>
          <w:rFonts w:ascii="Times New Roman" w:cs="Times New Roman" w:eastAsia="Times New Roman" w:hAnsi="Times New Roman"/>
          <w:sz w:val="20"/>
          <w:szCs w:val="20"/>
          <w:u w:val="single" w:color="auto"/>
          <w:color w:val="auto"/>
        </w:rPr>
        <w:t>Sections 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4.7</w:t>
      </w:r>
      <w:r>
        <w:rPr>
          <w:rFonts w:ascii="Times New Roman" w:cs="Times New Roman" w:eastAsia="Times New Roman" w:hAnsi="Times New Roman"/>
          <w:sz w:val="20"/>
          <w:szCs w:val="20"/>
          <w:color w:val="auto"/>
        </w:rPr>
        <w:t xml:space="preserve"> thereof and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the Company may issue Additional Notes, in one or more series, under this Indenture or under one or more Supplemental Indentures that comply with the provisions of this Indenture. Additional Notes may be issued as a separate series or the same series as the Initial Notes or other Additional Notes, as shall be specified in the form of the Additional Note or in any Supplemental Indenture governing the terms of the Additional Notes permitted to be issued by this Indenture. Additional Notes may be issued in accordance with the following provisions, which are deemed to be part of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of the Indenture:</w:t>
      </w:r>
    </w:p>
    <w:p>
      <w:pPr>
        <w:spacing w:after="0" w:line="178"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48"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Capitalized terms used and not otherwise defined in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which are defined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other Sections of the Indenture have the meanings set forth therein and the following terms have the meanings set forth below:</w:t>
      </w:r>
    </w:p>
    <w:p>
      <w:pPr>
        <w:spacing w:after="0" w:line="14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Authorizing Resolution</w:t>
      </w:r>
      <w:r>
        <w:rPr>
          <w:rFonts w:ascii="Times New Roman" w:cs="Times New Roman" w:eastAsia="Times New Roman" w:hAnsi="Times New Roman"/>
          <w:sz w:val="20"/>
          <w:szCs w:val="20"/>
          <w:color w:val="auto"/>
        </w:rPr>
        <w:t>” means a resolution duly adopted by (1) the authorized governing body of the Company or (2) any pricing or other committee of the authorized governing body of the Company duly authorized to act for it hereunder, a copy of which is delivered to the Trustee, accompanied by an Officer’s Certificate that such resolution has been duly adopted, has not been amended, modified, supplemented or rescinded and is in full force and effect.</w:t>
      </w:r>
    </w:p>
    <w:p>
      <w:pPr>
        <w:spacing w:after="0" w:line="151"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Registered Additional Note</w:t>
      </w:r>
      <w:r>
        <w:rPr>
          <w:rFonts w:ascii="Times New Roman" w:cs="Times New Roman" w:eastAsia="Times New Roman" w:hAnsi="Times New Roman"/>
          <w:sz w:val="20"/>
          <w:szCs w:val="20"/>
          <w:color w:val="auto"/>
        </w:rPr>
        <w:t xml:space="preserve">” means any Additional Note registered on the Additional Note Register maintained by the Company pursuant to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w:t>
      </w:r>
    </w:p>
    <w:p>
      <w:pPr>
        <w:spacing w:after="0" w:line="220"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D.1</w:t>
      </w:r>
      <w:r>
        <w:rPr>
          <w:sz w:val="20"/>
          <w:szCs w:val="20"/>
          <w:color w:val="auto"/>
        </w:rPr>
        <w:tab/>
      </w:r>
      <w:r>
        <w:rPr>
          <w:rFonts w:ascii="Times New Roman" w:cs="Times New Roman" w:eastAsia="Times New Roman" w:hAnsi="Times New Roman"/>
          <w:sz w:val="22"/>
          <w:szCs w:val="22"/>
          <w:b w:val="1"/>
          <w:bCs w:val="1"/>
          <w:color w:val="auto"/>
        </w:rPr>
        <w:t>Terms of Additional Notes</w:t>
      </w:r>
      <w:r>
        <w:rPr>
          <w:rFonts w:ascii="Times New Roman" w:cs="Times New Roman" w:eastAsia="Times New Roman" w:hAnsi="Times New Roman"/>
          <w:sz w:val="19"/>
          <w:szCs w:val="19"/>
          <w:color w:val="auto"/>
        </w:rPr>
        <w:t>. (a) The terms and conditions of any Additional Notes shall be established in or pursuant 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Authorizing Resolution, and set forth in an Officer’s Certificate, or established in one or more Supplemental Indentures approved pursuant to an Authorizing Resolution, and as set forth in an Officer’s Certificate, prior to the issuance of Additional Notes of any series, which shall include, as applicable:</w:t>
      </w:r>
    </w:p>
    <w:p>
      <w:pPr>
        <w:spacing w:after="0" w:line="160" w:lineRule="exact"/>
        <w:rPr>
          <w:sz w:val="20"/>
          <w:szCs w:val="20"/>
          <w:color w:val="auto"/>
        </w:rPr>
      </w:pPr>
    </w:p>
    <w:p>
      <w:pPr>
        <w:ind w:left="1960" w:right="440" w:hanging="656"/>
        <w:spacing w:after="0" w:line="283" w:lineRule="auto"/>
        <w:tabs>
          <w:tab w:leader="none" w:pos="195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of the Additional Notes of the series (which shall distinguish the Additional Notes of the series from all other Notes, except if issued as the same series as the Initial Notes or other Additional Notes);</w:t>
      </w:r>
    </w:p>
    <w:p>
      <w:pPr>
        <w:spacing w:after="0" w:line="159" w:lineRule="exact"/>
        <w:rPr>
          <w:rFonts w:ascii="Times New Roman" w:cs="Times New Roman" w:eastAsia="Times New Roman" w:hAnsi="Times New Roman"/>
          <w:sz w:val="20"/>
          <w:szCs w:val="20"/>
          <w:color w:val="auto"/>
        </w:rPr>
      </w:pPr>
    </w:p>
    <w:p>
      <w:pPr>
        <w:jc w:val="both"/>
        <w:ind w:left="1960" w:right="120" w:hanging="656"/>
        <w:spacing w:after="0" w:line="261" w:lineRule="auto"/>
        <w:tabs>
          <w:tab w:leader="none" w:pos="1959"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limit upon the aggregate principal amount of the Additional Notes of the series which may be authenticated and delivered under the Indenture (except for Additional Notes authenticated and delivered upon registration of transfer of, or in exchange for, or in lieu of, other Additional Notes of the series);</w:t>
      </w:r>
    </w:p>
    <w:p>
      <w:pPr>
        <w:spacing w:after="0" w:line="167" w:lineRule="exact"/>
        <w:rPr>
          <w:rFonts w:ascii="Times New Roman" w:cs="Times New Roman" w:eastAsia="Times New Roman" w:hAnsi="Times New Roman"/>
          <w:sz w:val="20"/>
          <w:szCs w:val="20"/>
          <w:color w:val="auto"/>
        </w:rPr>
      </w:pPr>
    </w:p>
    <w:p>
      <w:pPr>
        <w:ind w:left="1960" w:hanging="656"/>
        <w:spacing w:after="0" w:line="283" w:lineRule="auto"/>
        <w:tabs>
          <w:tab w:leader="none" w:pos="196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or dates (or the manner of determining the same) on which the principal of the Additional Notes of the series is payable (which, if so provided 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43" w:name="page144"/>
    <w:bookmarkEnd w:id="143"/>
    <w:p>
      <w:pPr>
        <w:ind w:left="1960" w:right="380"/>
        <w:spacing w:after="0" w:line="283" w:lineRule="auto"/>
        <w:rPr>
          <w:sz w:val="20"/>
          <w:szCs w:val="20"/>
          <w:color w:val="auto"/>
        </w:rPr>
      </w:pPr>
      <w:r>
        <w:rPr>
          <w:rFonts w:ascii="Times New Roman" w:cs="Times New Roman" w:eastAsia="Times New Roman" w:hAnsi="Times New Roman"/>
          <w:sz w:val="20"/>
          <w:szCs w:val="20"/>
          <w:color w:val="auto"/>
        </w:rPr>
        <w:t>pursuant to such Authorizing Resolution or in any Supplemental Indenture, may be determined by the Company from time to time and set forth in the Additional Notes of the series issued from time to time);</w:t>
      </w:r>
    </w:p>
    <w:p>
      <w:pPr>
        <w:spacing w:after="0" w:line="146" w:lineRule="exact"/>
        <w:rPr>
          <w:sz w:val="20"/>
          <w:szCs w:val="20"/>
          <w:color w:val="auto"/>
        </w:rPr>
      </w:pPr>
    </w:p>
    <w:p>
      <w:pPr>
        <w:ind w:left="1960" w:right="40" w:hanging="656"/>
        <w:spacing w:after="0" w:line="253" w:lineRule="auto"/>
        <w:tabs>
          <w:tab w:leader="none" w:pos="194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or rates (or the method of determining the same) at which the Additional Notes of the series shall bear interest, if any, and the date or dates from which such interest shall accrue (which, in the case of either or both, if so provided in or pursuant to such Authorizing Resolution or in any Supplemental Indenture, may be determined by the Company from time to time and set forth in the Additional Notes of the series issued from time to time), the Interest Payment Dates (or the manner of determining the same) on which such interest, if any, shall be payable, the record dates (or the manner of determining the same), if any, for the determination of Holders to whom interest is payable on any Interest Payment Date;</w:t>
      </w:r>
    </w:p>
    <w:p>
      <w:pPr>
        <w:spacing w:after="0" w:line="179" w:lineRule="exact"/>
        <w:rPr>
          <w:rFonts w:ascii="Times New Roman" w:cs="Times New Roman" w:eastAsia="Times New Roman" w:hAnsi="Times New Roman"/>
          <w:sz w:val="20"/>
          <w:szCs w:val="20"/>
          <w:color w:val="auto"/>
        </w:rPr>
      </w:pPr>
    </w:p>
    <w:p>
      <w:pPr>
        <w:ind w:left="1960" w:right="220" w:hanging="656"/>
        <w:spacing w:after="0" w:line="276" w:lineRule="auto"/>
        <w:tabs>
          <w:tab w:leader="none" w:pos="1948"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place or places where, subject to the Indenture, the principal of (and premium, if any) and interest, if any, on Additional Notes of the series shall be payable, any Additional Notes of the series may be surrendered for registration of transfer and Additional Notes of the series may be surrendered for exchange and the place or places where notices or demands to or upon the Company in respect of the Additional Notes of the series may be served;</w:t>
      </w:r>
    </w:p>
    <w:p>
      <w:pPr>
        <w:spacing w:after="0" w:line="169" w:lineRule="exact"/>
        <w:rPr>
          <w:rFonts w:ascii="Times New Roman" w:cs="Times New Roman" w:eastAsia="Times New Roman" w:hAnsi="Times New Roman"/>
          <w:sz w:val="19"/>
          <w:szCs w:val="19"/>
          <w:color w:val="auto"/>
        </w:rPr>
      </w:pPr>
    </w:p>
    <w:p>
      <w:pPr>
        <w:jc w:val="both"/>
        <w:ind w:left="1960" w:right="40" w:hanging="656"/>
        <w:spacing w:after="0" w:line="261" w:lineRule="auto"/>
        <w:tabs>
          <w:tab w:leader="none" w:pos="194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or periods within which, the price or prices at which, and the terms and conditions upon which Additional Notes of the series may be redeemed, in whole or in part, at the option of the Company, pursuant to any sinking fund or otherwise;</w:t>
      </w:r>
    </w:p>
    <w:p>
      <w:pPr>
        <w:spacing w:after="0" w:line="181" w:lineRule="exact"/>
        <w:rPr>
          <w:rFonts w:ascii="Times New Roman" w:cs="Times New Roman" w:eastAsia="Times New Roman" w:hAnsi="Times New Roman"/>
          <w:sz w:val="20"/>
          <w:szCs w:val="20"/>
          <w:color w:val="auto"/>
        </w:rPr>
      </w:pPr>
    </w:p>
    <w:p>
      <w:pPr>
        <w:ind w:left="1960" w:right="20" w:hanging="656"/>
        <w:spacing w:after="0" w:line="253" w:lineRule="auto"/>
        <w:tabs>
          <w:tab w:leader="none" w:pos="194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if any, of the Company to redeem, repay, prepay or purchase Additional Notes of the series pursuant to any mandatory prepayment, purchase or redemption provision, sinking fund or analogous provisions or at the option of a Holder thereof and the period or periods within which, the price or prices at which, and the terms and conditions upon which Additional Notes of the series shall be redeemed, repaid, prepaid or purchased, in whole or in part, pursuant to such obligation, or at the option of a Holder thereof;</w:t>
      </w:r>
    </w:p>
    <w:p>
      <w:pPr>
        <w:spacing w:after="0" w:line="178" w:lineRule="exact"/>
        <w:rPr>
          <w:rFonts w:ascii="Times New Roman" w:cs="Times New Roman" w:eastAsia="Times New Roman" w:hAnsi="Times New Roman"/>
          <w:sz w:val="20"/>
          <w:szCs w:val="20"/>
          <w:color w:val="auto"/>
        </w:rPr>
      </w:pPr>
    </w:p>
    <w:p>
      <w:pPr>
        <w:ind w:left="1960" w:right="1080" w:hanging="656"/>
        <w:spacing w:after="0" w:line="283" w:lineRule="auto"/>
        <w:tabs>
          <w:tab w:leader="none" w:pos="195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other than denominations of U.S. $100,000 and any integral multiple of $ 1,000 in excess thereof, the denominations in which Additional Notes of the series shall be issuable;</w:t>
      </w:r>
    </w:p>
    <w:p>
      <w:pPr>
        <w:spacing w:after="0" w:line="159" w:lineRule="exact"/>
        <w:rPr>
          <w:rFonts w:ascii="Times New Roman" w:cs="Times New Roman" w:eastAsia="Times New Roman" w:hAnsi="Times New Roman"/>
          <w:sz w:val="20"/>
          <w:szCs w:val="20"/>
          <w:color w:val="auto"/>
        </w:rPr>
      </w:pPr>
    </w:p>
    <w:p>
      <w:pPr>
        <w:ind w:left="1960" w:hanging="656"/>
        <w:spacing w:after="0" w:line="261" w:lineRule="auto"/>
        <w:tabs>
          <w:tab w:leader="none" w:pos="194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other than the principal amount thereof, the portion of the principal amount of Additional Notes of the series which shall be payable upon declaration of acceleration of the maturity thereof or the method by which such portion shall be determined;</w:t>
      </w:r>
    </w:p>
    <w:p>
      <w:pPr>
        <w:spacing w:after="0" w:line="167" w:lineRule="exact"/>
        <w:rPr>
          <w:rFonts w:ascii="Times New Roman" w:cs="Times New Roman" w:eastAsia="Times New Roman" w:hAnsi="Times New Roman"/>
          <w:sz w:val="20"/>
          <w:szCs w:val="20"/>
          <w:color w:val="auto"/>
        </w:rPr>
      </w:pPr>
    </w:p>
    <w:p>
      <w:pPr>
        <w:ind w:left="1960" w:right="60" w:hanging="656"/>
        <w:spacing w:after="0" w:line="283" w:lineRule="auto"/>
        <w:tabs>
          <w:tab w:leader="none" w:pos="194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amount of payments of principal of (or any premium) or any interest on the Additional Notes of the series may be determined with reference to an index, the manner in which such amounts shall be determined;</w:t>
      </w:r>
    </w:p>
    <w:p>
      <w:pPr>
        <w:spacing w:after="0" w:line="159" w:lineRule="exact"/>
        <w:rPr>
          <w:rFonts w:ascii="Times New Roman" w:cs="Times New Roman" w:eastAsia="Times New Roman" w:hAnsi="Times New Roman"/>
          <w:sz w:val="20"/>
          <w:szCs w:val="20"/>
          <w:color w:val="auto"/>
        </w:rPr>
      </w:pPr>
    </w:p>
    <w:p>
      <w:pPr>
        <w:ind w:left="1960" w:right="360" w:hanging="656"/>
        <w:spacing w:after="0" w:line="269" w:lineRule="auto"/>
        <w:tabs>
          <w:tab w:leader="none" w:pos="194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under what circumstances, and the terms and conditions on which, the Company will pay additional amounts on the Additional Notes of the series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20"/>
          </w:cols>
          <w:pgMar w:left="320" w:top="1413" w:right="359" w:bottom="1440" w:gutter="0" w:footer="0" w:header="0"/>
        </w:sectPr>
      </w:pPr>
    </w:p>
    <w:bookmarkStart w:id="144" w:name="page145"/>
    <w:bookmarkEnd w:id="144"/>
    <w:p>
      <w:pPr>
        <w:jc w:val="both"/>
        <w:ind w:left="1960" w:right="60"/>
        <w:spacing w:after="0" w:line="276" w:lineRule="auto"/>
        <w:rPr>
          <w:sz w:val="20"/>
          <w:szCs w:val="20"/>
          <w:color w:val="auto"/>
        </w:rPr>
      </w:pPr>
      <w:r>
        <w:rPr>
          <w:rFonts w:ascii="Times New Roman" w:cs="Times New Roman" w:eastAsia="Times New Roman" w:hAnsi="Times New Roman"/>
          <w:sz w:val="19"/>
          <w:szCs w:val="19"/>
          <w:color w:val="auto"/>
        </w:rPr>
        <w:t>respect of any tax, assessment or governmental charge withheld or deducted and whether the Company will have the option to redeem such Additional Notes rather than pay such additional amounts or to redeem such Additional Notes in the event of the imposition of any certification, documentation, information or other reporting requirement and, if so, under what circumstances and the terms and conditions on which the Company may exercise such option; and</w:t>
      </w:r>
    </w:p>
    <w:p>
      <w:pPr>
        <w:spacing w:after="0" w:line="156" w:lineRule="exact"/>
        <w:rPr>
          <w:sz w:val="20"/>
          <w:szCs w:val="20"/>
          <w:color w:val="auto"/>
        </w:rPr>
      </w:pPr>
    </w:p>
    <w:p>
      <w:pPr>
        <w:ind w:left="1960" w:right="20" w:hanging="656"/>
        <w:spacing w:after="0" w:line="258" w:lineRule="auto"/>
        <w:tabs>
          <w:tab w:leader="none" w:pos="1949"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terms of the series of Additional Notes which terms must be consistent with the provisions of the Indenture and, with respect to the matters set forth in </w:t>
      </w:r>
      <w:r>
        <w:rPr>
          <w:rFonts w:ascii="Times New Roman" w:cs="Times New Roman" w:eastAsia="Times New Roman" w:hAnsi="Times New Roman"/>
          <w:sz w:val="20"/>
          <w:szCs w:val="20"/>
          <w:u w:val="single" w:color="auto"/>
          <w:color w:val="auto"/>
        </w:rPr>
        <w:t>Articles 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(if any Additional Note is secured by any Collateral) (and any defined terms used therein) must be the same as those provisions (and any defined terms used therein).</w:t>
      </w:r>
    </w:p>
    <w:p>
      <w:pPr>
        <w:spacing w:after="0" w:line="185" w:lineRule="exact"/>
        <w:rPr>
          <w:rFonts w:ascii="Times New Roman" w:cs="Times New Roman" w:eastAsia="Times New Roman" w:hAnsi="Times New Roman"/>
          <w:sz w:val="20"/>
          <w:szCs w:val="20"/>
          <w:color w:val="auto"/>
        </w:rPr>
      </w:pPr>
    </w:p>
    <w:p>
      <w:pPr>
        <w:ind w:left="1300" w:right="40" w:hanging="644"/>
        <w:spacing w:after="0" w:line="253" w:lineRule="auto"/>
        <w:tabs>
          <w:tab w:leader="none" w:pos="129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Additional Notes of any one series shall be substantially identical except that such Additional Notes may differ as to date of issue and the date from which interest, if any, shall accrue. The terms of such Additional Notes, as set forth above, may be determined by the Company from time to time if so provided in or pursuant to such Authorizing Resolution or in any Supplemental Indenture for Additional Notes. All Additional Notes of any one series need not, but may, be issued at the same time.</w:t>
      </w:r>
    </w:p>
    <w:p>
      <w:pPr>
        <w:spacing w:after="0" w:line="191" w:lineRule="exact"/>
        <w:rPr>
          <w:rFonts w:ascii="Times New Roman" w:cs="Times New Roman" w:eastAsia="Times New Roman" w:hAnsi="Times New Roman"/>
          <w:sz w:val="20"/>
          <w:szCs w:val="20"/>
          <w:color w:val="auto"/>
        </w:rPr>
      </w:pPr>
    </w:p>
    <w:p>
      <w:pPr>
        <w:ind w:left="1300" w:right="140" w:hanging="644"/>
        <w:spacing w:after="0" w:line="261" w:lineRule="auto"/>
        <w:tabs>
          <w:tab w:leader="none" w:pos="128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terms of any series of Additional Notes are established by action taken pursuant to an Authorizing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6"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D.2</w:t>
      </w:r>
      <w:r>
        <w:rPr>
          <w:sz w:val="20"/>
          <w:szCs w:val="20"/>
          <w:color w:val="auto"/>
        </w:rPr>
        <w:tab/>
      </w:r>
      <w:r>
        <w:rPr>
          <w:rFonts w:ascii="Times New Roman" w:cs="Times New Roman" w:eastAsia="Times New Roman" w:hAnsi="Times New Roman"/>
          <w:sz w:val="22"/>
          <w:szCs w:val="22"/>
          <w:b w:val="1"/>
          <w:bCs w:val="1"/>
          <w:color w:val="auto"/>
        </w:rPr>
        <w:t>Issuance of Additional Notes</w:t>
      </w:r>
      <w:r>
        <w:rPr>
          <w:rFonts w:ascii="Times New Roman" w:cs="Times New Roman" w:eastAsia="Times New Roman" w:hAnsi="Times New Roman"/>
          <w:sz w:val="19"/>
          <w:szCs w:val="19"/>
          <w:color w:val="auto"/>
        </w:rPr>
        <w:t>. (a) When authorized by an Authorizing Resolution, Additional Notes may be issued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pursuant to the Indenture or pursuant to a Supplemental Indenture, in each case, without the consent of the Holders of any Notes, subject to compliance with the provisions of this Indenture.</w:t>
      </w:r>
    </w:p>
    <w:p>
      <w:pPr>
        <w:spacing w:after="0" w:line="145" w:lineRule="exact"/>
        <w:rPr>
          <w:sz w:val="20"/>
          <w:szCs w:val="20"/>
          <w:color w:val="auto"/>
        </w:rPr>
      </w:pPr>
    </w:p>
    <w:p>
      <w:pPr>
        <w:ind w:left="1300" w:right="20" w:hanging="644"/>
        <w:spacing w:after="0" w:line="258" w:lineRule="auto"/>
        <w:tabs>
          <w:tab w:leader="none" w:pos="129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authenticating or delivering any Additional Notes under the Indenture, or in executing, or accepting the additional trusts created by, any Supplemental Indenture for Additional Notes permitted by the Indenture, the Trustee shall be entitled to receive, and shall be fully protected in relying upon, and the Company shall cause to be provided, an Opinion of Counsel that (subject to customary exceptions and assumptions):</w:t>
      </w:r>
    </w:p>
    <w:p>
      <w:pPr>
        <w:spacing w:after="0" w:line="172" w:lineRule="exact"/>
        <w:rPr>
          <w:rFonts w:ascii="Times New Roman" w:cs="Times New Roman" w:eastAsia="Times New Roman" w:hAnsi="Times New Roman"/>
          <w:sz w:val="20"/>
          <w:szCs w:val="20"/>
          <w:color w:val="auto"/>
        </w:rPr>
      </w:pPr>
    </w:p>
    <w:p>
      <w:pPr>
        <w:ind w:left="1960" w:right="100" w:hanging="656"/>
        <w:spacing w:after="0" w:line="257" w:lineRule="auto"/>
        <w:tabs>
          <w:tab w:leader="none" w:pos="1958"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Additional Notes, when authenticated and delivered by the Trustee and issued by the Company and paid for by the purchaser(s) thereof, in each case in the manner and subject to any conditions specified in such opinion of counsel, will constitute valid and legally binding obligations of the Company, enforceable in accordance with their terms, subject to bankruptcy, insolvency, reorganization and other laws of general applicability relating to or affecting the enforcement of creditors’ rights and to general equity principles; and</w:t>
      </w:r>
    </w:p>
    <w:p>
      <w:pPr>
        <w:spacing w:after="0" w:line="172" w:lineRule="exact"/>
        <w:rPr>
          <w:rFonts w:ascii="Times New Roman" w:cs="Times New Roman" w:eastAsia="Times New Roman" w:hAnsi="Times New Roman"/>
          <w:sz w:val="20"/>
          <w:szCs w:val="20"/>
          <w:color w:val="auto"/>
        </w:rPr>
      </w:pPr>
    </w:p>
    <w:p>
      <w:pPr>
        <w:ind w:left="1960" w:right="20" w:hanging="656"/>
        <w:spacing w:after="0" w:line="261" w:lineRule="auto"/>
        <w:tabs>
          <w:tab w:leader="none" w:pos="1959"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the Company of such Additional Notes and any Supplemental Indenture for Additional Notes (A) have been duly authorized by all necessary limited liability company, managing member or other action on the part of the Company or its members and (B) will not violate the limited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45" w:name="page146"/>
    <w:bookmarkEnd w:id="145"/>
    <w:p>
      <w:pPr>
        <w:ind w:left="1960" w:right="60"/>
        <w:spacing w:after="0" w:line="283" w:lineRule="auto"/>
        <w:rPr>
          <w:sz w:val="20"/>
          <w:szCs w:val="20"/>
          <w:color w:val="auto"/>
        </w:rPr>
      </w:pPr>
      <w:r>
        <w:rPr>
          <w:rFonts w:ascii="Times New Roman" w:cs="Times New Roman" w:eastAsia="Times New Roman" w:hAnsi="Times New Roman"/>
          <w:sz w:val="20"/>
          <w:szCs w:val="20"/>
          <w:color w:val="auto"/>
        </w:rPr>
        <w:t>company agreement, certificate of formation or other organizational documents of the Company, any law binding on the Company, or the Indenture and the other P1 Financing Documents.</w:t>
      </w:r>
    </w:p>
    <w:p>
      <w:pPr>
        <w:spacing w:after="0" w:line="146" w:lineRule="exact"/>
        <w:rPr>
          <w:sz w:val="20"/>
          <w:szCs w:val="20"/>
          <w:color w:val="auto"/>
        </w:rPr>
      </w:pPr>
    </w:p>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In executing any amendment, modification or supplement of any Additional Notes or any Supplemental Indenture for Additional Notes, the Trustee shall be entitled to receive, and shall be fully protected in relying upon, and the Company shall cause to be provided, an Opinion of Counsel (subject to customary exceptions and assumptions) stating that the amendment, modification or supplement of any Additional Notes or Supplemental Indenture for Additional Notes is authorized or permitted by the Indenture and that such supplemental indenture is the valid and legally binding obligation of the Company, enforceable against the Company in accordance with its terms.</w:t>
      </w:r>
    </w:p>
    <w:p>
      <w:pPr>
        <w:spacing w:after="0" w:line="165" w:lineRule="exact"/>
        <w:rPr>
          <w:sz w:val="20"/>
          <w:szCs w:val="20"/>
          <w:color w:val="auto"/>
        </w:rPr>
      </w:pPr>
    </w:p>
    <w:p>
      <w:pPr>
        <w:ind w:left="1300" w:right="220" w:hanging="644"/>
        <w:spacing w:after="0" w:line="253" w:lineRule="auto"/>
        <w:tabs>
          <w:tab w:leader="none" w:pos="128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and the Company, at any time and from time to time, may enter into one or more Supplemental Indentures, in form satisfactory to the Trustee and the Company, (i) to establish the forms or terms of Additional Notes of any series permitted by this Indenture or (ii) to amend such forms or terms in any manner, solely to the extent such amendment is permitted by the terms of this Indenture. The Trustee may, but shall not be obligated to, enter into any such Supplemental Indenture for Additional Notes which materially and adversely affects the Trustee’s own rights, duties or immunities under this Indenture or otherwise.</w:t>
      </w:r>
    </w:p>
    <w:p>
      <w:pPr>
        <w:spacing w:after="0" w:line="192" w:lineRule="exact"/>
        <w:rPr>
          <w:rFonts w:ascii="Times New Roman" w:cs="Times New Roman" w:eastAsia="Times New Roman" w:hAnsi="Times New Roman"/>
          <w:sz w:val="20"/>
          <w:szCs w:val="20"/>
          <w:color w:val="auto"/>
        </w:rPr>
      </w:pPr>
    </w:p>
    <w:p>
      <w:pPr>
        <w:ind w:left="1300" w:right="20" w:hanging="644"/>
        <w:spacing w:after="0" w:line="276" w:lineRule="auto"/>
        <w:tabs>
          <w:tab w:leader="none" w:pos="129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execution of any Supplemental Indenture for Additional Notes, any such Supplemental Indenture shall form a part of this Indenture for purposes of such Additional Notes and upon the execution of any amendment, modification or supplement of any Supplemental Indenture for Additional Notes in accordance with this Indenture, the Holders of Additional Notes of any series affected thereby theretofore or thereafter authenticated and delivered hereunder shall be bound thereby.</w:t>
      </w:r>
    </w:p>
    <w:p>
      <w:pPr>
        <w:spacing w:after="0" w:line="156" w:lineRule="exact"/>
        <w:rPr>
          <w:rFonts w:ascii="Times New Roman" w:cs="Times New Roman" w:eastAsia="Times New Roman" w:hAnsi="Times New Roman"/>
          <w:sz w:val="19"/>
          <w:szCs w:val="19"/>
          <w:color w:val="auto"/>
        </w:rPr>
      </w:pPr>
    </w:p>
    <w:p>
      <w:pPr>
        <w:ind w:left="1300" w:right="20" w:hanging="644"/>
        <w:spacing w:after="0" w:line="253" w:lineRule="auto"/>
        <w:tabs>
          <w:tab w:leader="none" w:pos="128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Notes of any series authenticated and delivered after the execution of any Supplemental Indenture for Additional Notes may, and shall if required by the Trustee, bear a notation in form approved by the Trustee as to any matter provided for in such Supplemental Indentures. If the Company shall so determine, new Additional Notes of any series, so modified as to conform, in the opinion of the Trustee and the authorized governing body of the Company, to any such Supplemental Indenture for Additional Notes may be prepared and executed by the Company and authenticated and delivered by the Trustee in exchange for outstanding Additional Notes of such series.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w:t>
      </w:r>
    </w:p>
    <w:p>
      <w:pPr>
        <w:spacing w:after="0" w:line="220" w:lineRule="exact"/>
        <w:rPr>
          <w:sz w:val="20"/>
          <w:szCs w:val="20"/>
          <w:color w:val="auto"/>
        </w:rPr>
      </w:pPr>
    </w:p>
    <w:p>
      <w:pPr>
        <w:ind w:left="660" w:hanging="647"/>
        <w:spacing w:after="0" w:line="297"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D.1</w:t>
      </w:r>
      <w:r>
        <w:rPr>
          <w:sz w:val="20"/>
          <w:szCs w:val="20"/>
          <w:color w:val="auto"/>
        </w:rPr>
        <w:tab/>
      </w:r>
      <w:r>
        <w:rPr>
          <w:rFonts w:ascii="Times New Roman" w:cs="Times New Roman" w:eastAsia="Times New Roman" w:hAnsi="Times New Roman"/>
          <w:sz w:val="22"/>
          <w:szCs w:val="22"/>
          <w:b w:val="1"/>
          <w:bCs w:val="1"/>
          <w:color w:val="auto"/>
        </w:rPr>
        <w:t>Form of Additional Notes</w:t>
      </w:r>
      <w:r>
        <w:rPr>
          <w:rFonts w:ascii="Times New Roman" w:cs="Times New Roman" w:eastAsia="Times New Roman" w:hAnsi="Times New Roman"/>
          <w:sz w:val="19"/>
          <w:szCs w:val="19"/>
          <w:color w:val="auto"/>
        </w:rPr>
        <w:t>. (a) Any Additional Notes of the same series as the Initial Notes will be in the form or forms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in </w:t>
      </w:r>
      <w:r>
        <w:rPr>
          <w:rFonts w:ascii="Times New Roman" w:cs="Times New Roman" w:eastAsia="Times New Roman" w:hAnsi="Times New Roman"/>
          <w:sz w:val="19"/>
          <w:szCs w:val="19"/>
          <w:u w:val="single" w:color="auto"/>
          <w:color w:val="auto"/>
        </w:rPr>
        <w:t>Sections 2.1(a)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as applicable, of the Indenture.</w:t>
      </w:r>
    </w:p>
    <w:p>
      <w:pPr>
        <w:spacing w:after="0" w:line="114" w:lineRule="exact"/>
        <w:rPr>
          <w:sz w:val="20"/>
          <w:szCs w:val="20"/>
          <w:color w:val="auto"/>
        </w:rPr>
      </w:pPr>
    </w:p>
    <w:p>
      <w:pPr>
        <w:ind w:left="1300" w:right="40" w:hanging="644"/>
        <w:spacing w:after="0" w:line="258" w:lineRule="auto"/>
        <w:tabs>
          <w:tab w:leader="none" w:pos="129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Notes of a separate series from the Initial Notes will be in such form or forms, subject to the compliance with all other provisions of the Indenture, as shall be established in or pursuant to an Authorizing Resolution (and set forth in an Authorizing Resolution or, to the extent established pursuant to (rather than as set forth in) such Authorizing Resolution, in an Officer’s Certificate as to such establishment) or in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46" w:name="page147"/>
    <w:bookmarkEnd w:id="146"/>
    <w:p>
      <w:pPr>
        <w:ind w:left="1300" w:right="400"/>
        <w:spacing w:after="0" w:line="283" w:lineRule="auto"/>
        <w:rPr>
          <w:sz w:val="20"/>
          <w:szCs w:val="20"/>
          <w:color w:val="auto"/>
        </w:rPr>
      </w:pPr>
      <w:r>
        <w:rPr>
          <w:rFonts w:ascii="Times New Roman" w:cs="Times New Roman" w:eastAsia="Times New Roman" w:hAnsi="Times New Roman"/>
          <w:sz w:val="20"/>
          <w:szCs w:val="20"/>
          <w:color w:val="auto"/>
        </w:rPr>
        <w:t>more Supplemental Indentures for the Additional Notes permitted to be issued by this Indenture approved pursuant to an Authorizing Resolution.</w:t>
      </w:r>
    </w:p>
    <w:p>
      <w:pPr>
        <w:spacing w:after="0" w:line="146" w:lineRule="exact"/>
        <w:rPr>
          <w:sz w:val="20"/>
          <w:szCs w:val="20"/>
          <w:color w:val="auto"/>
        </w:rPr>
      </w:pPr>
    </w:p>
    <w:p>
      <w:pPr>
        <w:ind w:left="1300" w:right="460" w:hanging="644"/>
        <w:spacing w:after="0" w:line="283" w:lineRule="auto"/>
        <w:tabs>
          <w:tab w:leader="none" w:pos="128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above, the Additional Notes of each series shall be issued as Registered Additional Notes.</w:t>
      </w:r>
    </w:p>
    <w:p>
      <w:pPr>
        <w:spacing w:after="0" w:line="146" w:lineRule="exact"/>
        <w:rPr>
          <w:rFonts w:ascii="Times New Roman" w:cs="Times New Roman" w:eastAsia="Times New Roman" w:hAnsi="Times New Roman"/>
          <w:sz w:val="20"/>
          <w:szCs w:val="20"/>
          <w:color w:val="auto"/>
        </w:rPr>
      </w:pPr>
    </w:p>
    <w:p>
      <w:pPr>
        <w:ind w:left="1300" w:right="40" w:hanging="644"/>
        <w:spacing w:after="0" w:line="253" w:lineRule="auto"/>
        <w:tabs>
          <w:tab w:leader="none" w:pos="129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Notes may be issued, in each case, with such appropriate insertions, omissions, substitutions and other variations as are required or permitted by the Indenture or any Supplemental Indenture for Additional Notes, shall have such legends as may be required by applicable law, and may have such letters, numbers or other marks of identification and such other legends or endorsements placed thereon as may be required to comply with the rules of any securities exchange, clearing organization, or to conform to usage, as may, consistently herewith, be determined by the officers of the Company executing such Additional Notes, as evidenced by their execution of such Additional Notes.</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Additional Note shall be dated the date of its authentication.</w:t>
      </w:r>
    </w:p>
    <w:p>
      <w:pPr>
        <w:spacing w:after="0" w:line="229" w:lineRule="exact"/>
        <w:rPr>
          <w:rFonts w:ascii="Times New Roman" w:cs="Times New Roman" w:eastAsia="Times New Roman" w:hAnsi="Times New Roman"/>
          <w:sz w:val="20"/>
          <w:szCs w:val="20"/>
          <w:color w:val="auto"/>
        </w:rPr>
      </w:pPr>
    </w:p>
    <w:p>
      <w:pPr>
        <w:ind w:left="1300" w:right="120" w:hanging="644"/>
        <w:spacing w:after="0" w:line="251" w:lineRule="auto"/>
        <w:tabs>
          <w:tab w:leader="none" w:pos="129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in issuing the Additional Notes may use “CUSIP,” “CINS,” “ISIN,” “PPN” and other reference numbers (if then generally in use), and, if so, the Trustee shall use “CUSIP,” “CINS,” “ISIN,” “PPN” and other such reference numbers in notices as a convenience to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may state that no representation is made as to the correctness of such numbers either as printed on the Additional Notes or as contained in any notice of a redemption and that reliance may be placed only on the other identification numbers printed on the Additional Notes, and any such redemption shall not be affected by any defect in or omission of such numbers. The Company will promptly notify the Trustee of any changes in the “CUSIP,” “CINS,” “ISIN,” “PPN” or the other such reference numbers.</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D.2</w:t>
      </w:r>
      <w:r>
        <w:rPr>
          <w:sz w:val="20"/>
          <w:szCs w:val="20"/>
          <w:color w:val="auto"/>
        </w:rPr>
        <w:tab/>
      </w:r>
      <w:r>
        <w:rPr>
          <w:rFonts w:ascii="Times New Roman" w:cs="Times New Roman" w:eastAsia="Times New Roman" w:hAnsi="Times New Roman"/>
          <w:sz w:val="22"/>
          <w:szCs w:val="22"/>
          <w:b w:val="1"/>
          <w:bCs w:val="1"/>
          <w:color w:val="auto"/>
        </w:rPr>
        <w:t>Form of Trustee Authentication for Additional Notes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ind w:left="640" w:right="1240" w:firstLine="16"/>
        <w:spacing w:after="0" w:line="489" w:lineRule="auto"/>
        <w:tabs>
          <w:tab w:leader="none" w:pos="1291"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certificate of authentication on all Additional Notes shall be in substantially the following form: “This is one of the Additional Notes of the series designated therein referred to in the within-mentioned Indenture.”</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ò</w:t>
      </w:r>
      <w:r>
        <w:rPr>
          <w:rFonts w:ascii="Times New Roman" w:cs="Times New Roman" w:eastAsia="Times New Roman" w:hAnsi="Times New Roman"/>
          <w:sz w:val="20"/>
          <w:szCs w:val="20"/>
          <w:color w:val="auto"/>
        </w:rPr>
        <w:t xml:space="preserve"> ],</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as Trustee</w:t>
      </w:r>
    </w:p>
    <w:p>
      <w:pPr>
        <w:spacing w:after="0" w:line="194" w:lineRule="exact"/>
        <w:rPr>
          <w:sz w:val="20"/>
          <w:szCs w:val="20"/>
          <w:color w:val="auto"/>
        </w:rPr>
      </w:pPr>
    </w:p>
    <w:p>
      <w:pPr>
        <w:ind w:left="1960"/>
        <w:spacing w:after="0"/>
        <w:tabs>
          <w:tab w:leader="none" w:pos="2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w:t>
      </w:r>
    </w:p>
    <w:p>
      <w:pPr>
        <w:spacing w:after="0" w:line="2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w:t>
      </w:r>
    </w:p>
    <w:p>
      <w:pPr>
        <w:spacing w:after="0" w:line="233"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Times New Roman" w:cs="Times New Roman" w:eastAsia="Times New Roman" w:hAnsi="Times New Roman"/>
          <w:sz w:val="20"/>
          <w:szCs w:val="20"/>
          <w:b w:val="1"/>
          <w:bCs w:val="1"/>
          <w:color w:val="auto"/>
        </w:rPr>
        <w:t>D.1</w:t>
      </w:r>
      <w:r>
        <w:rPr>
          <w:sz w:val="20"/>
          <w:szCs w:val="20"/>
          <w:color w:val="auto"/>
        </w:rPr>
        <w:tab/>
      </w:r>
      <w:r>
        <w:rPr>
          <w:rFonts w:ascii="Times New Roman" w:cs="Times New Roman" w:eastAsia="Times New Roman" w:hAnsi="Times New Roman"/>
          <w:sz w:val="22"/>
          <w:szCs w:val="22"/>
          <w:b w:val="1"/>
          <w:bCs w:val="1"/>
          <w:color w:val="auto"/>
        </w:rPr>
        <w:t>Persons Deemed Owners</w:t>
      </w:r>
      <w:r>
        <w:rPr>
          <w:rFonts w:ascii="Times New Roman" w:cs="Times New Roman" w:eastAsia="Times New Roman" w:hAnsi="Times New Roman"/>
          <w:sz w:val="19"/>
          <w:szCs w:val="19"/>
          <w:color w:val="auto"/>
        </w:rPr>
        <w:t>. The Company, the Trustee and any paying agent, the Additional Note registrar and any other agent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Company or the Trustee in respect of the Additional Notes of any series may treat the Person in whose name any Registered Additional Note of such series is registered as the owner of such Registered Additional Note for the purpose of receiving payment of principal of (and premium, if any) and interest, if any, on such Registered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47" w:name="page148"/>
    <w:bookmarkEnd w:id="147"/>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Note and for all other purposes whatsoever, whether or not such Registered Additional Note be overdue, and neither the Company nor the Trustee nor any paying agent, Additional Note registrar or other agent of the Company or the Trustee in respect of the Registered Additional Notes of such series shall be affected by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0"/>
          <w:szCs w:val="20"/>
          <w:b w:val="1"/>
          <w:bCs w:val="1"/>
          <w:color w:val="auto"/>
        </w:rPr>
        <w:t>Exhibit 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CERTIFICATE FROM</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ACQUIRING INSTITUTIONAL ACCREDITED INVESTOR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 as Trustee and Registrar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1100 North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24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Rio Grande LNG, LLC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Louisiana Street, 39th Floor</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227"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____% Senior Secured Notes due ____ issued by Rio Grande LNG, LLC</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Reference is hereby made to the Indenture, dated as of February 9, 2024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as issuer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Capitalized terms used but not defined herein shall have the meanings given to them in the Indenture.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our proposed purchase of $ _______ aggregate principal amount of a Definitive Note,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confirm that:</w:t>
      </w:r>
    </w:p>
    <w:p>
      <w:pPr>
        <w:spacing w:after="0" w:line="216" w:lineRule="exact"/>
        <w:rPr>
          <w:sz w:val="20"/>
          <w:szCs w:val="20"/>
          <w:color w:val="auto"/>
        </w:rPr>
      </w:pPr>
    </w:p>
    <w:p>
      <w:pPr>
        <w:jc w:val="both"/>
        <w:ind w:left="640" w:hanging="634"/>
        <w:spacing w:after="0" w:line="281" w:lineRule="auto"/>
        <w:rPr>
          <w:sz w:val="20"/>
          <w:szCs w:val="20"/>
          <w:color w:val="auto"/>
        </w:rPr>
      </w:pPr>
      <w:r>
        <w:rPr>
          <w:rFonts w:ascii="Times New Roman" w:cs="Times New Roman" w:eastAsia="Times New Roman" w:hAnsi="Times New Roman"/>
          <w:sz w:val="19"/>
          <w:szCs w:val="19"/>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w:t>
      </w:r>
    </w:p>
    <w:p>
      <w:pPr>
        <w:spacing w:after="0" w:line="137" w:lineRule="exact"/>
        <w:rPr>
          <w:sz w:val="20"/>
          <w:szCs w:val="20"/>
          <w:color w:val="auto"/>
        </w:rPr>
      </w:pPr>
    </w:p>
    <w:p>
      <w:pPr>
        <w:jc w:val="both"/>
        <w:ind w:left="640" w:hanging="634"/>
        <w:spacing w:after="0" w:line="254" w:lineRule="auto"/>
        <w:rPr>
          <w:sz w:val="20"/>
          <w:szCs w:val="20"/>
          <w:color w:val="auto"/>
        </w:rPr>
      </w:pPr>
      <w:r>
        <w:rPr>
          <w:rFonts w:ascii="Times New Roman" w:cs="Times New Roman" w:eastAsia="Times New Roman" w:hAnsi="Times New Roman"/>
          <w:sz w:val="20"/>
          <w:szCs w:val="20"/>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w:t>
      </w:r>
    </w:p>
    <w:p>
      <w:pPr>
        <w:spacing w:after="0" w:line="1" w:lineRule="exact"/>
        <w:rPr>
          <w:sz w:val="20"/>
          <w:szCs w:val="20"/>
          <w:color w:val="auto"/>
        </w:rPr>
      </w:pPr>
    </w:p>
    <w:p>
      <w:pPr>
        <w:jc w:val="both"/>
        <w:ind w:left="640" w:firstLine="3"/>
        <w:spacing w:after="0" w:line="248" w:lineRule="auto"/>
        <w:tabs>
          <w:tab w:leader="none" w:pos="992"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w:t>
      </w:r>
    </w:p>
    <w:p>
      <w:pPr>
        <w:spacing w:after="0" w:line="1" w:lineRule="exact"/>
        <w:rPr>
          <w:rFonts w:ascii="Times New Roman" w:cs="Times New Roman" w:eastAsia="Times New Roman" w:hAnsi="Times New Roman"/>
          <w:sz w:val="20"/>
          <w:szCs w:val="20"/>
          <w:color w:val="auto"/>
        </w:rPr>
      </w:pPr>
    </w:p>
    <w:p>
      <w:pPr>
        <w:jc w:val="both"/>
        <w:ind w:left="640" w:firstLine="3"/>
        <w:spacing w:after="0" w:line="259" w:lineRule="auto"/>
        <w:tabs>
          <w:tab w:leader="none" w:pos="967"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from us in a transaction meeting the requirements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w:t>
      </w:r>
    </w:p>
    <w:p>
      <w:pPr>
        <w:spacing w:after="0" w:line="1" w:lineRule="exact"/>
        <w:rPr>
          <w:rFonts w:ascii="Times New Roman" w:cs="Times New Roman" w:eastAsia="Times New Roman" w:hAnsi="Times New Roman"/>
          <w:sz w:val="19"/>
          <w:szCs w:val="19"/>
          <w:color w:val="auto"/>
        </w:rPr>
      </w:pPr>
    </w:p>
    <w:p>
      <w:pPr>
        <w:ind w:left="940" w:hanging="297"/>
        <w:spacing w:after="0"/>
        <w:tabs>
          <w:tab w:leader="none" w:pos="940" w:val="left"/>
        </w:tabs>
        <w:numPr>
          <w:ilvl w:val="0"/>
          <w:numId w:val="1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this paragraph a notice advising such purchaser that resales thereof are restricted as stated herein.</w:t>
      </w:r>
    </w:p>
    <w:p>
      <w:pPr>
        <w:spacing w:after="0" w:line="187" w:lineRule="exact"/>
        <w:rPr>
          <w:sz w:val="20"/>
          <w:szCs w:val="20"/>
          <w:color w:val="auto"/>
        </w:rPr>
      </w:pPr>
    </w:p>
    <w:p>
      <w:pPr>
        <w:jc w:val="both"/>
        <w:ind w:left="640" w:hanging="634"/>
        <w:spacing w:after="0" w:line="261" w:lineRule="auto"/>
        <w:rPr>
          <w:sz w:val="20"/>
          <w:szCs w:val="20"/>
          <w:color w:val="auto"/>
        </w:rPr>
      </w:pPr>
      <w:r>
        <w:rPr>
          <w:rFonts w:ascii="Times New Roman" w:cs="Times New Roman" w:eastAsia="Times New Roman" w:hAnsi="Times New Roman"/>
          <w:sz w:val="20"/>
          <w:szCs w:val="20"/>
          <w:color w:val="auto"/>
        </w:rPr>
        <w:t>We understand that, on any proposed resale of the Notes,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49" w:name="page150"/>
    <w:bookmarkEnd w:id="149"/>
    <w:p>
      <w:pPr>
        <w:jc w:val="both"/>
        <w:ind w:left="640" w:hanging="634"/>
        <w:spacing w:after="0" w:line="258" w:lineRule="auto"/>
        <w:rPr>
          <w:sz w:val="20"/>
          <w:szCs w:val="20"/>
          <w:color w:val="auto"/>
        </w:rPr>
      </w:pPr>
      <w:r>
        <w:rPr>
          <w:rFonts w:ascii="Times New Roman" w:cs="Times New Roman" w:eastAsia="Times New Roman" w:hAnsi="Times New Roman"/>
          <w:sz w:val="20"/>
          <w:szCs w:val="20"/>
          <w:color w:val="auto"/>
        </w:rPr>
        <w:t>We are an institutional “accredited investor” (as defined in Rule 501(a)(1), (2), (3), (7) or (9)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59" w:lineRule="exact"/>
        <w:rPr>
          <w:sz w:val="20"/>
          <w:szCs w:val="20"/>
          <w:color w:val="auto"/>
        </w:rPr>
      </w:pPr>
    </w:p>
    <w:p>
      <w:pPr>
        <w:jc w:val="both"/>
        <w:ind w:left="640" w:right="20" w:hanging="634"/>
        <w:spacing w:after="0" w:line="283" w:lineRule="auto"/>
        <w:rPr>
          <w:sz w:val="20"/>
          <w:szCs w:val="20"/>
          <w:color w:val="auto"/>
        </w:rPr>
      </w:pPr>
      <w:r>
        <w:rPr>
          <w:rFonts w:ascii="Times New Roman" w:cs="Times New Roman" w:eastAsia="Times New Roman" w:hAnsi="Times New Roman"/>
          <w:sz w:val="20"/>
          <w:szCs w:val="20"/>
          <w:color w:val="auto"/>
        </w:rPr>
        <w:t>We are acquiring the Notes purchased by us for our own account or for one or more accounts (each of which is an institutional “accredited investor”) as to each of which we exercise sole investment discretion.</w:t>
      </w:r>
    </w:p>
    <w:p>
      <w:pPr>
        <w:spacing w:after="0" w:line="1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235585</wp:posOffset>
            </wp:positionV>
            <wp:extent cx="1257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[Insert Name of Accredited Investor]</w:t>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0"/>
          <w:szCs w:val="20"/>
          <w:b w:val="1"/>
          <w:bCs w:val="1"/>
          <w:color w:val="auto"/>
        </w:rPr>
        <w:t>EXHIBIT 2.15-A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(For Non-U.S. Noteholders that are Not Partnerships for U.S. Federal Income Tax Purposes)</w:t>
      </w:r>
    </w:p>
    <w:p>
      <w:pPr>
        <w:spacing w:after="0" w:line="20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9"/>
          <w:szCs w:val="19"/>
          <w:color w:val="auto"/>
        </w:rPr>
        <w:t>Date [__________]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 19890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 as the Issuer</w:t>
      </w:r>
    </w:p>
    <w:p>
      <w:pPr>
        <w:spacing w:after="0" w:line="220"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Graham A. McArthur, Senior Vice President, Treasurer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gmcarthur@next-decade.com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13"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corporatesecretary@next-decade.com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Indenture, dated as of February 9, 2024 (as amended, amended and restated, modified,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by and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registrar and paying agent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from time to time. All capitalized terms used herein shall have the respective meanings specified in the Indenture (or, if not defined therein, the Common Terms Agreement) unless otherwise defined herein or unless the context requires otherwise.</w:t>
      </w:r>
    </w:p>
    <w:p>
      <w:pPr>
        <w:spacing w:after="0" w:line="16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9"/>
          <w:szCs w:val="19"/>
          <w:color w:val="auto"/>
        </w:rPr>
        <w:t>Pursuant to the provisions of Section 2.15 of the Indenture, the undersigned hereby certifies that (i) it is the sole record and beneficial owner of the Notes in respect of which it is providing this certificate, (ii) it is not a “bank” within the meaning of Section 881(c)(3)</w:t>
      </w:r>
    </w:p>
    <w:p>
      <w:pPr>
        <w:spacing w:after="0" w:line="1" w:lineRule="exact"/>
        <w:rPr>
          <w:sz w:val="20"/>
          <w:szCs w:val="20"/>
          <w:color w:val="auto"/>
        </w:rPr>
      </w:pPr>
    </w:p>
    <w:p>
      <w:pPr>
        <w:ind w:firstLine="8"/>
        <w:spacing w:after="0" w:line="253" w:lineRule="auto"/>
        <w:tabs>
          <w:tab w:leader="none" w:pos="32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(iii) it is not a “ten percent shareholder” of the Company within the meaning of Section 871(h)(3)(B) of the Code, and (iv) it is not a “controlled foreign corporation” related to the Company as described in Section 881(c)(3)(C) of the Code.</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The undersigned has furnished the Trustee and the Company with a certificate of its non-U.S. Person status on IRS Form W-8BEN or IRS Form W-8BEN-E, as applicable. By executing this certificate, the undersigned agrees that (1) if the information provided in this certificate changes, the undersigned shall promptly so inform the Company and the Trustee, and (2) the undersigned shall have at all times furnished the Company and the Trustee with a properly completed and currently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51" w:name="page152"/>
    <w:bookmarkEnd w:id="151"/>
    <w:p>
      <w:pPr>
        <w:spacing w:after="0" w:line="283" w:lineRule="auto"/>
        <w:rPr>
          <w:sz w:val="20"/>
          <w:szCs w:val="20"/>
          <w:color w:val="auto"/>
        </w:rPr>
      </w:pPr>
      <w:r>
        <w:rPr>
          <w:rFonts w:ascii="Times New Roman" w:cs="Times New Roman" w:eastAsia="Times New Roman" w:hAnsi="Times New Roman"/>
          <w:sz w:val="20"/>
          <w:szCs w:val="20"/>
          <w:color w:val="auto"/>
        </w:rPr>
        <w:t>certificate in either the calendar year in which each payment is to be made to the undersigned, or in either of the two calendar years preceding such payments.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52" w:name="page153"/>
    <w:bookmarkEnd w:id="152"/>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and delivered this Certificate as a duly authorized representative of the [</w:t>
      </w:r>
      <w:r>
        <w:rPr>
          <w:rFonts w:ascii="Times New Roman" w:cs="Times New Roman" w:eastAsia="Times New Roman" w:hAnsi="Times New Roman"/>
          <w:sz w:val="20"/>
          <w:szCs w:val="20"/>
          <w:b w:val="1"/>
          <w:bCs w:val="1"/>
          <w:i w:val="1"/>
          <w:iCs w:val="1"/>
          <w:color w:val="auto"/>
        </w:rPr>
        <w:t>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Noteholder</w:t>
      </w:r>
      <w:r>
        <w:rPr>
          <w:rFonts w:ascii="Times New Roman" w:cs="Times New Roman" w:eastAsia="Times New Roman" w:hAnsi="Times New Roman"/>
          <w:sz w:val="20"/>
          <w:szCs w:val="20"/>
          <w:color w:val="auto"/>
        </w:rPr>
        <w:t>] as of the date and year first written above.</w:t>
      </w:r>
    </w:p>
    <w:p>
      <w:pPr>
        <w:spacing w:after="0" w:line="18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OF NOTEHOLDER]</w:t>
      </w:r>
    </w:p>
    <w:p>
      <w:pPr>
        <w:spacing w:after="0" w:line="200" w:lineRule="exact"/>
        <w:rPr>
          <w:sz w:val="20"/>
          <w:szCs w:val="20"/>
          <w:color w:val="auto"/>
        </w:rPr>
      </w:pPr>
    </w:p>
    <w:p>
      <w:pPr>
        <w:spacing w:after="0" w:line="2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5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20"/>
          <w:szCs w:val="20"/>
          <w:b w:val="1"/>
          <w:bCs w:val="1"/>
          <w:color w:val="auto"/>
        </w:rPr>
        <w:t>EXHIBIT 2.15-B</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(For Non-U.S. Participants that are Not Partnerships for U.S. Federal Income Tax Purposes)</w:t>
      </w:r>
    </w:p>
    <w:p>
      <w:pPr>
        <w:spacing w:after="0" w:line="20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9"/>
          <w:szCs w:val="19"/>
          <w:color w:val="auto"/>
        </w:rPr>
        <w:t>Date [__________]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 19890</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 as the Issuer</w:t>
      </w:r>
    </w:p>
    <w:p>
      <w:pPr>
        <w:spacing w:after="0" w:line="220"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Graham A. McArthur, Senior Vice President, Treasurer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gmcarthur@next-decade.com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13"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corporatesecretary@next-decade.com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Indenture, dated as of February 9, 2024 (as amended, amended and restated, modified,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by and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registrar and paying agent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from time to time. All capitalized terms used herein shall have the respective meanings specified in the Indenture (or, if not defined therein, the Common Terms Agreement) unless otherwise defined herein or unless the context requires otherwise.</w:t>
      </w:r>
    </w:p>
    <w:p>
      <w:pPr>
        <w:spacing w:after="0" w:line="16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Pursuant to the provisions of Section 2.15 of the Indenture, the undersigned hereby certifies that (i) it is the sole record and beneficial owner of the participation in respect of which it is providing this certificate, (ii) it is not a “bank” within the meaning of Section 881(c)(3)(A) of the Code, (iii) it is not a “ten percent shareholder” of the Company within the meaning of Section 871(h)(3)(B) of the Code, and (iv) it is not a “controlled foreign corporation” related to the Company as described in Section 881(c)(3)(C) of the Code.</w:t>
      </w:r>
    </w:p>
    <w:p>
      <w:pPr>
        <w:spacing w:after="0" w:line="17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The undersigned has furnished its participating Noteholder with a certificate of its non-U.S. Person status on IRS Form W-8BEN or IRS Form W-8BEN-E, as applicable. By executing this certificate, the undersigned agrees that (1) if the information provided in this certificate changes, the undersigned shall promptly so inform such Noteholder in writing, and (2) the undersigned shall have at all times furnished such Noteholder with a properly completed and currently effective certificate in either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9"/>
          <w:szCs w:val="19"/>
          <w:color w:val="auto"/>
        </w:rPr>
        <w:t>calendar year in which each payment is to be made to the undersigned, or in either of the two calendar years preceding such payments.</w:t>
      </w:r>
    </w:p>
    <w:p>
      <w:pPr>
        <w:spacing w:after="0" w:line="21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0660"/>
          </w:cols>
          <w:pgMar w:left="320" w:top="1413" w:right="919" w:bottom="1440" w:gutter="0" w:footer="0" w:header="0"/>
        </w:sectPr>
      </w:pPr>
    </w:p>
    <w:bookmarkStart w:id="155" w:name="page156"/>
    <w:bookmarkEnd w:id="155"/>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and delivered this Certificate as a duly authorized representative of the [</w:t>
      </w:r>
      <w:r>
        <w:rPr>
          <w:rFonts w:ascii="Times New Roman" w:cs="Times New Roman" w:eastAsia="Times New Roman" w:hAnsi="Times New Roman"/>
          <w:sz w:val="20"/>
          <w:szCs w:val="20"/>
          <w:b w:val="1"/>
          <w:bCs w:val="1"/>
          <w:i w:val="1"/>
          <w:iCs w:val="1"/>
          <w:color w:val="auto"/>
        </w:rPr>
        <w:t>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as of the date and year first written above.</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0" w:lineRule="exact"/>
        <w:rPr>
          <w:sz w:val="20"/>
          <w:szCs w:val="20"/>
          <w:color w:val="auto"/>
        </w:rPr>
      </w:pP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0"/>
          <w:szCs w:val="20"/>
          <w:b w:val="1"/>
          <w:bCs w:val="1"/>
          <w:color w:val="auto"/>
        </w:rPr>
        <w:t>EXHIBIT 2.15-C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(For Non-U.S. Participants that are Partnerships for U.S. Federal Income Tax Purposes)</w:t>
      </w:r>
    </w:p>
    <w:p>
      <w:pPr>
        <w:spacing w:after="0" w:line="20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9"/>
          <w:szCs w:val="19"/>
          <w:color w:val="auto"/>
        </w:rPr>
        <w:t>Date [__________]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 19890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 as the Issuer</w:t>
      </w:r>
    </w:p>
    <w:p>
      <w:pPr>
        <w:spacing w:after="0" w:line="220"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Graham A. McArthur, Senior Vice President, Treasurer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gmcarthur@next-decade.com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13"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corporatesecretary@next-decade.com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Indenture, dated as of February 9, 2024 (as amended, amended and restated, modified,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by and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registrar and paying agent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from time to time. All capitalized terms used herein shall have the respective meanings specified in the Indenture (or, if not defined therein, the Common Terms Agreement) unless otherwise defined herein or unless the context requires otherwise.</w:t>
      </w:r>
    </w:p>
    <w:p>
      <w:pPr>
        <w:spacing w:after="0" w:line="1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Pursuant to the provisions of Section 2.15 of the Indenture,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Company within the meaning of Section 871(h)(3)(B) of the Code, and (v) none of its direct or indirect partners/members is a “controlled foreign corporation” related to the Company as described in Section 881(c)(3)(C) of the Code.</w:t>
      </w:r>
    </w:p>
    <w:p>
      <w:pPr>
        <w:spacing w:after="0" w:line="16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The undersigned has furnished its participating Noteholder with IRS Form W-8IMY accompanied by one of the following forms from each of its partners/members that is claiming the portfolio interest exemption: (i) an IRS Form W-8BEN or an IRS Form W-8BEN-E, as applicable, or</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type w:val="continuous"/>
        </w:sectPr>
      </w:pPr>
    </w:p>
    <w:bookmarkStart w:id="157" w:name="page158"/>
    <w:bookmarkEnd w:id="157"/>
    <w:p>
      <w:pPr>
        <w:jc w:val="both"/>
        <w:ind w:firstLine="8"/>
        <w:spacing w:after="0" w:line="253" w:lineRule="auto"/>
        <w:tabs>
          <w:tab w:leader="none" w:pos="34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IRS Form W-8IMY accompanied by an IRS Form W-8BEN or an IRS Form W-8BEN-E, as applicable, from each of such partner’s/member’s beneficial owners that is claiming the portfolio interest exemption. By executing this certificate, the undersigned agrees that (1) if the information provided in this certificate changes, the undersigned shall promptly so inform such Noteholder and (2) the undersigned shall have at all times furnished such Noteholder with a properly completed and currently effective certificate in either the calendar year in which each payment is to be made to the undersigned, or in either of the two calendar years preceding such payments.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58" w:name="page159"/>
    <w:bookmarkEnd w:id="158"/>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and delivered this Certificate as a duly authorized representative of the [</w:t>
      </w:r>
      <w:r>
        <w:rPr>
          <w:rFonts w:ascii="Times New Roman" w:cs="Times New Roman" w:eastAsia="Times New Roman" w:hAnsi="Times New Roman"/>
          <w:sz w:val="20"/>
          <w:szCs w:val="20"/>
          <w:b w:val="1"/>
          <w:bCs w:val="1"/>
          <w:i w:val="1"/>
          <w:iCs w:val="1"/>
          <w:color w:val="auto"/>
        </w:rPr>
        <w:t>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as of the date and year first written above.</w:t>
      </w:r>
    </w:p>
    <w:p>
      <w:pPr>
        <w:spacing w:after="0" w:line="18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0"/>
          <w:szCs w:val="20"/>
          <w:b w:val="1"/>
          <w:bCs w:val="1"/>
          <w:color w:val="auto"/>
        </w:rPr>
        <w:t>EXHIBIT 2.15-D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(For Non-U.S. Noteholders that are Partnerships for U.S. Federal Income Tax Purposes)</w:t>
      </w:r>
    </w:p>
    <w:p>
      <w:pPr>
        <w:spacing w:after="0" w:line="20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9"/>
          <w:szCs w:val="19"/>
          <w:color w:val="auto"/>
        </w:rPr>
        <w:t>Date [__________]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 19890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 as the Issuer</w:t>
      </w:r>
    </w:p>
    <w:p>
      <w:pPr>
        <w:spacing w:after="0" w:line="220"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Graham A. McArthur, Senior Vice President, Treasurer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gmcarthur@next-decade.com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13"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corporatesecretary@next-decade.com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Indenture, dated as of February 9, 2024 (as amended, amended and restated, modified,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by and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registrar and paying agent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from time to time. All capitalized terms used herein shall have the respective meanings specified in the Indenture (or, if not defined therein, the Common Terms Agreement) unless otherwise defined herein or unless the context requires otherwise.</w:t>
      </w:r>
    </w:p>
    <w:p>
      <w:pPr>
        <w:spacing w:after="0" w:line="1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Pursuant to the provisions of Section 2.15 of the Indenture, the undersigned hereby certifies that (i) it is the sole record owner of the Notes in respect of which it is providing this certificate, (ii) its direct or indirect partners/members are the sole beneficial owners of such Notes, (iii) with respect to the extension of indebtedness pursuant to the Indenture or any other P1 Financing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Company within the meaning of Section 871(h)(3)(B) of the Code, and (v) none of its direct or indirect partners/members is a “controlled foreign corporation” related to the Company as described in Section 881(c)(3)(C) of the Code.</w:t>
      </w:r>
    </w:p>
    <w:p>
      <w:pPr>
        <w:spacing w:after="0" w:line="167"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The undersigned has furnished the Trustee and the Company with IRS Form W-8IMY accompanied by one of the following forms from each of its partners/members that is claiming the</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type w:val="continuous"/>
        </w:sectPr>
      </w:pPr>
    </w:p>
    <w:bookmarkStart w:id="160" w:name="page161"/>
    <w:bookmarkEnd w:id="160"/>
    <w:p>
      <w:pPr>
        <w:jc w:val="both"/>
        <w:spacing w:after="0" w:line="253" w:lineRule="auto"/>
        <w:rPr>
          <w:sz w:val="20"/>
          <w:szCs w:val="20"/>
          <w:color w:val="auto"/>
        </w:rPr>
      </w:pPr>
      <w:r>
        <w:rPr>
          <w:rFonts w:ascii="Times New Roman" w:cs="Times New Roman" w:eastAsia="Times New Roman" w:hAnsi="Times New Roman"/>
          <w:sz w:val="20"/>
          <w:szCs w:val="20"/>
          <w:color w:val="auto"/>
        </w:rPr>
        <w:t>portfolio interest exemption: (i) an IRS Form W-8BEN or an IRS Form W-8BEN-E, as applicable, or (ii) an IRS Form W-8IMY accompanied by an IRS Form W-8BEN or an IRS Form W-8BEN-E, as applicable, from each of such partner’s/member’s beneficial owners that is claiming the portfolio interest exemption. By executing this certificate, the undersigned agrees that (1) if the information provided in this certificate changes, the undersigned shall promptly so inform the Company and the Trustee, and (2) the undersigned shall have at all times furnished the Company and the Trustee with a properly completed and currently effective certificate in either the calendar year in which each payment is to be made to the undersigned, or in either of the two calendar years preceding such payments.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13" w:right="339" w:bottom="1440" w:gutter="0" w:footer="0" w:header="0"/>
        </w:sectPr>
      </w:pPr>
    </w:p>
    <w:bookmarkStart w:id="161" w:name="page162"/>
    <w:bookmarkEnd w:id="161"/>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and delivered this Certificate as a duly authorized representative of the [</w:t>
      </w:r>
      <w:r>
        <w:rPr>
          <w:rFonts w:ascii="Times New Roman" w:cs="Times New Roman" w:eastAsia="Times New Roman" w:hAnsi="Times New Roman"/>
          <w:sz w:val="20"/>
          <w:szCs w:val="20"/>
          <w:b w:val="1"/>
          <w:bCs w:val="1"/>
          <w:i w:val="1"/>
          <w:iCs w:val="1"/>
          <w:color w:val="auto"/>
        </w:rPr>
        <w:t>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Noteholder</w:t>
      </w:r>
      <w:r>
        <w:rPr>
          <w:rFonts w:ascii="Times New Roman" w:cs="Times New Roman" w:eastAsia="Times New Roman" w:hAnsi="Times New Roman"/>
          <w:sz w:val="20"/>
          <w:szCs w:val="20"/>
          <w:color w:val="auto"/>
        </w:rPr>
        <w:t>] as of the date and year first written above.</w:t>
      </w:r>
    </w:p>
    <w:p>
      <w:pPr>
        <w:spacing w:after="0" w:line="18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[NAME OF NOTEHOLDER]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|US-DOCS\147609930.17||</w:t>
      </w:r>
    </w:p>
    <w:p>
      <w:pPr>
        <w:sectPr>
          <w:pgSz w:w="11900" w:h="16838" w:orient="portrait"/>
          <w:cols w:equalWidth="0" w:num="1">
            <w:col w:w="11240"/>
          </w:cols>
          <w:pgMar w:left="320" w:top="1409" w:right="339" w:bottom="1440" w:gutter="0" w:footer="0" w:header="0"/>
        </w:sectPr>
      </w:pPr>
    </w:p>
    <w:bookmarkStart w:id="162" w:name="page163"/>
    <w:bookmarkEnd w:id="162"/>
    <w:p>
      <w:pPr>
        <w:spacing w:after="0" w:line="218" w:lineRule="auto"/>
        <w:framePr w:w="5400" w:h="376" w:wrap="auto" w:vAnchor="page" w:hAnchor="page" w:x="420" w:y="350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Trains 1 and 2</w:t>
      </w:r>
    </w:p>
    <w:p>
      <w:pPr>
        <w:spacing w:after="0" w:line="185" w:lineRule="auto"/>
        <w:framePr w:w="2580" w:h="160" w:wrap="auto" w:vAnchor="page" w:hAnchor="page" w:x="420" w:y="4057"/>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196" w:lineRule="auto"/>
        <w:framePr w:w="2920" w:h="160" w:wrap="auto" w:vAnchor="page" w:hAnchor="page" w:x="420" w:y="4367"/>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CONTRACTOR: </w:t>
      </w:r>
      <w:r>
        <w:rPr>
          <w:rFonts w:ascii="Times New Roman" w:cs="Times New Roman" w:eastAsia="Times New Roman" w:hAnsi="Times New Roman"/>
          <w:sz w:val="17"/>
          <w:szCs w:val="17"/>
          <w:color w:val="auto"/>
        </w:rPr>
        <w:t>Bechtel Energy Inc.</w:t>
      </w:r>
    </w:p>
    <w:p>
      <w:pPr>
        <w:spacing w:after="0" w:line="185" w:lineRule="auto"/>
        <w:framePr w:w="4940" w:h="160" w:wrap="auto" w:vAnchor="page" w:hAnchor="page" w:x="420" w:y="3193"/>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5" w:lineRule="exact"/>
        <w:rPr>
          <w:rFonts w:ascii="Times New Roman" w:cs="Times New Roman" w:eastAsia="Times New Roman" w:hAnsi="Times New Roman"/>
          <w:sz w:val="18"/>
          <w:szCs w:val="18"/>
          <w:b w:val="1"/>
          <w:bCs w:val="1"/>
          <w:color w:val="auto"/>
        </w:rPr>
      </w:pPr>
    </w:p>
    <w:p>
      <w:pPr>
        <w:jc w:val="center"/>
        <w:ind w:right="80"/>
        <w:spacing w:after="0" w:line="266" w:lineRule="auto"/>
        <w:rPr>
          <w:sz w:val="20"/>
          <w:szCs w:val="20"/>
          <w:color w:val="auto"/>
        </w:rPr>
      </w:pPr>
      <w:r>
        <w:rPr>
          <w:rFonts w:ascii="Times New Roman" w:cs="Times New Roman" w:eastAsia="Times New Roman" w:hAnsi="Times New Roman"/>
          <w:sz w:val="18"/>
          <w:szCs w:val="18"/>
          <w:color w:val="auto"/>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spacing w:after="0" w:line="311" w:lineRule="exact"/>
        <w:rPr>
          <w:rFonts w:ascii="Times New Roman" w:cs="Times New Roman" w:eastAsia="Times New Roman" w:hAnsi="Times New Roman"/>
          <w:sz w:val="18"/>
          <w:szCs w:val="18"/>
          <w:b w:val="1"/>
          <w:bCs w:val="1"/>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25" w:lineRule="exact"/>
        <w:rPr>
          <w:rFonts w:ascii="Times New Roman" w:cs="Times New Roman" w:eastAsia="Times New Roman" w:hAnsi="Times New Roman"/>
          <w:sz w:val="18"/>
          <w:szCs w:val="18"/>
          <w:b w:val="1"/>
          <w:bCs w:val="1"/>
          <w:color w:val="auto"/>
        </w:rPr>
      </w:pPr>
    </w:p>
    <w:p>
      <w:pPr>
        <w:ind w:left="154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27" w:lineRule="exact"/>
        <w:rPr>
          <w:rFonts w:ascii="Times New Roman" w:cs="Times New Roman" w:eastAsia="Times New Roman" w:hAnsi="Times New Roman"/>
          <w:sz w:val="18"/>
          <w:szCs w:val="18"/>
          <w:b w:val="1"/>
          <w:bCs w:val="1"/>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14, 2022</w:t>
      </w:r>
    </w:p>
    <w:p>
      <w:pPr>
        <w:spacing w:after="0" w:line="95" w:lineRule="exact"/>
        <w:rPr>
          <w:rFonts w:ascii="Times New Roman" w:cs="Times New Roman" w:eastAsia="Times New Roman" w:hAnsi="Times New Roman"/>
          <w:sz w:val="18"/>
          <w:szCs w:val="18"/>
          <w:b w:val="1"/>
          <w:bCs w:val="1"/>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29" w:lineRule="exact"/>
        <w:rPr>
          <w:rFonts w:ascii="Times New Roman" w:cs="Times New Roman" w:eastAsia="Times New Roman" w:hAnsi="Times New Roman"/>
          <w:sz w:val="18"/>
          <w:szCs w:val="18"/>
          <w:b w:val="1"/>
          <w:bCs w:val="1"/>
          <w:color w:val="auto"/>
        </w:rPr>
      </w:pPr>
    </w:p>
    <w:p>
      <w:pPr>
        <w:ind w:left="5740"/>
        <w:spacing w:after="0"/>
        <w:rPr>
          <w:sz w:val="20"/>
          <w:szCs w:val="20"/>
          <w:color w:val="auto"/>
        </w:rPr>
      </w:pPr>
      <w:r>
        <w:rPr>
          <w:rFonts w:ascii="Times New Roman" w:cs="Times New Roman" w:eastAsia="Times New Roman" w:hAnsi="Times New Roman"/>
          <w:sz w:val="18"/>
          <w:szCs w:val="18"/>
          <w:color w:val="auto"/>
        </w:rPr>
        <w:t>Owner EC Number: EC00093</w:t>
      </w:r>
    </w:p>
    <w:p>
      <w:pPr>
        <w:ind w:left="5600"/>
        <w:spacing w:after="0"/>
        <w:rPr>
          <w:sz w:val="20"/>
          <w:szCs w:val="20"/>
          <w:color w:val="auto"/>
        </w:rPr>
      </w:pPr>
      <w:r>
        <w:rPr>
          <w:rFonts w:ascii="Times New Roman" w:cs="Times New Roman" w:eastAsia="Times New Roman" w:hAnsi="Times New Roman"/>
          <w:sz w:val="18"/>
          <w:szCs w:val="18"/>
          <w:color w:val="auto"/>
        </w:rPr>
        <w:t>Contractor Change Number SC0074</w:t>
      </w:r>
    </w:p>
    <w:p>
      <w:pPr>
        <w:spacing w:after="0" w:line="66" w:lineRule="exact"/>
        <w:rPr>
          <w:rFonts w:ascii="Times New Roman" w:cs="Times New Roman" w:eastAsia="Times New Roman" w:hAnsi="Times New Roman"/>
          <w:sz w:val="18"/>
          <w:szCs w:val="18"/>
          <w:b w:val="1"/>
          <w:bCs w:val="1"/>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rFonts w:ascii="Times New Roman" w:cs="Times New Roman" w:eastAsia="Times New Roman" w:hAnsi="Times New Roman"/>
          <w:sz w:val="18"/>
          <w:szCs w:val="18"/>
          <w:b w:val="1"/>
          <w:bCs w:val="1"/>
          <w:color w:val="auto"/>
        </w:rPr>
      </w:pPr>
    </w:p>
    <w:p>
      <w:pPr>
        <w:ind w:left="5740"/>
        <w:spacing w:after="0"/>
        <w:rPr>
          <w:sz w:val="20"/>
          <w:szCs w:val="20"/>
          <w:color w:val="auto"/>
        </w:rPr>
      </w:pPr>
      <w:r>
        <w:rPr>
          <w:rFonts w:ascii="Times New Roman" w:cs="Times New Roman" w:eastAsia="Times New Roman" w:hAnsi="Times New Roman"/>
          <w:sz w:val="18"/>
          <w:szCs w:val="18"/>
          <w:color w:val="auto"/>
        </w:rPr>
        <w:t>January 10, 2024</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2"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400" w:top="590"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-65405</wp:posOffset>
            </wp:positionV>
            <wp:extent cx="538353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ATTACHMENT JJ – INSURANCE (INTERIM ADJUSTMENT)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56" w:lineRule="exact"/>
        <w:rPr>
          <w:sz w:val="20"/>
          <w:szCs w:val="20"/>
          <w:color w:val="auto"/>
        </w:rPr>
      </w:pPr>
    </w:p>
    <w:p>
      <w:pPr>
        <w:ind w:left="60" w:right="620"/>
        <w:spacing w:after="0" w:line="282" w:lineRule="auto"/>
        <w:rPr>
          <w:sz w:val="20"/>
          <w:szCs w:val="20"/>
          <w:color w:val="auto"/>
        </w:rPr>
      </w:pPr>
      <w:r>
        <w:rPr>
          <w:rFonts w:ascii="Times New Roman" w:cs="Times New Roman" w:eastAsia="Times New Roman" w:hAnsi="Times New Roman"/>
          <w:sz w:val="18"/>
          <w:szCs w:val="18"/>
          <w:color w:val="auto"/>
        </w:rPr>
        <w:t>Pursuant to Attachment JJ, Section 1.2B (Interim Adjustment), Owner and Contractor shall execute a Change Order in accordance with Article 6 of the Agreement to amend the Insurance Provisional Sum amount in the Agreement to the Anticipated Actual Insurance Cost.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66" w:lineRule="exact"/>
        <w:rPr>
          <w:sz w:val="20"/>
          <w:szCs w:val="20"/>
          <w:color w:val="auto"/>
        </w:rPr>
      </w:pPr>
    </w:p>
    <w:p>
      <w:pPr>
        <w:ind w:left="360" w:hanging="306"/>
        <w:spacing w:after="0"/>
        <w:tabs>
          <w:tab w:leader="none" w:pos="3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JJ (Provisional Sums)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w:t>
      </w:r>
    </w:p>
    <w:p>
      <w:pPr>
        <w:spacing w:after="0" w:line="252" w:lineRule="exact"/>
        <w:rPr>
          <w:rFonts w:ascii="Times New Roman" w:cs="Times New Roman" w:eastAsia="Times New Roman" w:hAnsi="Times New Roman"/>
          <w:sz w:val="18"/>
          <w:szCs w:val="18"/>
          <w:color w:val="auto"/>
        </w:rPr>
      </w:pPr>
    </w:p>
    <w:p>
      <w:pPr>
        <w:ind w:left="380" w:right="560" w:hanging="326"/>
        <w:spacing w:after="0" w:line="286" w:lineRule="auto"/>
        <w:tabs>
          <w:tab w:leader="none" w:pos="47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color w:val="auto"/>
        </w:rPr>
        <w:t>; shall be updated per the First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Appendix 1 (Contract Price Breakdown) as provided in Attachment 1 to this Change Order.</w:t>
      </w:r>
    </w:p>
    <w:p>
      <w:pPr>
        <w:spacing w:after="0" w:line="181" w:lineRule="exact"/>
        <w:rPr>
          <w:rFonts w:ascii="Times New Roman" w:cs="Times New Roman" w:eastAsia="Times New Roman" w:hAnsi="Times New Roman"/>
          <w:sz w:val="18"/>
          <w:szCs w:val="18"/>
          <w:color w:val="auto"/>
        </w:rPr>
      </w:pPr>
    </w:p>
    <w:p>
      <w:pPr>
        <w:ind w:left="380" w:right="560" w:hanging="326"/>
        <w:spacing w:after="0" w:line="286" w:lineRule="auto"/>
        <w:tabs>
          <w:tab w:leader="none" w:pos="3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color w:val="auto"/>
        </w:rPr>
        <w:t>; shall be updated per the First Amended Schedule C-2 (Payment Milestones) as provided in Attachment 2 to this Change Order.</w:t>
      </w:r>
    </w:p>
    <w:p>
      <w:pPr>
        <w:spacing w:after="0" w:line="195" w:lineRule="exact"/>
        <w:rPr>
          <w:rFonts w:ascii="Times New Roman" w:cs="Times New Roman" w:eastAsia="Times New Roman" w:hAnsi="Times New Roman"/>
          <w:sz w:val="18"/>
          <w:szCs w:val="18"/>
          <w:color w:val="auto"/>
        </w:rPr>
      </w:pPr>
    </w:p>
    <w:p>
      <w:pPr>
        <w:ind w:left="380" w:right="560" w:hanging="326"/>
        <w:spacing w:after="0" w:line="286" w:lineRule="auto"/>
        <w:tabs>
          <w:tab w:leader="none" w:pos="3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r>
        <w:rPr>
          <w:rFonts w:ascii="Times New Roman" w:cs="Times New Roman" w:eastAsia="Times New Roman" w:hAnsi="Times New Roman"/>
          <w:sz w:val="18"/>
          <w:szCs w:val="18"/>
          <w:color w:val="auto"/>
        </w:rPr>
        <w:t>; shall be updated per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Schedule C-3 (Maximum Cumulative Payment Schedule) as provided in Attachment 3 to this Change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400" w:top="590"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27" w:lineRule="exact"/>
        <w:rPr>
          <w:sz w:val="20"/>
          <w:szCs w:val="20"/>
          <w:color w:val="auto"/>
        </w:rPr>
      </w:pPr>
    </w:p>
    <w:p>
      <w:pPr>
        <w:ind w:left="540" w:right="2980"/>
        <w:spacing w:after="0" w:line="260" w:lineRule="auto"/>
        <w:rPr>
          <w:sz w:val="20"/>
          <w:szCs w:val="20"/>
          <w:color w:val="auto"/>
        </w:rPr>
      </w:pPr>
      <w:r>
        <w:rPr>
          <w:rFonts w:ascii="Times New Roman" w:cs="Times New Roman" w:eastAsia="Times New Roman" w:hAnsi="Times New Roman"/>
          <w:sz w:val="18"/>
          <w:szCs w:val="18"/>
          <w:color w:val="auto"/>
        </w:rPr>
        <w:t>Attachment 1 – First Amended Appendix 1 (Contract Price Breakdown), as updated by this Change Order Attachment 2 – First Amended Schedule C-2 (Payment Milestones), as updated by this Change Order</w:t>
      </w:r>
    </w:p>
    <w:p>
      <w:pPr>
        <w:spacing w:after="0" w:line="46" w:lineRule="exact"/>
        <w:rPr>
          <w:sz w:val="20"/>
          <w:szCs w:val="20"/>
          <w:color w:val="auto"/>
        </w:rPr>
      </w:pPr>
    </w:p>
    <w:p>
      <w:pPr>
        <w:ind w:left="540" w:right="1740"/>
        <w:spacing w:after="0" w:line="261" w:lineRule="auto"/>
        <w:rPr>
          <w:sz w:val="20"/>
          <w:szCs w:val="20"/>
          <w:color w:val="auto"/>
        </w:rPr>
      </w:pPr>
      <w:r>
        <w:rPr>
          <w:rFonts w:ascii="Times New Roman" w:cs="Times New Roman" w:eastAsia="Times New Roman" w:hAnsi="Times New Roman"/>
          <w:sz w:val="18"/>
          <w:szCs w:val="18"/>
          <w:color w:val="auto"/>
        </w:rPr>
        <w:t>Attachment 3 – First Amended Schedule C-3 (Maximum Cumulative Payment Schedule), as updated by this Change Order Attachment 4 – Verification of Insurance – Construction All Risk (including Excess Windstorm and DSU)</w:t>
      </w:r>
    </w:p>
    <w:p>
      <w:pPr>
        <w:ind w:left="540" w:right="4660"/>
        <w:spacing w:after="0" w:line="276" w:lineRule="auto"/>
        <w:rPr>
          <w:sz w:val="20"/>
          <w:szCs w:val="20"/>
          <w:color w:val="auto"/>
        </w:rPr>
      </w:pPr>
      <w:r>
        <w:rPr>
          <w:rFonts w:ascii="Times New Roman" w:cs="Times New Roman" w:eastAsia="Times New Roman" w:hAnsi="Times New Roman"/>
          <w:sz w:val="18"/>
          <w:szCs w:val="18"/>
          <w:color w:val="auto"/>
        </w:rPr>
        <w:t>Attachment 5 – Insurance Premium Invoice – Marine Cargo &amp; Marine Cargo DSU Attachment 6 – Quotation – Marine Warranty Surveys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109220</wp:posOffset>
            </wp:positionV>
            <wp:extent cx="538353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5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3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$8,658,280,000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700" w:type="dxa"/>
            <w:vAlign w:val="bottom"/>
            <w:gridSpan w:val="2"/>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w w:val="95"/>
              </w:rPr>
              <w:t>Net change by previously authorized</w:t>
            </w: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$ 495,831,523</w:t>
            </w:r>
          </w:p>
        </w:tc>
        <w:tc>
          <w:tcPr>
            <w:tcW w:w="0" w:type="dxa"/>
            <w:vAlign w:val="bottom"/>
          </w:tcPr>
          <w:p>
            <w:pPr>
              <w:spacing w:after="0" w:line="20" w:lineRule="exact"/>
              <w:rPr>
                <w:sz w:val="1"/>
                <w:szCs w:val="1"/>
                <w:color w:val="auto"/>
              </w:rPr>
            </w:pPr>
          </w:p>
        </w:tc>
      </w:tr>
      <w:tr>
        <w:trPr>
          <w:trHeight w:val="183"/>
        </w:trPr>
        <w:tc>
          <w:tcPr>
            <w:tcW w:w="180" w:type="dxa"/>
            <w:vAlign w:val="bottom"/>
            <w:vMerge w:val="continue"/>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2620" w:type="dxa"/>
            <w:vAlign w:val="bottom"/>
            <w:gridSpan w:val="7"/>
          </w:tcPr>
          <w:p>
            <w:pPr>
              <w:ind w:left="140"/>
              <w:spacing w:after="0" w:line="182" w:lineRule="exact"/>
              <w:rPr>
                <w:sz w:val="20"/>
                <w:szCs w:val="20"/>
                <w:color w:val="auto"/>
              </w:rPr>
            </w:pPr>
            <w:r>
              <w:rPr>
                <w:rFonts w:ascii="Times New Roman" w:cs="Times New Roman" w:eastAsia="Times New Roman" w:hAnsi="Times New Roman"/>
                <w:sz w:val="18"/>
                <w:szCs w:val="18"/>
                <w:color w:val="auto"/>
              </w:rPr>
              <w:t>Change Orders (See Appendix 1)</w:t>
            </w: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532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The Contract Price prior to this Change Order was  $9,154,111,523</w:t>
            </w: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w:t>
            </w:r>
          </w:p>
        </w:tc>
        <w:tc>
          <w:tcPr>
            <w:tcW w:w="31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gridSpan w:val="4"/>
            <w:vMerge w:val="restart"/>
          </w:tcPr>
          <w:p>
            <w:pPr>
              <w:jc w:val="right"/>
              <w:ind w:right="960"/>
              <w:spacing w:after="0"/>
              <w:rPr>
                <w:sz w:val="20"/>
                <w:szCs w:val="20"/>
                <w:color w:val="auto"/>
              </w:rPr>
            </w:pPr>
            <w:r>
              <w:rPr>
                <w:rFonts w:ascii="Times New Roman" w:cs="Times New Roman" w:eastAsia="Times New Roman" w:hAnsi="Times New Roman"/>
                <w:sz w:val="18"/>
                <w:szCs w:val="18"/>
                <w:color w:val="auto"/>
                <w:w w:val="95"/>
              </w:rPr>
              <w:t>Order</w:t>
            </w:r>
          </w:p>
        </w:tc>
        <w:tc>
          <w:tcPr>
            <w:tcW w:w="0" w:type="dxa"/>
            <w:vAlign w:val="bottom"/>
          </w:tcPr>
          <w:p>
            <w:pPr>
              <w:spacing w:after="0" w:line="20" w:lineRule="exact"/>
              <w:rPr>
                <w:sz w:val="1"/>
                <w:szCs w:val="1"/>
                <w:color w:val="auto"/>
              </w:rPr>
            </w:pPr>
          </w:p>
        </w:tc>
      </w:tr>
      <w:tr>
        <w:trPr>
          <w:trHeight w:val="191"/>
        </w:trPr>
        <w:tc>
          <w:tcPr>
            <w:tcW w:w="180" w:type="dxa"/>
            <w:vAlign w:val="bottom"/>
            <w:vMerge w:val="continue"/>
          </w:tcPr>
          <w:p>
            <w:pPr>
              <w:spacing w:after="0"/>
              <w:rPr>
                <w:sz w:val="16"/>
                <w:szCs w:val="16"/>
                <w:color w:val="auto"/>
              </w:rPr>
            </w:pPr>
          </w:p>
        </w:tc>
        <w:tc>
          <w:tcPr>
            <w:tcW w:w="5060" w:type="dxa"/>
            <w:vAlign w:val="bottom"/>
            <w:gridSpan w:val="8"/>
          </w:tcPr>
          <w:p>
            <w:pPr>
              <w:ind w:left="140"/>
              <w:spacing w:after="0" w:line="191" w:lineRule="exact"/>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w:t>
            </w:r>
          </w:p>
        </w:tc>
        <w:tc>
          <w:tcPr>
            <w:tcW w:w="13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amount of</w:t>
            </w: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440" w:type="dxa"/>
            <w:vAlign w:val="bottom"/>
            <w:gridSpan w:val="12"/>
          </w:tcPr>
          <w:p>
            <w:pPr>
              <w:ind w:left="14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1340" w:type="dxa"/>
            <w:vAlign w:val="bottom"/>
          </w:tcPr>
          <w:p>
            <w:pPr>
              <w:ind w:left="60"/>
              <w:spacing w:after="0" w:line="199" w:lineRule="exact"/>
              <w:rPr>
                <w:sz w:val="20"/>
                <w:szCs w:val="20"/>
                <w:color w:val="auto"/>
              </w:rPr>
            </w:pPr>
            <w:r>
              <w:rPr>
                <w:rFonts w:ascii="Times New Roman" w:cs="Times New Roman" w:eastAsia="Times New Roman" w:hAnsi="Times New Roman"/>
                <w:sz w:val="18"/>
                <w:szCs w:val="18"/>
                <w:color w:val="auto"/>
              </w:rPr>
              <w:t>in the amount of</w:t>
            </w:r>
          </w:p>
        </w:tc>
        <w:tc>
          <w:tcPr>
            <w:tcW w:w="1360" w:type="dxa"/>
            <w:vAlign w:val="bottom"/>
          </w:tcPr>
          <w:p>
            <w:pPr>
              <w:jc w:val="right"/>
              <w:ind w:right="710"/>
              <w:spacing w:after="0" w:line="19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440" w:type="dxa"/>
            <w:vAlign w:val="bottom"/>
            <w:gridSpan w:val="12"/>
          </w:tcPr>
          <w:p>
            <w:pPr>
              <w:ind w:left="14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increased</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5320" w:type="dxa"/>
            <w:vAlign w:val="bottom"/>
            <w:gridSpan w:val="9"/>
          </w:tcPr>
          <w:p>
            <w:pPr>
              <w:ind w:left="6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$ 23,568,752</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440" w:type="dxa"/>
            <w:vAlign w:val="bottom"/>
            <w:gridSpan w:val="12"/>
          </w:tcPr>
          <w:p>
            <w:pPr>
              <w:ind w:left="140"/>
              <w:spacing w:after="0" w:line="196" w:lineRule="exact"/>
              <w:rPr>
                <w:sz w:val="20"/>
                <w:szCs w:val="20"/>
                <w:color w:val="auto"/>
              </w:rPr>
            </w:pPr>
            <w:r>
              <w:rPr>
                <w:rFonts w:ascii="Times New Roman" w:cs="Times New Roman" w:eastAsia="Times New Roman" w:hAnsi="Times New Roman"/>
                <w:sz w:val="18"/>
                <w:szCs w:val="18"/>
                <w:color w:val="auto"/>
              </w:rPr>
              <w:t>The new Contract Price including this Change Order will be  $9,177,680,275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left="60" w:right="4520"/>
        <w:spacing w:after="0" w:line="273"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ind w:left="60"/>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46" w:lineRule="exact"/>
        <w:rPr>
          <w:sz w:val="20"/>
          <w:szCs w:val="20"/>
          <w:color w:val="auto"/>
        </w:rPr>
      </w:pPr>
    </w:p>
    <w:p>
      <w:pPr>
        <w:ind w:left="60" w:right="76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Impact on Payment Schedule (including, as applicable, Payment Milestones): </w:t>
      </w:r>
      <w:r>
        <w:rPr>
          <w:rFonts w:ascii="Times New Roman" w:cs="Times New Roman" w:eastAsia="Times New Roman" w:hAnsi="Times New Roman"/>
          <w:sz w:val="18"/>
          <w:szCs w:val="18"/>
          <w:color w:val="auto"/>
        </w:rPr>
        <w:t>The Schedule C-2 (Payment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Milestones) is updated as provided in Attachment 2. </w:t>
      </w:r>
      <w:r>
        <w:rPr>
          <w:rFonts w:ascii="Times New Roman" w:cs="Times New Roman" w:eastAsia="Times New Roman" w:hAnsi="Times New Roman"/>
          <w:sz w:val="18"/>
          <w:szCs w:val="18"/>
          <w:b w:val="1"/>
          <w:bCs w:val="1"/>
          <w:color w:val="auto"/>
        </w:rPr>
        <w:t>Impact on Maximum Cumulative Payment Schedule:</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3. Impact on Minimum Acceptance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Criteria: </w:t>
      </w:r>
      <w:r>
        <w:rPr>
          <w:rFonts w:ascii="Times New Roman" w:cs="Times New Roman" w:eastAsia="Times New Roman" w:hAnsi="Times New Roman"/>
          <w:sz w:val="18"/>
          <w:szCs w:val="18"/>
          <w:b w:val="1"/>
          <w:bCs w:val="1"/>
          <w:color w:val="auto"/>
        </w:rPr>
        <w:t>N/A</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Performance Guarantees: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Basis of Design: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the Total Reimbursement Amount: </w:t>
      </w:r>
      <w:r>
        <w:rPr>
          <w:rFonts w:ascii="Times New Roman" w:cs="Times New Roman" w:eastAsia="Times New Roman" w:hAnsi="Times New Roman"/>
          <w:sz w:val="18"/>
          <w:szCs w:val="18"/>
          <w:b w:val="1"/>
          <w:bCs w:val="1"/>
          <w:color w:val="auto"/>
        </w:rPr>
        <w:t>N/A</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ectPr>
          <w:pgSz w:w="11900" w:h="16838" w:orient="portrait"/>
          <w:cols w:equalWidth="0" w:num="1">
            <w:col w:w="11160"/>
          </w:cols>
          <w:pgMar w:left="400" w:top="590"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400" w:top="590" w:right="339" w:bottom="1440" w:gutter="0" w:footer="0" w:header="0"/>
          <w:type w:val="continuous"/>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right="1080" w:hanging="6"/>
        <w:spacing w:after="0" w:line="286" w:lineRule="auto"/>
        <w:tabs>
          <w:tab w:leader="none" w:pos="48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400" w:top="590"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266" w:lineRule="exact"/>
        <w:rPr>
          <w:sz w:val="20"/>
          <w:szCs w:val="20"/>
          <w:color w:val="auto"/>
        </w:rPr>
      </w:pPr>
    </w:p>
    <w:p>
      <w:pPr>
        <w:jc w:val="both"/>
        <w:ind w:left="140" w:right="560"/>
        <w:spacing w:after="0" w:line="26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auto"/>
          <w:strike w:val="1"/>
        </w:rPr>
        <w:t>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-360045</wp:posOffset>
            </wp:positionV>
            <wp:extent cx="51517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140" w:right="56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 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Alex Thompson</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 Scott Osborne</w:t>
            </w:r>
          </w:p>
        </w:tc>
      </w:tr>
      <w:tr>
        <w:trPr>
          <w:trHeight w:val="232"/>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Owner</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Contractor</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4"/>
        </w:trPr>
        <w:tc>
          <w:tcPr>
            <w:tcW w:w="140" w:type="dxa"/>
            <w:vAlign w:val="bottom"/>
          </w:tcPr>
          <w:p>
            <w:pPr>
              <w:spacing w:after="0"/>
              <w:rPr>
                <w:sz w:val="16"/>
                <w:szCs w:val="16"/>
                <w:color w:val="auto"/>
              </w:rPr>
            </w:pPr>
          </w:p>
        </w:tc>
        <w:tc>
          <w:tcPr>
            <w:tcW w:w="134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Alex Thompson</w:t>
            </w:r>
          </w:p>
        </w:tc>
        <w:tc>
          <w:tcPr>
            <w:tcW w:w="180" w:type="dxa"/>
            <w:vAlign w:val="bottom"/>
          </w:tcPr>
          <w:p>
            <w:pPr>
              <w:spacing w:after="0"/>
              <w:rPr>
                <w:sz w:val="16"/>
                <w:szCs w:val="16"/>
                <w:color w:val="auto"/>
              </w:rPr>
            </w:pPr>
          </w:p>
        </w:tc>
        <w:tc>
          <w:tcPr>
            <w:tcW w:w="120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Scott Osborne</w:t>
            </w:r>
          </w:p>
        </w:tc>
        <w:tc>
          <w:tcPr>
            <w:tcW w:w="980" w:type="dxa"/>
            <w:vAlign w:val="bottom"/>
            <w:gridSpan w:val="3"/>
          </w:tcPr>
          <w:p>
            <w:pPr>
              <w:spacing w:after="0"/>
              <w:rPr>
                <w:sz w:val="16"/>
                <w:szCs w:val="16"/>
                <w:color w:val="auto"/>
              </w:rPr>
            </w:pPr>
          </w:p>
        </w:tc>
      </w:tr>
      <w:tr>
        <w:trPr>
          <w:trHeight w:val="205"/>
        </w:trPr>
        <w:tc>
          <w:tcPr>
            <w:tcW w:w="140" w:type="dxa"/>
            <w:vAlign w:val="bottom"/>
          </w:tcPr>
          <w:p>
            <w:pPr>
              <w:spacing w:after="0"/>
              <w:rPr>
                <w:sz w:val="17"/>
                <w:szCs w:val="17"/>
                <w:color w:val="auto"/>
              </w:rPr>
            </w:pPr>
          </w:p>
        </w:tc>
        <w:tc>
          <w:tcPr>
            <w:tcW w:w="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2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4"/>
        </w:trPr>
        <w:tc>
          <w:tcPr>
            <w:tcW w:w="140" w:type="dxa"/>
            <w:vAlign w:val="bottom"/>
          </w:tcPr>
          <w:p>
            <w:pPr>
              <w:spacing w:after="0"/>
              <w:rPr>
                <w:sz w:val="16"/>
                <w:szCs w:val="16"/>
                <w:color w:val="auto"/>
              </w:rPr>
            </w:pPr>
          </w:p>
        </w:tc>
        <w:tc>
          <w:tcPr>
            <w:tcW w:w="1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Authorized Person</w:t>
            </w:r>
          </w:p>
        </w:tc>
        <w:tc>
          <w:tcPr>
            <w:tcW w:w="2180" w:type="dxa"/>
            <w:vAlign w:val="bottom"/>
            <w:gridSpan w:val="7"/>
          </w:tcPr>
          <w:p>
            <w:pPr>
              <w:ind w:left="180"/>
              <w:spacing w:after="0" w:line="194" w:lineRule="exact"/>
              <w:rPr>
                <w:sz w:val="20"/>
                <w:szCs w:val="20"/>
                <w:color w:val="auto"/>
              </w:rPr>
            </w:pPr>
            <w:r>
              <w:rPr>
                <w:rFonts w:ascii="Times New Roman" w:cs="Times New Roman" w:eastAsia="Times New Roman" w:hAnsi="Times New Roman"/>
                <w:sz w:val="18"/>
                <w:szCs w:val="18"/>
                <w:color w:val="auto"/>
              </w:rPr>
              <w:t>Senior Project Manager</w:t>
            </w:r>
          </w:p>
        </w:tc>
      </w:tr>
      <w:tr>
        <w:trPr>
          <w:trHeight w:val="218"/>
        </w:trPr>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16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January 10, 2024</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8"/>
              </w:rPr>
              <w:t>January 10, 2024</w:t>
            </w:r>
          </w:p>
        </w:tc>
        <w:tc>
          <w:tcPr>
            <w:tcW w:w="280" w:type="dxa"/>
            <w:vAlign w:val="bottom"/>
            <w:gridSpan w:val="2"/>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-882650</wp:posOffset>
            </wp:positionV>
            <wp:extent cx="20574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Date of Signing</w:t>
      </w:r>
      <w:r>
        <w:rPr>
          <w:sz w:val="20"/>
          <w:szCs w:val="20"/>
          <w:color w:val="auto"/>
        </w:rPr>
        <w:tab/>
      </w:r>
      <w:r>
        <w:rPr>
          <w:rFonts w:ascii="Times New Roman" w:cs="Times New Roman" w:eastAsia="Times New Roman" w:hAnsi="Times New Roman"/>
          <w:sz w:val="17"/>
          <w:szCs w:val="17"/>
          <w:color w:val="auto"/>
        </w:rPr>
        <w:t>Date of Signing</w:t>
      </w:r>
    </w:p>
    <w:p>
      <w:pPr>
        <w:spacing w:after="0" w:line="200" w:lineRule="exact"/>
        <w:rPr>
          <w:sz w:val="20"/>
          <w:szCs w:val="20"/>
          <w:color w:val="auto"/>
        </w:rPr>
      </w:pPr>
    </w:p>
    <w:p>
      <w:pPr>
        <w:spacing w:after="0" w:line="3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590" w:right="339" w:bottom="1440" w:gutter="0" w:footer="0" w:header="0"/>
        </w:sectPr>
      </w:pPr>
    </w:p>
    <w:bookmarkStart w:id="167" w:name="page168"/>
    <w:bookmarkEnd w:id="167"/>
    <w:p>
      <w:pPr>
        <w:ind w:left="9200"/>
        <w:spacing w:after="0"/>
        <w:rPr>
          <w:sz w:val="20"/>
          <w:szCs w:val="20"/>
          <w:color w:val="auto"/>
        </w:rPr>
      </w:pPr>
      <w:r>
        <w:rPr>
          <w:rFonts w:ascii="Times New Roman" w:cs="Times New Roman" w:eastAsia="Times New Roman" w:hAnsi="Times New Roman"/>
          <w:sz w:val="17"/>
          <w:szCs w:val="17"/>
          <w:b w:val="1"/>
          <w:bCs w:val="1"/>
          <w:color w:val="auto"/>
        </w:rPr>
        <w:t>Exhibit 10.2</w:t>
      </w:r>
    </w:p>
    <w:p>
      <w:pPr>
        <w:sectPr>
          <w:pgSz w:w="11900" w:h="16838" w:orient="portrait"/>
          <w:cols w:equalWidth="0" w:num="1">
            <w:col w:w="10120"/>
          </w:cols>
          <w:pgMar w:left="1440" w:top="590" w:right="33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p>
      <w:pPr>
        <w:spacing w:after="0" w:line="90" w:lineRule="exact"/>
        <w:rPr>
          <w:sz w:val="20"/>
          <w:szCs w:val="20"/>
          <w:color w:val="auto"/>
        </w:rPr>
      </w:pPr>
    </w:p>
    <w:p>
      <w:pPr>
        <w:ind w:lef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EPC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Trains 1 and 2</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14, 2022</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Owner EC Number: EC00100</w:t>
      </w:r>
    </w:p>
    <w:p>
      <w:pPr>
        <w:spacing w:after="0"/>
        <w:rPr>
          <w:sz w:val="20"/>
          <w:szCs w:val="20"/>
          <w:color w:val="auto"/>
        </w:rPr>
      </w:pPr>
      <w:r>
        <w:rPr>
          <w:rFonts w:ascii="Times New Roman" w:cs="Times New Roman" w:eastAsia="Times New Roman" w:hAnsi="Times New Roman"/>
          <w:sz w:val="18"/>
          <w:szCs w:val="18"/>
          <w:color w:val="auto"/>
        </w:rPr>
        <w:t>Contractor Change Number: SC0076</w:t>
      </w:r>
    </w:p>
    <w:p>
      <w:pPr>
        <w:spacing w:after="0" w:line="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4" w:lineRule="exact"/>
        <w:rPr>
          <w:sz w:val="20"/>
          <w:szCs w:val="20"/>
          <w:color w:val="auto"/>
        </w:rPr>
      </w:pPr>
    </w:p>
    <w:p>
      <w:pPr>
        <w:sectPr>
          <w:pgSz w:w="11900" w:h="16838" w:orient="portrait"/>
          <w:cols w:equalWidth="0" w:num="2">
            <w:col w:w="4980" w:space="700"/>
            <w:col w:w="5560"/>
          </w:cols>
          <w:pgMar w:left="320" w:top="590"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-65405</wp:posOffset>
            </wp:positionV>
            <wp:extent cx="538353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ATTACHMENT DD – UPDATE TO OWNER PROVIDED LIST OF TAX EXEMPT AND</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TAXABLE EQUIPMENT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56" w:lineRule="exact"/>
        <w:rPr>
          <w:sz w:val="20"/>
          <w:szCs w:val="20"/>
          <w:color w:val="auto"/>
        </w:rPr>
      </w:pPr>
    </w:p>
    <w:p>
      <w:pPr>
        <w:ind w:left="140" w:right="560"/>
        <w:spacing w:after="0" w:line="282" w:lineRule="auto"/>
        <w:rPr>
          <w:sz w:val="20"/>
          <w:szCs w:val="20"/>
          <w:color w:val="auto"/>
        </w:rPr>
      </w:pPr>
      <w:r>
        <w:rPr>
          <w:rFonts w:ascii="Times New Roman" w:cs="Times New Roman" w:eastAsia="Times New Roman" w:hAnsi="Times New Roman"/>
          <w:sz w:val="18"/>
          <w:szCs w:val="18"/>
          <w:color w:val="auto"/>
        </w:rPr>
        <w:t>Pursuant to Section 3.14 (Tax Accounting) and as requested by Owner, Contractor has updated the Equipment listed in Attachment DD (Owner Provided List of Tax Exempt and Taxable Equipment) with the Equipment that will be installed on or ordered for the Facility.</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52" w:lineRule="exact"/>
        <w:rPr>
          <w:sz w:val="20"/>
          <w:szCs w:val="20"/>
          <w:color w:val="auto"/>
        </w:rPr>
      </w:pPr>
    </w:p>
    <w:p>
      <w:pPr>
        <w:ind w:left="780" w:right="1160" w:hanging="322"/>
        <w:spacing w:after="0" w:line="286" w:lineRule="auto"/>
        <w:tabs>
          <w:tab w:leader="none" w:pos="77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DD (Owner Provided List of Tax Exempt and Taxable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pursuant to Attachment DD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Attachment 1 to this Change Order.</w:t>
      </w:r>
    </w:p>
    <w:p>
      <w:pPr>
        <w:spacing w:after="0" w:line="1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Attachments:</w:t>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Attachment 1 – Attachment DD (Owner Provided List of Tax Exempt and Taxable Equipment), as updated by this Change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38353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303" w:lineRule="exact"/>
        <w:rPr>
          <w:sz w:val="20"/>
          <w:szCs w:val="20"/>
          <w:color w:val="auto"/>
        </w:rPr>
      </w:pPr>
    </w:p>
    <w:tbl>
      <w:tblPr>
        <w:tblLayout w:type="fixed"/>
        <w:tblInd w:w="140" w:type="dxa"/>
        <w:tblCellMar>
          <w:top w:w="0" w:type="dxa"/>
          <w:left w:w="0" w:type="dxa"/>
          <w:bottom w:w="0" w:type="dxa"/>
          <w:right w:w="0" w:type="dxa"/>
        </w:tblCellMar>
      </w:tblPr>
      <w:tr>
        <w:trPr>
          <w:trHeight w:val="220"/>
        </w:trPr>
        <w:tc>
          <w:tcPr>
            <w:tcW w:w="36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6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260" w:type="dxa"/>
            <w:vAlign w:val="bottom"/>
            <w:gridSpan w:val="13"/>
          </w:tcPr>
          <w:p>
            <w:pPr>
              <w:ind w:left="8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$8,658,280,000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5260" w:type="dxa"/>
            <w:vAlign w:val="bottom"/>
            <w:gridSpan w:val="13"/>
          </w:tcPr>
          <w:p>
            <w:pPr>
              <w:ind w:left="80"/>
              <w:spacing w:after="0" w:line="196" w:lineRule="exact"/>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11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$ 518,885,525</w:t>
            </w:r>
          </w:p>
        </w:tc>
        <w:tc>
          <w:tcPr>
            <w:tcW w:w="0" w:type="dxa"/>
            <w:vAlign w:val="bottom"/>
          </w:tcPr>
          <w:p>
            <w:pPr>
              <w:spacing w:after="0"/>
              <w:rPr>
                <w:sz w:val="1"/>
                <w:szCs w:val="1"/>
                <w:color w:val="auto"/>
              </w:rPr>
            </w:pPr>
          </w:p>
        </w:tc>
      </w:tr>
      <w:tr>
        <w:trPr>
          <w:trHeight w:val="183"/>
        </w:trPr>
        <w:tc>
          <w:tcPr>
            <w:tcW w:w="56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5260" w:type="dxa"/>
            <w:vAlign w:val="bottom"/>
            <w:gridSpan w:val="13"/>
          </w:tcPr>
          <w:p>
            <w:pPr>
              <w:ind w:left="80"/>
              <w:spacing w:after="0" w:line="182" w:lineRule="exact"/>
              <w:rPr>
                <w:sz w:val="20"/>
                <w:szCs w:val="20"/>
                <w:color w:val="auto"/>
              </w:rPr>
            </w:pPr>
            <w:r>
              <w:rPr>
                <w:rFonts w:ascii="Times New Roman" w:cs="Times New Roman" w:eastAsia="Times New Roman" w:hAnsi="Times New Roman"/>
                <w:sz w:val="18"/>
                <w:szCs w:val="18"/>
                <w:color w:val="auto"/>
              </w:rPr>
              <w:t>The Contract Price prior to this Change Order was  $9,177,165,525</w:t>
            </w: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640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13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in the amount of</w:t>
            </w:r>
          </w:p>
        </w:tc>
        <w:tc>
          <w:tcPr>
            <w:tcW w:w="2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156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w w:val="94"/>
              </w:rPr>
              <w:t>The Aggregate Labor</w:t>
            </w:r>
          </w:p>
        </w:tc>
        <w:tc>
          <w:tcPr>
            <w:tcW w:w="4840" w:type="dxa"/>
            <w:vAlign w:val="bottom"/>
            <w:gridSpan w:val="13"/>
          </w:tcPr>
          <w:p>
            <w:pPr>
              <w:jc w:val="right"/>
              <w:ind w:right="580"/>
              <w:spacing w:after="0" w:line="191" w:lineRule="exact"/>
              <w:rPr>
                <w:sz w:val="20"/>
                <w:szCs w:val="20"/>
                <w:color w:val="auto"/>
              </w:rPr>
            </w:pPr>
            <w:r>
              <w:rPr>
                <w:rFonts w:ascii="Times New Roman" w:cs="Times New Roman" w:eastAsia="Times New Roman" w:hAnsi="Times New Roman"/>
                <w:sz w:val="18"/>
                <w:szCs w:val="18"/>
                <w:color w:val="auto"/>
              </w:rPr>
              <w:t xml:space="preserve">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13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in the amount of</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640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unchanged</w:t>
            </w:r>
          </w:p>
        </w:tc>
        <w:tc>
          <w:tcPr>
            <w:tcW w:w="0" w:type="dxa"/>
            <w:vAlign w:val="bottom"/>
          </w:tcPr>
          <w:p>
            <w:pPr>
              <w:spacing w:after="0"/>
              <w:rPr>
                <w:sz w:val="1"/>
                <w:szCs w:val="1"/>
                <w:color w:val="auto"/>
              </w:rPr>
            </w:pPr>
          </w:p>
        </w:tc>
      </w:tr>
      <w:tr>
        <w:trPr>
          <w:trHeight w:val="194"/>
        </w:trPr>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120" w:type="dxa"/>
            <w:vAlign w:val="bottom"/>
            <w:gridSpan w:val="7"/>
          </w:tcPr>
          <w:p>
            <w:pPr>
              <w:ind w:left="8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w:t>
            </w:r>
          </w:p>
        </w:tc>
        <w:tc>
          <w:tcPr>
            <w:tcW w:w="2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vMerge w:val="continue"/>
          </w:tcPr>
          <w:p>
            <w:pPr>
              <w:spacing w:after="0"/>
              <w:rPr>
                <w:sz w:val="15"/>
                <w:szCs w:val="15"/>
                <w:color w:val="auto"/>
              </w:rPr>
            </w:pPr>
          </w:p>
        </w:tc>
        <w:tc>
          <w:tcPr>
            <w:tcW w:w="3400" w:type="dxa"/>
            <w:vAlign w:val="bottom"/>
            <w:gridSpan w:val="8"/>
          </w:tcPr>
          <w:p>
            <w:pPr>
              <w:ind w:left="80"/>
              <w:spacing w:after="0" w:line="182" w:lineRule="exact"/>
              <w:rPr>
                <w:sz w:val="20"/>
                <w:szCs w:val="20"/>
                <w:color w:val="auto"/>
              </w:rPr>
            </w:pPr>
            <w:r>
              <w:rPr>
                <w:rFonts w:ascii="Times New Roman" w:cs="Times New Roman" w:eastAsia="Times New Roman" w:hAnsi="Times New Roman"/>
                <w:sz w:val="18"/>
                <w:szCs w:val="18"/>
                <w:color w:val="auto"/>
                <w:w w:val="99"/>
              </w:rPr>
              <w:t>The new Contract Price including this Change</w:t>
            </w:r>
          </w:p>
        </w:tc>
        <w:tc>
          <w:tcPr>
            <w:tcW w:w="3000" w:type="dxa"/>
            <w:vAlign w:val="bottom"/>
            <w:gridSpan w:val="8"/>
          </w:tcPr>
          <w:p>
            <w:pPr>
              <w:jc w:val="right"/>
              <w:ind w:right="680"/>
              <w:spacing w:after="0" w:line="182" w:lineRule="exact"/>
              <w:rPr>
                <w:sz w:val="20"/>
                <w:szCs w:val="20"/>
                <w:color w:val="auto"/>
              </w:rPr>
            </w:pPr>
            <w:r>
              <w:rPr>
                <w:rFonts w:ascii="Times New Roman" w:cs="Times New Roman" w:eastAsia="Times New Roman" w:hAnsi="Times New Roman"/>
                <w:sz w:val="18"/>
                <w:szCs w:val="18"/>
                <w:color w:val="auto"/>
              </w:rPr>
              <w:t>Order will be  $9,177,165,525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left="140" w:right="4520"/>
        <w:spacing w:after="0" w:line="273"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ectPr>
          <w:pgSz w:w="11900" w:h="16838" w:orient="portrait"/>
          <w:cols w:equalWidth="0" w:num="1">
            <w:col w:w="11240"/>
          </w:cols>
          <w:pgMar w:left="320" w:top="590" w:right="339" w:bottom="1440" w:gutter="0" w:footer="0" w:header="0"/>
          <w:type w:val="continuous"/>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54" w:lineRule="exact"/>
        <w:rPr>
          <w:sz w:val="20"/>
          <w:szCs w:val="20"/>
          <w:color w:val="auto"/>
        </w:rPr>
      </w:pPr>
    </w:p>
    <w:p>
      <w:pPr>
        <w:ind w:left="140" w:right="56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3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 N/A Impact on Maximum</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Cumulative Payment Schedule: N/A</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Performance</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N/A</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93" w:lineRule="exact"/>
        <w:rPr>
          <w:sz w:val="20"/>
          <w:szCs w:val="20"/>
          <w:color w:val="auto"/>
        </w:rPr>
      </w:pPr>
    </w:p>
    <w:p>
      <w:pPr>
        <w:jc w:val="both"/>
        <w:ind w:left="140" w:right="560" w:hanging="6"/>
        <w:spacing w:after="0" w:line="254" w:lineRule="auto"/>
        <w:tabs>
          <w:tab w:leader="none" w:pos="68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the below: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222" w:lineRule="exact"/>
        <w:rPr>
          <w:rFonts w:ascii="Times New Roman" w:cs="Times New Roman" w:eastAsia="Times New Roman" w:hAnsi="Times New Roman"/>
          <w:sz w:val="20"/>
          <w:szCs w:val="20"/>
          <w:color w:val="auto"/>
        </w:rPr>
      </w:pPr>
    </w:p>
    <w:p>
      <w:pPr>
        <w:jc w:val="both"/>
        <w:ind w:left="140" w:right="560" w:hanging="6"/>
        <w:spacing w:after="0" w:line="259" w:lineRule="auto"/>
        <w:tabs>
          <w:tab w:leader="none" w:pos="63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subject to the below:</w:t>
      </w: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-207645</wp:posOffset>
            </wp:positionV>
            <wp:extent cx="14433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14433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-19050</wp:posOffset>
            </wp:positionV>
            <wp:extent cx="1460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-19050</wp:posOffset>
            </wp:positionV>
            <wp:extent cx="1524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227" w:lineRule="exact"/>
        <w:rPr>
          <w:sz w:val="20"/>
          <w:szCs w:val="20"/>
          <w:color w:val="auto"/>
        </w:rPr>
      </w:pPr>
    </w:p>
    <w:p>
      <w:pPr>
        <w:jc w:val="both"/>
        <w:ind w:left="140" w:right="56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Alex Thompson</w:t>
            </w:r>
          </w:p>
        </w:tc>
        <w:tc>
          <w:tcPr>
            <w:tcW w:w="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/s/ Scott Osborne</w:t>
            </w:r>
          </w:p>
        </w:tc>
      </w:tr>
      <w:tr>
        <w:trPr>
          <w:trHeight w:val="232"/>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Owner</w:t>
            </w:r>
          </w:p>
        </w:tc>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Contractor</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140" w:type="dxa"/>
            <w:vAlign w:val="bottom"/>
          </w:tcPr>
          <w:p>
            <w:pPr>
              <w:spacing w:after="0"/>
              <w:rPr>
                <w:sz w:val="16"/>
                <w:szCs w:val="16"/>
                <w:color w:val="auto"/>
              </w:rPr>
            </w:pPr>
          </w:p>
        </w:tc>
        <w:tc>
          <w:tcPr>
            <w:tcW w:w="13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Alex Thompson</w:t>
            </w:r>
          </w:p>
        </w:tc>
        <w:tc>
          <w:tcPr>
            <w:tcW w:w="180" w:type="dxa"/>
            <w:vAlign w:val="bottom"/>
          </w:tcPr>
          <w:p>
            <w:pPr>
              <w:spacing w:after="0"/>
              <w:rPr>
                <w:sz w:val="16"/>
                <w:szCs w:val="16"/>
                <w:color w:val="auto"/>
              </w:rPr>
            </w:pPr>
          </w:p>
        </w:tc>
        <w:tc>
          <w:tcPr>
            <w:tcW w:w="120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Scott Osborne</w:t>
            </w:r>
          </w:p>
        </w:tc>
        <w:tc>
          <w:tcPr>
            <w:tcW w:w="940" w:type="dxa"/>
            <w:vAlign w:val="bottom"/>
            <w:gridSpan w:val="2"/>
          </w:tcPr>
          <w:p>
            <w:pPr>
              <w:spacing w:after="0"/>
              <w:rPr>
                <w:sz w:val="16"/>
                <w:szCs w:val="16"/>
                <w:color w:val="auto"/>
              </w:rPr>
            </w:pPr>
          </w:p>
        </w:tc>
      </w:tr>
      <w:tr>
        <w:trPr>
          <w:trHeight w:val="205"/>
        </w:trPr>
        <w:tc>
          <w:tcPr>
            <w:tcW w:w="140" w:type="dxa"/>
            <w:vAlign w:val="bottom"/>
          </w:tcPr>
          <w:p>
            <w:pPr>
              <w:spacing w:after="0"/>
              <w:rPr>
                <w:sz w:val="17"/>
                <w:szCs w:val="17"/>
                <w:color w:val="auto"/>
              </w:rPr>
            </w:pPr>
          </w:p>
        </w:tc>
        <w:tc>
          <w:tcPr>
            <w:tcW w:w="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2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140" w:type="dxa"/>
            <w:vAlign w:val="bottom"/>
          </w:tcPr>
          <w:p>
            <w:pPr>
              <w:spacing w:after="0"/>
              <w:rPr>
                <w:sz w:val="16"/>
                <w:szCs w:val="16"/>
                <w:color w:val="auto"/>
              </w:rPr>
            </w:pPr>
          </w:p>
        </w:tc>
        <w:tc>
          <w:tcPr>
            <w:tcW w:w="15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Authorized Person</w:t>
            </w:r>
          </w:p>
        </w:tc>
        <w:tc>
          <w:tcPr>
            <w:tcW w:w="180" w:type="dxa"/>
            <w:vAlign w:val="bottom"/>
          </w:tcPr>
          <w:p>
            <w:pPr>
              <w:spacing w:after="0"/>
              <w:rPr>
                <w:sz w:val="16"/>
                <w:szCs w:val="16"/>
                <w:color w:val="auto"/>
              </w:rPr>
            </w:pPr>
          </w:p>
        </w:tc>
        <w:tc>
          <w:tcPr>
            <w:tcW w:w="1960" w:type="dxa"/>
            <w:vAlign w:val="bottom"/>
            <w:gridSpan w:val="4"/>
          </w:tcPr>
          <w:p>
            <w:pPr>
              <w:ind w:left="40"/>
              <w:spacing w:after="0" w:line="194" w:lineRule="exact"/>
              <w:rPr>
                <w:sz w:val="20"/>
                <w:szCs w:val="20"/>
                <w:color w:val="auto"/>
              </w:rPr>
            </w:pPr>
            <w:r>
              <w:rPr>
                <w:rFonts w:ascii="Times New Roman" w:cs="Times New Roman" w:eastAsia="Times New Roman" w:hAnsi="Times New Roman"/>
                <w:sz w:val="18"/>
                <w:szCs w:val="18"/>
                <w:color w:val="auto"/>
              </w:rPr>
              <w:t>Senior Project Manager</w:t>
            </w:r>
          </w:p>
        </w:tc>
      </w:tr>
      <w:tr>
        <w:trPr>
          <w:trHeight w:val="237"/>
        </w:trPr>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1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u w:val="single" w:color="auto"/>
          <w:color w:val="auto"/>
        </w:rPr>
        <w:t>January 30, 2024 January 30, 2024</w:t>
      </w:r>
    </w:p>
    <w:p>
      <w:pPr>
        <w:spacing w:after="0" w:line="9"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Date of Signing</w:t>
      </w:r>
      <w:r>
        <w:rPr>
          <w:sz w:val="20"/>
          <w:szCs w:val="20"/>
          <w:color w:val="auto"/>
        </w:rPr>
        <w:tab/>
      </w:r>
      <w:r>
        <w:rPr>
          <w:rFonts w:ascii="Times New Roman" w:cs="Times New Roman" w:eastAsia="Times New Roman" w:hAnsi="Times New Roman"/>
          <w:sz w:val="17"/>
          <w:szCs w:val="17"/>
          <w:color w:val="auto"/>
        </w:rPr>
        <w:t>Date of Signing</w:t>
      </w:r>
    </w:p>
    <w:p>
      <w:pPr>
        <w:sectPr>
          <w:pgSz w:w="11900" w:h="16838" w:orient="portrait"/>
          <w:cols w:equalWidth="0" w:num="1">
            <w:col w:w="11240"/>
          </w:cols>
          <w:pgMar w:left="320" w:top="590"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400" w:top="590"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400" w:top="590" w:right="339" w:bottom="1440" w:gutter="0" w:footer="0" w:header="0"/>
        </w:sectPr>
      </w:pPr>
    </w:p>
    <w:bookmarkStart w:id="172" w:name="page173"/>
    <w:bookmarkEnd w:id="172"/>
    <w:p>
      <w:pPr>
        <w:ind w:left="10240"/>
        <w:spacing w:after="0"/>
        <w:rPr>
          <w:sz w:val="20"/>
          <w:szCs w:val="20"/>
          <w:color w:val="auto"/>
        </w:rPr>
      </w:pPr>
      <w:r>
        <w:rPr>
          <w:rFonts w:ascii="Times New Roman" w:cs="Times New Roman" w:eastAsia="Times New Roman" w:hAnsi="Times New Roman"/>
          <w:sz w:val="17"/>
          <w:szCs w:val="17"/>
          <w:b w:val="1"/>
          <w:bCs w:val="1"/>
          <w:color w:val="auto"/>
        </w:rPr>
        <w:t>Exhibit 10.2</w:t>
      </w:r>
    </w:p>
    <w:p>
      <w:pPr>
        <w:sectPr>
          <w:pgSz w:w="11900" w:h="16838" w:orient="portrait"/>
          <w:cols w:equalWidth="0" w:num="1">
            <w:col w:w="11160"/>
          </w:cols>
          <w:pgMar w:left="400" w:top="5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p>
      <w:pPr>
        <w:spacing w:after="0" w:line="117" w:lineRule="exact"/>
        <w:rPr>
          <w:sz w:val="20"/>
          <w:szCs w:val="20"/>
          <w:color w:val="auto"/>
        </w:rPr>
      </w:pPr>
    </w:p>
    <w:p>
      <w:pPr>
        <w:ind w:lef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Trains 1 and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DATE OF AGREEMENT: </w:t>
      </w:r>
      <w:r>
        <w:rPr>
          <w:rFonts w:ascii="Times New Roman" w:cs="Times New Roman" w:eastAsia="Times New Roman" w:hAnsi="Times New Roman"/>
          <w:sz w:val="17"/>
          <w:szCs w:val="17"/>
          <w:color w:val="auto"/>
        </w:rPr>
        <w:t>September 14, 2022</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Owner EC Number: EC00105</w:t>
      </w:r>
    </w:p>
    <w:p>
      <w:pPr>
        <w:spacing w:after="0"/>
        <w:rPr>
          <w:sz w:val="20"/>
          <w:szCs w:val="20"/>
          <w:color w:val="auto"/>
        </w:rPr>
      </w:pPr>
      <w:r>
        <w:rPr>
          <w:rFonts w:ascii="Times New Roman" w:cs="Times New Roman" w:eastAsia="Times New Roman" w:hAnsi="Times New Roman"/>
          <w:sz w:val="18"/>
          <w:szCs w:val="18"/>
          <w:color w:val="auto"/>
        </w:rPr>
        <w:t>Contractor Change Number SC0072</w:t>
      </w:r>
    </w:p>
    <w:p>
      <w:pPr>
        <w:spacing w:after="0" w:line="7" w:lineRule="exact"/>
        <w:rPr>
          <w:sz w:val="20"/>
          <w:szCs w:val="20"/>
          <w:color w:val="auto"/>
        </w:rPr>
      </w:pPr>
    </w:p>
    <w:p>
      <w:pPr>
        <w:sectPr>
          <w:pgSz w:w="11900" w:h="16838" w:orient="portrait"/>
          <w:cols w:equalWidth="0" w:num="2">
            <w:col w:w="5380" w:space="220"/>
            <w:col w:w="5560"/>
          </w:cols>
          <w:pgMar w:left="400" w:top="590" w:right="339" w:bottom="1440" w:gutter="0" w:footer="0" w:header="0"/>
          <w:type w:val="continuous"/>
        </w:sectPr>
      </w:pPr>
    </w:p>
    <w:tbl>
      <w:tblPr>
        <w:tblLayout w:type="fixed"/>
        <w:tblInd w:w="6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4860" w:type="dxa"/>
            <w:vAlign w:val="bottom"/>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EFFECTIVE DATE OF CHANGE ORDER:</w:t>
            </w:r>
          </w:p>
        </w:tc>
        <w:tc>
          <w:tcPr>
            <w:tcW w:w="0" w:type="dxa"/>
            <w:vAlign w:val="bottom"/>
          </w:tcPr>
          <w:p>
            <w:pPr>
              <w:spacing w:after="0"/>
              <w:rPr>
                <w:sz w:val="1"/>
                <w:szCs w:val="1"/>
                <w:color w:val="auto"/>
              </w:rPr>
            </w:pPr>
          </w:p>
        </w:tc>
      </w:tr>
      <w:tr>
        <w:trPr>
          <w:trHeight w:val="40"/>
        </w:trPr>
        <w:tc>
          <w:tcPr>
            <w:tcW w:w="4260" w:type="dxa"/>
            <w:vAlign w:val="bottom"/>
          </w:tcPr>
          <w:p>
            <w:pPr>
              <w:spacing w:after="0"/>
              <w:rPr>
                <w:sz w:val="3"/>
                <w:szCs w:val="3"/>
                <w:color w:val="auto"/>
              </w:rPr>
            </w:pPr>
          </w:p>
        </w:tc>
        <w:tc>
          <w:tcPr>
            <w:tcW w:w="4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48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January 30,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auto"/>
        </w:rPr>
        <w:t>TITLE: DELETE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-65405</wp:posOffset>
            </wp:positionV>
            <wp:extent cx="553783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ELECTRICAL OPERATOR TRAINING SIMULATOR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70" w:lineRule="exact"/>
        <w:rPr>
          <w:sz w:val="20"/>
          <w:szCs w:val="20"/>
          <w:color w:val="auto"/>
        </w:rPr>
      </w:pPr>
    </w:p>
    <w:p>
      <w:pPr>
        <w:ind w:left="60" w:right="240"/>
        <w:spacing w:after="0" w:line="289" w:lineRule="auto"/>
        <w:rPr>
          <w:sz w:val="20"/>
          <w:szCs w:val="20"/>
          <w:color w:val="auto"/>
        </w:rPr>
      </w:pPr>
      <w:r>
        <w:rPr>
          <w:rFonts w:ascii="Times New Roman" w:cs="Times New Roman" w:eastAsia="Times New Roman" w:hAnsi="Times New Roman"/>
          <w:sz w:val="17"/>
          <w:szCs w:val="17"/>
          <w:color w:val="auto"/>
        </w:rPr>
        <w:t>Delete the Operator Training Simulator (OTS) from the Electrical Control and Monitoring System (ECMS), associated hardware, and operator training console from the Work. The ECMS being provided has effective visualization of the RGLNG electrical infrastructure, access to historical electrical operating data, advanced troubleshooting and diagnostic capabilities, and equipment operating functions that will be used for operator training.</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66" w:lineRule="exact"/>
        <w:rPr>
          <w:sz w:val="20"/>
          <w:szCs w:val="20"/>
          <w:color w:val="auto"/>
        </w:rPr>
      </w:pPr>
    </w:p>
    <w:p>
      <w:pPr>
        <w:ind w:left="380" w:right="760" w:hanging="326"/>
        <w:spacing w:after="0" w:line="286" w:lineRule="auto"/>
        <w:tabs>
          <w:tab w:leader="none" w:pos="37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Project Specification for Electrical Control and Monitoring System (ECMS) - RG-BL-000-ELE-SPC- 00017/26251-100-3PS-EM00-00001, Section 5.12.8 (Central Control Building)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as shown in the mark-up provided below.</w:t>
      </w:r>
    </w:p>
    <w:p>
      <w:pPr>
        <w:spacing w:after="0" w:line="181" w:lineRule="exact"/>
        <w:rPr>
          <w:rFonts w:ascii="Times New Roman" w:cs="Times New Roman" w:eastAsia="Times New Roman" w:hAnsi="Times New Roman"/>
          <w:sz w:val="18"/>
          <w:szCs w:val="18"/>
          <w:color w:val="auto"/>
        </w:rPr>
      </w:pPr>
    </w:p>
    <w:p>
      <w:pPr>
        <w:ind w:left="380" w:right="260" w:hanging="327"/>
        <w:spacing w:after="0" w:line="286" w:lineRule="auto"/>
        <w:tabs>
          <w:tab w:leader="none" w:pos="37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Project Specification for Electrical Control and Monitoring System (ECMS) - RG-BL-000-ELE-SPC- 00017/26251-100-3PS-EM00-00001, Section 6.9 (Simulation Function)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modified as shown in the mark-up provided below.</w:t>
      </w:r>
    </w:p>
    <w:p>
      <w:pPr>
        <w:spacing w:after="0" w:line="181" w:lineRule="exact"/>
        <w:rPr>
          <w:rFonts w:ascii="Times New Roman" w:cs="Times New Roman" w:eastAsia="Times New Roman" w:hAnsi="Times New Roman"/>
          <w:sz w:val="18"/>
          <w:szCs w:val="18"/>
          <w:color w:val="auto"/>
        </w:rPr>
      </w:pPr>
    </w:p>
    <w:p>
      <w:pPr>
        <w:ind w:left="380" w:right="320" w:hanging="327"/>
        <w:spacing w:after="0" w:line="286" w:lineRule="auto"/>
        <w:tabs>
          <w:tab w:leader="none" w:pos="37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as provided in Attachment 2 to this Change Order.</w:t>
      </w:r>
    </w:p>
    <w:p>
      <w:pPr>
        <w:spacing w:after="0" w:line="249" w:lineRule="exact"/>
        <w:rPr>
          <w:rFonts w:ascii="Times New Roman" w:cs="Times New Roman" w:eastAsia="Times New Roman" w:hAnsi="Times New Roman"/>
          <w:sz w:val="18"/>
          <w:szCs w:val="18"/>
          <w:color w:val="auto"/>
        </w:rPr>
      </w:pPr>
    </w:p>
    <w:p>
      <w:pPr>
        <w:ind w:left="380" w:right="720" w:hanging="326"/>
        <w:spacing w:after="0" w:line="286" w:lineRule="auto"/>
        <w:tabs>
          <w:tab w:leader="none" w:pos="37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C-2 Payment Milestones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Attachment 3 to this Change Order.</w:t>
      </w:r>
    </w:p>
    <w:p>
      <w:pPr>
        <w:spacing w:after="0" w:line="195" w:lineRule="exact"/>
        <w:rPr>
          <w:rFonts w:ascii="Times New Roman" w:cs="Times New Roman" w:eastAsia="Times New Roman" w:hAnsi="Times New Roman"/>
          <w:sz w:val="18"/>
          <w:szCs w:val="18"/>
          <w:color w:val="auto"/>
        </w:rPr>
      </w:pPr>
    </w:p>
    <w:p>
      <w:pPr>
        <w:ind w:left="380" w:right="160" w:hanging="326"/>
        <w:spacing w:after="0" w:line="286" w:lineRule="auto"/>
        <w:tabs>
          <w:tab w:leader="none" w:pos="37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C-3 as provided in Attachment 4 to this Change Order.</w:t>
      </w: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27" w:lineRule="exact"/>
        <w:rPr>
          <w:sz w:val="20"/>
          <w:szCs w:val="20"/>
          <w:color w:val="auto"/>
        </w:rPr>
      </w:pPr>
    </w:p>
    <w:p>
      <w:pPr>
        <w:ind w:left="540" w:right="320"/>
        <w:spacing w:after="0" w:line="250" w:lineRule="auto"/>
        <w:rPr>
          <w:sz w:val="20"/>
          <w:szCs w:val="20"/>
          <w:color w:val="auto"/>
        </w:rPr>
      </w:pPr>
      <w:r>
        <w:rPr>
          <w:rFonts w:ascii="Times New Roman" w:cs="Times New Roman" w:eastAsia="Times New Roman" w:hAnsi="Times New Roman"/>
          <w:sz w:val="18"/>
          <w:szCs w:val="18"/>
          <w:color w:val="auto"/>
        </w:rPr>
        <w:t>Attachment 1 – Redline Mark-up of Drawing No. 26251-140-V305143-JD1-00001 Rev. 001 (Integrated Network Architecture CCB Furniture) Attachment 2 – First Amended Appendix 1 (Contract Price Breakdown), as updated by this Change Order Attachment 3 – First Amended Schedule C-2 (Payment Milestones), as updated by this Change Order</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Attachment 4 – First Amended Schedule C-3 (Maximum Cumulative Payment Schedule), as updated by this Change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400" w:top="590" w:right="339" w:bottom="1440" w:gutter="0" w:footer="0" w:header="0"/>
          <w:type w:val="continuous"/>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474345</wp:posOffset>
            </wp:positionV>
            <wp:extent cx="533209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53320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40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$8,658,280,000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700" w:type="dxa"/>
            <w:vAlign w:val="bottom"/>
            <w:gridSpan w:val="2"/>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w w:val="95"/>
              </w:rPr>
              <w:t>Net change by previously authorized</w:t>
            </w:r>
          </w:p>
        </w:tc>
        <w:tc>
          <w:tcPr>
            <w:tcW w:w="10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3"/>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$ 519,400,275</w:t>
            </w:r>
          </w:p>
        </w:tc>
        <w:tc>
          <w:tcPr>
            <w:tcW w:w="0" w:type="dxa"/>
            <w:vAlign w:val="bottom"/>
          </w:tcPr>
          <w:p>
            <w:pPr>
              <w:spacing w:after="0" w:line="20" w:lineRule="exact"/>
              <w:rPr>
                <w:sz w:val="1"/>
                <w:szCs w:val="1"/>
                <w:color w:val="auto"/>
              </w:rPr>
            </w:pPr>
          </w:p>
        </w:tc>
      </w:tr>
      <w:tr>
        <w:trPr>
          <w:trHeight w:val="183"/>
        </w:trPr>
        <w:tc>
          <w:tcPr>
            <w:tcW w:w="180" w:type="dxa"/>
            <w:vAlign w:val="bottom"/>
            <w:vMerge w:val="continue"/>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2700" w:type="dxa"/>
            <w:vAlign w:val="bottom"/>
            <w:gridSpan w:val="7"/>
          </w:tcPr>
          <w:p>
            <w:pPr>
              <w:ind w:left="140"/>
              <w:spacing w:after="0" w:line="182" w:lineRule="exact"/>
              <w:rPr>
                <w:sz w:val="20"/>
                <w:szCs w:val="20"/>
                <w:color w:val="auto"/>
              </w:rPr>
            </w:pPr>
            <w:r>
              <w:rPr>
                <w:rFonts w:ascii="Times New Roman" w:cs="Times New Roman" w:eastAsia="Times New Roman" w:hAnsi="Times New Roman"/>
                <w:sz w:val="18"/>
                <w:szCs w:val="18"/>
                <w:color w:val="auto"/>
              </w:rPr>
              <w:t>Change Orders (See Appendix 1)</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540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The Contract Price prior to this Change Order was  $9,177,680,275</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w:t>
            </w:r>
          </w:p>
        </w:tc>
        <w:tc>
          <w:tcPr>
            <w:tcW w:w="4040" w:type="dxa"/>
            <w:vAlign w:val="bottom"/>
            <w:gridSpan w:val="6"/>
          </w:tcPr>
          <w:p>
            <w:pPr>
              <w:ind w:left="140"/>
              <w:spacing w:after="0" w:line="191" w:lineRule="exact"/>
              <w:rPr>
                <w:sz w:val="20"/>
                <w:szCs w:val="20"/>
                <w:color w:val="auto"/>
              </w:rPr>
            </w:pPr>
            <w:r>
              <w:rPr>
                <w:rFonts w:ascii="Times New Roman" w:cs="Times New Roman" w:eastAsia="Times New Roman" w:hAnsi="Times New Roman"/>
                <w:sz w:val="18"/>
                <w:szCs w:val="18"/>
                <w:color w:val="auto"/>
                <w:w w:val="99"/>
              </w:rPr>
              <w:t xml:space="preserve">The Aggregate Equipment Price will be </w:t>
            </w:r>
            <w:r>
              <w:rPr>
                <w:rFonts w:ascii="Times New Roman" w:cs="Times New Roman" w:eastAsia="Times New Roman" w:hAnsi="Times New Roman"/>
                <w:sz w:val="18"/>
                <w:szCs w:val="18"/>
                <w:b w:val="1"/>
                <w:bCs w:val="1"/>
                <w:color w:val="auto"/>
                <w:w w:val="99"/>
              </w:rPr>
              <w:t>decreased</w:t>
            </w:r>
            <w:r>
              <w:rPr>
                <w:rFonts w:ascii="Times New Roman" w:cs="Times New Roman" w:eastAsia="Times New Roman" w:hAnsi="Times New Roman"/>
                <w:sz w:val="18"/>
                <w:szCs w:val="18"/>
                <w:color w:val="auto"/>
                <w:w w:val="99"/>
              </w:rPr>
              <w:t xml:space="preserve"> by</w:t>
            </w:r>
          </w:p>
        </w:tc>
        <w:tc>
          <w:tcPr>
            <w:tcW w:w="1040" w:type="dxa"/>
            <w:vAlign w:val="bottom"/>
            <w:tcBorders>
              <w:top w:val="single" w:sz="8" w:color="auto"/>
            </w:tcBorders>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this Change</w:t>
            </w:r>
          </w:p>
        </w:tc>
        <w:tc>
          <w:tcPr>
            <w:tcW w:w="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71"/>
              </w:rPr>
              <w:t>Order</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amount of</w:t>
            </w: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440" w:type="dxa"/>
            <w:vAlign w:val="bottom"/>
            <w:gridSpan w:val="12"/>
          </w:tcPr>
          <w:p>
            <w:pPr>
              <w:ind w:left="14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decreased</w:t>
            </w:r>
            <w:r>
              <w:rPr>
                <w:rFonts w:ascii="Times New Roman" w:cs="Times New Roman" w:eastAsia="Times New Roman" w:hAnsi="Times New Roman"/>
                <w:sz w:val="18"/>
                <w:szCs w:val="18"/>
                <w:color w:val="auto"/>
              </w:rPr>
              <w:t xml:space="preserve"> by this Change Order</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amount of</w:t>
            </w: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6)</w:t>
            </w:r>
          </w:p>
        </w:tc>
        <w:tc>
          <w:tcPr>
            <w:tcW w:w="6440" w:type="dxa"/>
            <w:vAlign w:val="bottom"/>
            <w:gridSpan w:val="12"/>
          </w:tcPr>
          <w:p>
            <w:pPr>
              <w:ind w:left="140"/>
              <w:spacing w:after="0" w:line="193" w:lineRule="exact"/>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decreased</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310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w:t>
            </w:r>
          </w:p>
        </w:tc>
        <w:tc>
          <w:tcPr>
            <w:tcW w:w="88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(514,750)</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440" w:type="dxa"/>
            <w:vAlign w:val="bottom"/>
            <w:gridSpan w:val="12"/>
          </w:tcPr>
          <w:p>
            <w:pPr>
              <w:ind w:left="140"/>
              <w:spacing w:after="0" w:line="196" w:lineRule="exact"/>
              <w:rPr>
                <w:sz w:val="20"/>
                <w:szCs w:val="20"/>
                <w:color w:val="auto"/>
              </w:rPr>
            </w:pPr>
            <w:r>
              <w:rPr>
                <w:rFonts w:ascii="Times New Roman" w:cs="Times New Roman" w:eastAsia="Times New Roman" w:hAnsi="Times New Roman"/>
                <w:sz w:val="18"/>
                <w:szCs w:val="18"/>
                <w:color w:val="auto"/>
              </w:rPr>
              <w:t>The new Contract Price including this Change Order will be  $9,177,165,525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jc w:val="both"/>
        <w:ind w:left="60" w:right="4520"/>
        <w:spacing w:after="0" w:line="271"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34" w:lineRule="exact"/>
        <w:rPr>
          <w:sz w:val="20"/>
          <w:szCs w:val="20"/>
          <w:color w:val="auto"/>
        </w:rPr>
      </w:pPr>
    </w:p>
    <w:p>
      <w:pPr>
        <w:ind w:left="60" w:right="16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Impact on Payment Schedule (including, as applicable, Payment Milestones): </w:t>
      </w:r>
      <w:r>
        <w:rPr>
          <w:rFonts w:ascii="Times New Roman" w:cs="Times New Roman" w:eastAsia="Times New Roman" w:hAnsi="Times New Roman"/>
          <w:sz w:val="18"/>
          <w:szCs w:val="18"/>
          <w:color w:val="auto"/>
        </w:rPr>
        <w:t>The Schedule C-2 (Payment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Milestones) is updated as provided in Attachment 3. </w:t>
      </w:r>
      <w:r>
        <w:rPr>
          <w:rFonts w:ascii="Times New Roman" w:cs="Times New Roman" w:eastAsia="Times New Roman" w:hAnsi="Times New Roman"/>
          <w:sz w:val="18"/>
          <w:szCs w:val="18"/>
          <w:b w:val="1"/>
          <w:bCs w:val="1"/>
          <w:color w:val="auto"/>
        </w:rPr>
        <w:t>Impact on Maximum Cumulative Payment Schedule: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4. Impact on Minimum Acceptance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Criteria: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Performance Guarantees: </w:t>
      </w:r>
      <w:r>
        <w:rPr>
          <w:rFonts w:ascii="Times New Roman" w:cs="Times New Roman" w:eastAsia="Times New Roman" w:hAnsi="Times New Roman"/>
          <w:sz w:val="18"/>
          <w:szCs w:val="18"/>
          <w:b w:val="1"/>
          <w:bCs w:val="1"/>
          <w:color w:val="auto"/>
        </w:rPr>
        <w:t>N/A</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Basis of Design: </w:t>
      </w:r>
      <w:r>
        <w:rPr>
          <w:rFonts w:ascii="Times New Roman" w:cs="Times New Roman" w:eastAsia="Times New Roman" w:hAnsi="Times New Roman"/>
          <w:sz w:val="18"/>
          <w:szCs w:val="18"/>
          <w:b w:val="1"/>
          <w:bCs w:val="1"/>
          <w:color w:val="auto"/>
        </w:rPr>
        <w:t>N/A</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the Total Reimbursement Amount: </w:t>
      </w:r>
      <w:r>
        <w:rPr>
          <w:rFonts w:ascii="Times New Roman" w:cs="Times New Roman" w:eastAsia="Times New Roman" w:hAnsi="Times New Roman"/>
          <w:sz w:val="18"/>
          <w:szCs w:val="18"/>
          <w:b w:val="1"/>
          <w:bCs w:val="1"/>
          <w:color w:val="auto"/>
        </w:rPr>
        <w:t>N/A</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ind w:left="60" w:right="320" w:hanging="6"/>
        <w:spacing w:after="0" w:line="286" w:lineRule="auto"/>
        <w:tabs>
          <w:tab w:leader="none" w:pos="51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99" w:lineRule="exact"/>
        <w:rPr>
          <w:sz w:val="20"/>
          <w:szCs w:val="20"/>
          <w:color w:val="auto"/>
        </w:rPr>
      </w:pPr>
    </w:p>
    <w:p>
      <w:pPr>
        <w:ind w:left="60"/>
        <w:spacing w:after="0"/>
        <w:tabs>
          <w:tab w:leader="none" w:pos="83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-59055</wp:posOffset>
            </wp:positionV>
            <wp:extent cx="64071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6407150" cy="8890"/>
                    </a:xfrm>
                    <a:prstGeom prst="rect">
                      <a:avLst/>
                    </a:prstGeom>
                    <a:noFill/>
                  </pic:spPr>
                </pic:pic>
              </a:graphicData>
            </a:graphic>
          </wp:anchor>
        </w:drawing>
      </w:r>
    </w:p>
    <w:p>
      <w:pPr>
        <w:spacing w:after="0" w:line="7" w:lineRule="exact"/>
        <w:rPr>
          <w:sz w:val="20"/>
          <w:szCs w:val="20"/>
          <w:color w:val="auto"/>
        </w:rPr>
      </w:pPr>
    </w:p>
    <w:p>
      <w:pPr>
        <w:ind w:left="60" w:right="320"/>
        <w:spacing w:after="0" w:line="260" w:lineRule="auto"/>
        <w:rPr>
          <w:sz w:val="20"/>
          <w:szCs w:val="20"/>
          <w:color w:val="auto"/>
        </w:rPr>
      </w:pPr>
      <w:r>
        <w:rPr>
          <w:rFonts w:ascii="Times New Roman" w:cs="Times New Roman" w:eastAsia="Times New Roman" w:hAnsi="Times New Roman"/>
          <w:sz w:val="18"/>
          <w:szCs w:val="18"/>
          <w:color w:val="auto"/>
          <w:strike w:val="1"/>
        </w:rPr>
        <w:t xml:space="preserve">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ectPr>
          <w:pgSz w:w="11900" w:h="16838" w:orient="portrait"/>
          <w:cols w:equalWidth="0" w:num="1">
            <w:col w:w="11160"/>
          </w:cols>
          <w:pgMar w:left="400" w:top="5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400" w:top="590" w:right="339" w:bottom="1440" w:gutter="0" w:footer="0" w:header="0"/>
          <w:type w:val="continuous"/>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400" w:top="590"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40" w:right="32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 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 Alex Thompson</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/s/ Scott Osborne</w:t>
            </w:r>
          </w:p>
        </w:tc>
      </w:tr>
      <w:tr>
        <w:trPr>
          <w:trHeight w:val="20"/>
        </w:trPr>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32"/>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Owner</w:t>
            </w:r>
          </w:p>
        </w:tc>
        <w:tc>
          <w:tcPr>
            <w:tcW w:w="10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Contractor</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140" w:type="dxa"/>
            <w:vAlign w:val="bottom"/>
          </w:tcPr>
          <w:p>
            <w:pPr>
              <w:spacing w:after="0"/>
              <w:rPr>
                <w:sz w:val="16"/>
                <w:szCs w:val="16"/>
                <w:color w:val="auto"/>
              </w:rPr>
            </w:pPr>
          </w:p>
        </w:tc>
        <w:tc>
          <w:tcPr>
            <w:tcW w:w="15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Alex Thompson</w:t>
            </w:r>
          </w:p>
        </w:tc>
        <w:tc>
          <w:tcPr>
            <w:tcW w:w="21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Scott Osborne</w:t>
            </w:r>
          </w:p>
        </w:tc>
      </w:tr>
      <w:tr>
        <w:trPr>
          <w:trHeight w:val="191"/>
        </w:trPr>
        <w:tc>
          <w:tcPr>
            <w:tcW w:w="140" w:type="dxa"/>
            <w:vAlign w:val="bottom"/>
          </w:tcPr>
          <w:p>
            <w:pPr>
              <w:spacing w:after="0"/>
              <w:rPr>
                <w:sz w:val="16"/>
                <w:szCs w:val="16"/>
                <w:color w:val="auto"/>
              </w:rPr>
            </w:pPr>
          </w:p>
        </w:tc>
        <w:tc>
          <w:tcPr>
            <w:tcW w:w="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840" w:type="dxa"/>
            <w:vAlign w:val="bottom"/>
            <w:tcBorders>
              <w:top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140" w:type="dxa"/>
            <w:vAlign w:val="bottom"/>
          </w:tcPr>
          <w:p>
            <w:pPr>
              <w:spacing w:after="0"/>
              <w:rPr>
                <w:sz w:val="16"/>
                <w:szCs w:val="16"/>
                <w:color w:val="auto"/>
              </w:rPr>
            </w:pPr>
          </w:p>
        </w:tc>
        <w:tc>
          <w:tcPr>
            <w:tcW w:w="15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Authorized Person</w:t>
            </w:r>
          </w:p>
        </w:tc>
        <w:tc>
          <w:tcPr>
            <w:tcW w:w="2140" w:type="dxa"/>
            <w:vAlign w:val="bottom"/>
            <w:gridSpan w:val="7"/>
          </w:tcPr>
          <w:p>
            <w:pPr>
              <w:ind w:left="180"/>
              <w:spacing w:after="0" w:line="194" w:lineRule="exact"/>
              <w:rPr>
                <w:sz w:val="20"/>
                <w:szCs w:val="20"/>
                <w:color w:val="auto"/>
              </w:rPr>
            </w:pPr>
            <w:r>
              <w:rPr>
                <w:rFonts w:ascii="Times New Roman" w:cs="Times New Roman" w:eastAsia="Times New Roman" w:hAnsi="Times New Roman"/>
                <w:sz w:val="18"/>
                <w:szCs w:val="18"/>
                <w:color w:val="auto"/>
              </w:rPr>
              <w:t>Senior Project Manager</w:t>
            </w:r>
          </w:p>
        </w:tc>
      </w:tr>
      <w:tr>
        <w:trPr>
          <w:trHeight w:val="218"/>
        </w:trPr>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10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6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January 30, 2024</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4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January 30, 2024</w:t>
            </w:r>
          </w:p>
        </w:tc>
      </w:tr>
      <w:tr>
        <w:trPr>
          <w:trHeight w:val="20"/>
        </w:trPr>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Date of Signing</w:t>
      </w:r>
      <w:r>
        <w:rPr>
          <w:sz w:val="20"/>
          <w:szCs w:val="20"/>
          <w:color w:val="auto"/>
        </w:rPr>
        <w:tab/>
      </w:r>
      <w:r>
        <w:rPr>
          <w:rFonts w:ascii="Times New Roman" w:cs="Times New Roman" w:eastAsia="Times New Roman" w:hAnsi="Times New Roman"/>
          <w:sz w:val="17"/>
          <w:szCs w:val="17"/>
          <w:color w:val="auto"/>
        </w:rPr>
        <w:t>Date of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590"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400" w:top="590" w:right="339" w:bottom="1440" w:gutter="0" w:footer="0" w:header="0"/>
        </w:sectPr>
      </w:pPr>
    </w:p>
    <w:bookmarkStart w:id="177" w:name="page178"/>
    <w:bookmarkEnd w:id="177"/>
    <w:p>
      <w:pPr>
        <w:spacing w:after="0" w:line="218" w:lineRule="auto"/>
        <w:framePr w:w="5400" w:h="376" w:wrap="auto" w:vAnchor="page" w:hAnchor="page" w:x="420" w:y="243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Trains 1 and 2</w:t>
      </w:r>
    </w:p>
    <w:p>
      <w:pPr>
        <w:spacing w:after="0" w:line="185" w:lineRule="auto"/>
        <w:framePr w:w="2580" w:h="160" w:wrap="auto" w:vAnchor="page" w:hAnchor="page" w:x="420" w:y="2977"/>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196" w:lineRule="auto"/>
        <w:framePr w:w="2920" w:h="160" w:wrap="auto" w:vAnchor="page" w:hAnchor="page" w:x="420" w:y="3287"/>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CONTRACTOR: </w:t>
      </w:r>
      <w:r>
        <w:rPr>
          <w:rFonts w:ascii="Times New Roman" w:cs="Times New Roman" w:eastAsia="Times New Roman" w:hAnsi="Times New Roman"/>
          <w:sz w:val="17"/>
          <w:szCs w:val="17"/>
          <w:color w:val="auto"/>
        </w:rPr>
        <w:t>Bechtel Energy Inc.</w:t>
      </w:r>
    </w:p>
    <w:p>
      <w:pPr>
        <w:spacing w:after="0" w:line="185" w:lineRule="auto"/>
        <w:framePr w:w="4940" w:h="160" w:wrap="auto" w:vAnchor="page" w:hAnchor="page" w:x="420" w:y="2113"/>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12" w:lineRule="exact"/>
        <w:rPr>
          <w:rFonts w:ascii="Times New Roman" w:cs="Times New Roman" w:eastAsia="Times New Roman" w:hAnsi="Times New Roman"/>
          <w:sz w:val="18"/>
          <w:szCs w:val="18"/>
          <w:b w:val="1"/>
          <w:bCs w:val="1"/>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CHANGE ORDER</w:t>
      </w:r>
    </w:p>
    <w:p>
      <w:pPr>
        <w:spacing w:after="0" w:line="130" w:lineRule="exact"/>
        <w:rPr>
          <w:rFonts w:ascii="Times New Roman" w:cs="Times New Roman" w:eastAsia="Times New Roman" w:hAnsi="Times New Roman"/>
          <w:sz w:val="18"/>
          <w:szCs w:val="18"/>
          <w:b w:val="1"/>
          <w:bCs w:val="1"/>
          <w:color w:val="auto"/>
        </w:rPr>
      </w:pPr>
    </w:p>
    <w:p>
      <w:pPr>
        <w:ind w:left="154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pacing w:after="0" w:line="27" w:lineRule="exact"/>
        <w:rPr>
          <w:rFonts w:ascii="Times New Roman" w:cs="Times New Roman" w:eastAsia="Times New Roman" w:hAnsi="Times New Roman"/>
          <w:sz w:val="18"/>
          <w:szCs w:val="18"/>
          <w:b w:val="1"/>
          <w:bCs w:val="1"/>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14, 2022</w:t>
      </w:r>
    </w:p>
    <w:p>
      <w:pPr>
        <w:spacing w:after="0" w:line="95" w:lineRule="exact"/>
        <w:rPr>
          <w:rFonts w:ascii="Times New Roman" w:cs="Times New Roman" w:eastAsia="Times New Roman" w:hAnsi="Times New Roman"/>
          <w:sz w:val="18"/>
          <w:szCs w:val="18"/>
          <w:b w:val="1"/>
          <w:bCs w:val="1"/>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29" w:lineRule="exact"/>
        <w:rPr>
          <w:rFonts w:ascii="Times New Roman" w:cs="Times New Roman" w:eastAsia="Times New Roman" w:hAnsi="Times New Roman"/>
          <w:sz w:val="18"/>
          <w:szCs w:val="18"/>
          <w:b w:val="1"/>
          <w:bCs w:val="1"/>
          <w:color w:val="auto"/>
        </w:rPr>
      </w:pPr>
    </w:p>
    <w:p>
      <w:pPr>
        <w:ind w:left="5740"/>
        <w:spacing w:after="0"/>
        <w:rPr>
          <w:sz w:val="20"/>
          <w:szCs w:val="20"/>
          <w:color w:val="auto"/>
        </w:rPr>
      </w:pPr>
      <w:r>
        <w:rPr>
          <w:rFonts w:ascii="Times New Roman" w:cs="Times New Roman" w:eastAsia="Times New Roman" w:hAnsi="Times New Roman"/>
          <w:sz w:val="18"/>
          <w:szCs w:val="18"/>
          <w:color w:val="auto"/>
        </w:rPr>
        <w:t>Owner EC Number: EC00124</w:t>
      </w:r>
    </w:p>
    <w:p>
      <w:pPr>
        <w:ind w:left="5600"/>
        <w:spacing w:after="0"/>
        <w:rPr>
          <w:sz w:val="20"/>
          <w:szCs w:val="20"/>
          <w:color w:val="auto"/>
        </w:rPr>
      </w:pPr>
      <w:r>
        <w:rPr>
          <w:rFonts w:ascii="Times New Roman" w:cs="Times New Roman" w:eastAsia="Times New Roman" w:hAnsi="Times New Roman"/>
          <w:sz w:val="18"/>
          <w:szCs w:val="18"/>
          <w:color w:val="auto"/>
        </w:rPr>
        <w:t>Contractor Change Number SC0075</w:t>
      </w:r>
    </w:p>
    <w:p>
      <w:pPr>
        <w:spacing w:after="0" w:line="66" w:lineRule="exact"/>
        <w:rPr>
          <w:rFonts w:ascii="Times New Roman" w:cs="Times New Roman" w:eastAsia="Times New Roman" w:hAnsi="Times New Roman"/>
          <w:sz w:val="18"/>
          <w:szCs w:val="18"/>
          <w:b w:val="1"/>
          <w:bCs w:val="1"/>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rFonts w:ascii="Times New Roman" w:cs="Times New Roman" w:eastAsia="Times New Roman" w:hAnsi="Times New Roman"/>
          <w:sz w:val="18"/>
          <w:szCs w:val="18"/>
          <w:b w:val="1"/>
          <w:bCs w:val="1"/>
          <w:color w:val="auto"/>
        </w:rPr>
      </w:pPr>
    </w:p>
    <w:p>
      <w:pPr>
        <w:ind w:left="574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29" w:lineRule="exact"/>
        <w:rPr>
          <w:rFonts w:ascii="Times New Roman" w:cs="Times New Roman" w:eastAsia="Times New Roman" w:hAnsi="Times New Roman"/>
          <w:sz w:val="18"/>
          <w:szCs w:val="18"/>
          <w:b w:val="1"/>
          <w:bCs w:val="1"/>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TITLE: ATTACHMENT G</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151130</wp:posOffset>
            </wp:positionH>
            <wp:positionV relativeFrom="paragraph">
              <wp:posOffset>-65405</wp:posOffset>
            </wp:positionV>
            <wp:extent cx="538353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1" w:lineRule="exact"/>
        <w:rPr>
          <w:rFonts w:ascii="Times New Roman" w:cs="Times New Roman" w:eastAsia="Times New Roman" w:hAnsi="Times New Roman"/>
          <w:sz w:val="18"/>
          <w:szCs w:val="18"/>
          <w:b w:val="1"/>
          <w:bCs w:val="1"/>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 UPDATES AND ADDITIONS</w:t>
      </w:r>
    </w:p>
    <w:p>
      <w:pPr>
        <w:spacing w:after="0" w:line="9" w:lineRule="exact"/>
        <w:rPr>
          <w:rFonts w:ascii="Times New Roman" w:cs="Times New Roman" w:eastAsia="Times New Roman" w:hAnsi="Times New Roman"/>
          <w:sz w:val="18"/>
          <w:szCs w:val="18"/>
          <w:b w:val="1"/>
          <w:bCs w:val="1"/>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30" w:lineRule="exact"/>
        <w:rPr>
          <w:rFonts w:ascii="Times New Roman" w:cs="Times New Roman" w:eastAsia="Times New Roman" w:hAnsi="Times New Roman"/>
          <w:sz w:val="18"/>
          <w:szCs w:val="18"/>
          <w:b w:val="1"/>
          <w:bCs w:val="1"/>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56" w:lineRule="exact"/>
        <w:rPr>
          <w:rFonts w:ascii="Times New Roman" w:cs="Times New Roman" w:eastAsia="Times New Roman" w:hAnsi="Times New Roman"/>
          <w:sz w:val="18"/>
          <w:szCs w:val="18"/>
          <w:b w:val="1"/>
          <w:bCs w:val="1"/>
          <w:color w:val="auto"/>
        </w:rPr>
      </w:pPr>
    </w:p>
    <w:p>
      <w:pPr>
        <w:jc w:val="both"/>
        <w:ind w:left="60" w:right="560"/>
        <w:spacing w:after="0" w:line="266" w:lineRule="auto"/>
        <w:rPr>
          <w:sz w:val="20"/>
          <w:szCs w:val="20"/>
          <w:color w:val="auto"/>
        </w:rPr>
      </w:pPr>
      <w:r>
        <w:rPr>
          <w:rFonts w:ascii="Times New Roman" w:cs="Times New Roman" w:eastAsia="Times New Roman" w:hAnsi="Times New Roman"/>
          <w:sz w:val="18"/>
          <w:szCs w:val="18"/>
          <w:color w:val="auto"/>
        </w:rPr>
        <w:t>Pursuant to Section 2.4B. (Subcontracts and Sub-subcontracts) Contractor has notified Owner of requested editorial updates to Subcontractor names and additions of new Subcontractors to Attachment G (Approved Subcontractors and Sub-subcontractors) and Owner has agreed to the edits and additions.</w:t>
      </w:r>
    </w:p>
    <w:p>
      <w:pPr>
        <w:spacing w:after="0" w:line="199" w:lineRule="exact"/>
        <w:rPr>
          <w:rFonts w:ascii="Times New Roman" w:cs="Times New Roman" w:eastAsia="Times New Roman" w:hAnsi="Times New Roman"/>
          <w:sz w:val="18"/>
          <w:szCs w:val="18"/>
          <w:b w:val="1"/>
          <w:bCs w:val="1"/>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52" w:lineRule="exact"/>
        <w:rPr>
          <w:rFonts w:ascii="Times New Roman" w:cs="Times New Roman" w:eastAsia="Times New Roman" w:hAnsi="Times New Roman"/>
          <w:sz w:val="18"/>
          <w:szCs w:val="18"/>
          <w:b w:val="1"/>
          <w:bCs w:val="1"/>
          <w:color w:val="auto"/>
        </w:rPr>
      </w:pPr>
    </w:p>
    <w:p>
      <w:pPr>
        <w:ind w:left="700" w:right="1420" w:hanging="322"/>
        <w:spacing w:after="0" w:line="286" w:lineRule="auto"/>
        <w:tabs>
          <w:tab w:leader="none" w:pos="69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G (Approved Subcontractors and Sub-Subcontractors)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Attachment G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Attachment 1 to this Change Order.</w:t>
      </w:r>
    </w:p>
    <w:p>
      <w:pPr>
        <w:spacing w:after="0" w:line="186" w:lineRule="exact"/>
        <w:rPr>
          <w:rFonts w:ascii="Times New Roman" w:cs="Times New Roman" w:eastAsia="Times New Roman" w:hAnsi="Times New Roman"/>
          <w:sz w:val="18"/>
          <w:szCs w:val="18"/>
          <w:b w:val="1"/>
          <w:bCs w:val="1"/>
          <w:color w:val="auto"/>
        </w:rPr>
      </w:pPr>
    </w:p>
    <w:p>
      <w:pPr>
        <w:ind w:left="60"/>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16" w:lineRule="exact"/>
        <w:rPr>
          <w:rFonts w:ascii="Times New Roman" w:cs="Times New Roman" w:eastAsia="Times New Roman" w:hAnsi="Times New Roman"/>
          <w:sz w:val="18"/>
          <w:szCs w:val="18"/>
          <w:b w:val="1"/>
          <w:bCs w:val="1"/>
          <w:color w:val="auto"/>
        </w:rPr>
      </w:pPr>
    </w:p>
    <w:p>
      <w:pPr>
        <w:ind w:left="540"/>
        <w:spacing w:after="0"/>
        <w:rPr>
          <w:sz w:val="20"/>
          <w:szCs w:val="20"/>
          <w:color w:val="auto"/>
        </w:rPr>
      </w:pPr>
      <w:r>
        <w:rPr>
          <w:rFonts w:ascii="Times New Roman" w:cs="Times New Roman" w:eastAsia="Times New Roman" w:hAnsi="Times New Roman"/>
          <w:sz w:val="18"/>
          <w:szCs w:val="18"/>
          <w:color w:val="auto"/>
        </w:rPr>
        <w:t>Attachment 1: Attachment G (Approved Subcontractors and Sub-Subcontractors) as updated by this Change Order</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-45085</wp:posOffset>
            </wp:positionH>
            <wp:positionV relativeFrom="paragraph">
              <wp:posOffset>13335</wp:posOffset>
            </wp:positionV>
            <wp:extent cx="51777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5177790" cy="17145"/>
                    </a:xfrm>
                    <a:prstGeom prst="rect">
                      <a:avLst/>
                    </a:prstGeom>
                    <a:noFill/>
                  </pic:spPr>
                </pic:pic>
              </a:graphicData>
            </a:graphic>
          </wp:anchor>
        </w:drawing>
      </w:r>
    </w:p>
    <w:p>
      <w:pPr>
        <w:spacing w:after="0" w:line="276" w:lineRule="exact"/>
        <w:rPr>
          <w:rFonts w:ascii="Times New Roman" w:cs="Times New Roman" w:eastAsia="Times New Roman" w:hAnsi="Times New Roman"/>
          <w:sz w:val="18"/>
          <w:szCs w:val="18"/>
          <w:b w:val="1"/>
          <w:bCs w:val="1"/>
          <w:color w:val="auto"/>
        </w:rPr>
      </w:pPr>
    </w:p>
    <w:tbl>
      <w:tblPr>
        <w:tblLayout w:type="fixed"/>
        <w:tblInd w:w="60" w:type="dxa"/>
        <w:tblCellMar>
          <w:top w:w="0" w:type="dxa"/>
          <w:left w:w="0" w:type="dxa"/>
          <w:bottom w:w="0" w:type="dxa"/>
          <w:right w:w="0" w:type="dxa"/>
        </w:tblCellMar>
      </w:tblPr>
      <w:tr>
        <w:trPr>
          <w:trHeight w:val="22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original Contract Price was  $8,658,280,000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$ 518,885,525</w:t>
            </w:r>
          </w:p>
        </w:tc>
        <w:tc>
          <w:tcPr>
            <w:tcW w:w="1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w:t>
            </w:r>
          </w:p>
        </w:tc>
        <w:tc>
          <w:tcPr>
            <w:tcW w:w="544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7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40" w:type="dxa"/>
            <w:vAlign w:val="bottom"/>
            <w:vMerge w:val="continue"/>
          </w:tcPr>
          <w:p>
            <w:pPr>
              <w:spacing w:after="0"/>
              <w:rPr>
                <w:sz w:val="16"/>
                <w:szCs w:val="16"/>
                <w:color w:val="auto"/>
              </w:rPr>
            </w:pPr>
          </w:p>
        </w:tc>
        <w:tc>
          <w:tcPr>
            <w:tcW w:w="6380" w:type="dxa"/>
            <w:vAlign w:val="bottom"/>
            <w:gridSpan w:val="4"/>
          </w:tcPr>
          <w:p>
            <w:pPr>
              <w:ind w:left="1100"/>
              <w:spacing w:after="0" w:line="188" w:lineRule="exact"/>
              <w:rPr>
                <w:sz w:val="20"/>
                <w:szCs w:val="20"/>
                <w:color w:val="auto"/>
              </w:rPr>
            </w:pPr>
            <w:r>
              <w:rPr>
                <w:rFonts w:ascii="Times New Roman" w:cs="Times New Roman" w:eastAsia="Times New Roman" w:hAnsi="Times New Roman"/>
                <w:sz w:val="18"/>
                <w:szCs w:val="18"/>
                <w:color w:val="auto"/>
              </w:rPr>
              <w:t>The Contract Price prior to this Change Order was  $9,177,165,525</w:t>
            </w:r>
          </w:p>
        </w:tc>
        <w:tc>
          <w:tcPr>
            <w:tcW w:w="1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4)</w:t>
            </w:r>
          </w:p>
        </w:tc>
        <w:tc>
          <w:tcPr>
            <w:tcW w:w="5540" w:type="dxa"/>
            <w:vAlign w:val="bottom"/>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0"/>
              </w:rPr>
              <w:t xml:space="preserve">in the amount of </w:t>
            </w:r>
            <w:r>
              <w:rPr>
                <w:rFonts w:ascii="Times New Roman" w:cs="Times New Roman" w:eastAsia="Times New Roman" w:hAnsi="Times New Roman"/>
                <w:sz w:val="21"/>
                <w:szCs w:val="21"/>
                <w:color w:val="auto"/>
                <w:w w:val="80"/>
              </w:rPr>
              <w:t>.........................................................................................................</w:t>
            </w:r>
          </w:p>
        </w:tc>
        <w:tc>
          <w:tcPr>
            <w:tcW w:w="100" w:type="dxa"/>
            <w:vAlign w:val="bottom"/>
          </w:tcPr>
          <w:p>
            <w:pPr>
              <w:spacing w:after="0"/>
              <w:rPr>
                <w:sz w:val="21"/>
                <w:szCs w:val="21"/>
                <w:color w:val="auto"/>
              </w:rPr>
            </w:pPr>
          </w:p>
        </w:tc>
        <w:tc>
          <w:tcPr>
            <w:tcW w:w="2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4"/>
        </w:trPr>
        <w:tc>
          <w:tcPr>
            <w:tcW w:w="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5)</w:t>
            </w:r>
          </w:p>
        </w:tc>
        <w:tc>
          <w:tcPr>
            <w:tcW w:w="8080" w:type="dxa"/>
            <w:vAlign w:val="bottom"/>
            <w:gridSpan w:val="5"/>
          </w:tcPr>
          <w:p>
            <w:pPr>
              <w:ind w:left="80"/>
              <w:spacing w:after="0" w:line="184" w:lineRule="exact"/>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5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1"/>
              </w:rPr>
              <w:t xml:space="preserve">in the amount of </w:t>
            </w:r>
            <w:r>
              <w:rPr>
                <w:rFonts w:ascii="Times New Roman" w:cs="Times New Roman" w:eastAsia="Times New Roman" w:hAnsi="Times New Roman"/>
                <w:sz w:val="21"/>
                <w:szCs w:val="21"/>
                <w:color w:val="auto"/>
                <w:w w:val="81"/>
              </w:rPr>
              <w:t>........................................................................................................</w:t>
            </w:r>
          </w:p>
        </w:tc>
        <w:tc>
          <w:tcPr>
            <w:tcW w:w="100" w:type="dxa"/>
            <w:vAlign w:val="bottom"/>
          </w:tcPr>
          <w:p>
            <w:pPr>
              <w:spacing w:after="0"/>
              <w:rPr>
                <w:sz w:val="21"/>
                <w:szCs w:val="21"/>
                <w:color w:val="auto"/>
              </w:rPr>
            </w:pPr>
          </w:p>
        </w:tc>
        <w:tc>
          <w:tcPr>
            <w:tcW w:w="2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4"/>
        </w:trPr>
        <w:tc>
          <w:tcPr>
            <w:tcW w:w="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6)</w:t>
            </w:r>
          </w:p>
        </w:tc>
        <w:tc>
          <w:tcPr>
            <w:tcW w:w="5540" w:type="dxa"/>
            <w:vAlign w:val="bottom"/>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unchanged</w:t>
            </w:r>
          </w:p>
        </w:tc>
        <w:tc>
          <w:tcPr>
            <w:tcW w:w="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p>
        </w:tc>
        <w:tc>
          <w:tcPr>
            <w:tcW w:w="5440" w:type="dxa"/>
            <w:vAlign w:val="bottom"/>
            <w:gridSpan w:val="2"/>
          </w:tcPr>
          <w:p>
            <w:pPr>
              <w:jc w:val="right"/>
              <w:spacing w:after="0" w:line="238" w:lineRule="exact"/>
              <w:rPr>
                <w:sz w:val="20"/>
                <w:szCs w:val="20"/>
                <w:color w:val="auto"/>
              </w:rPr>
            </w:pPr>
            <w:r>
              <w:rPr>
                <w:rFonts w:ascii="Times New Roman" w:cs="Times New Roman" w:eastAsia="Times New Roman" w:hAnsi="Times New Roman"/>
                <w:sz w:val="18"/>
                <w:szCs w:val="18"/>
                <w:color w:val="auto"/>
                <w:w w:val="80"/>
              </w:rPr>
              <w:t>by this Change Order in the amount of</w:t>
            </w:r>
            <w:r>
              <w:rPr>
                <w:rFonts w:ascii="Times New Roman" w:cs="Times New Roman" w:eastAsia="Times New Roman" w:hAnsi="Times New Roman"/>
                <w:sz w:val="21"/>
                <w:szCs w:val="21"/>
                <w:color w:val="auto"/>
                <w:w w:val="80"/>
              </w:rPr>
              <w:t>............................................................................</w:t>
            </w:r>
          </w:p>
        </w:tc>
        <w:tc>
          <w:tcPr>
            <w:tcW w:w="100" w:type="dxa"/>
            <w:vAlign w:val="bottom"/>
          </w:tcPr>
          <w:p>
            <w:pPr>
              <w:spacing w:after="0"/>
              <w:rPr>
                <w:sz w:val="20"/>
                <w:szCs w:val="20"/>
                <w:color w:val="auto"/>
              </w:rPr>
            </w:pPr>
          </w:p>
        </w:tc>
        <w:tc>
          <w:tcPr>
            <w:tcW w:w="2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The new Contract Price including this Change Order will be</w:t>
            </w:r>
          </w:p>
        </w:tc>
        <w:tc>
          <w:tcPr>
            <w:tcW w:w="2540" w:type="dxa"/>
            <w:vAlign w:val="bottom"/>
            <w:gridSpan w:val="2"/>
          </w:tcPr>
          <w:p>
            <w:pPr>
              <w:jc w:val="right"/>
              <w:ind w:right="1340"/>
              <w:spacing w:after="0"/>
              <w:rPr>
                <w:sz w:val="20"/>
                <w:szCs w:val="20"/>
                <w:color w:val="auto"/>
              </w:rPr>
            </w:pPr>
            <w:r>
              <w:rPr>
                <w:rFonts w:ascii="Times New Roman" w:cs="Times New Roman" w:eastAsia="Times New Roman" w:hAnsi="Times New Roman"/>
                <w:sz w:val="18"/>
                <w:szCs w:val="18"/>
                <w:color w:val="auto"/>
              </w:rPr>
              <w:t>$9,177,165,525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4617720</wp:posOffset>
            </wp:positionH>
            <wp:positionV relativeFrom="paragraph">
              <wp:posOffset>-1268095</wp:posOffset>
            </wp:positionV>
            <wp:extent cx="6515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-1019810</wp:posOffset>
            </wp:positionV>
            <wp:extent cx="6515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-745490</wp:posOffset>
            </wp:positionV>
            <wp:extent cx="6515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-479425</wp:posOffset>
            </wp:positionV>
            <wp:extent cx="6515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-205105</wp:posOffset>
            </wp:positionV>
            <wp:extent cx="6515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-76835</wp:posOffset>
            </wp:positionV>
            <wp:extent cx="6515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14" w:lineRule="exact"/>
        <w:rPr>
          <w:rFonts w:ascii="Times New Roman" w:cs="Times New Roman" w:eastAsia="Times New Roman" w:hAnsi="Times New Roman"/>
          <w:sz w:val="18"/>
          <w:szCs w:val="18"/>
          <w:b w:val="1"/>
          <w:bCs w:val="1"/>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rFonts w:ascii="Times New Roman" w:cs="Times New Roman" w:eastAsia="Times New Roman" w:hAnsi="Times New Roman"/>
          <w:sz w:val="18"/>
          <w:szCs w:val="18"/>
          <w:b w:val="1"/>
          <w:bCs w:val="1"/>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228" w:lineRule="exact"/>
        <w:rPr>
          <w:rFonts w:ascii="Times New Roman" w:cs="Times New Roman" w:eastAsia="Times New Roman" w:hAnsi="Times New Roman"/>
          <w:sz w:val="18"/>
          <w:szCs w:val="18"/>
          <w:b w:val="1"/>
          <w:bCs w:val="1"/>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rFonts w:ascii="Times New Roman" w:cs="Times New Roman" w:eastAsia="Times New Roman" w:hAnsi="Times New Roman"/>
          <w:sz w:val="18"/>
          <w:szCs w:val="18"/>
          <w:b w:val="1"/>
          <w:bCs w:val="1"/>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rFonts w:ascii="Times New Roman" w:cs="Times New Roman" w:eastAsia="Times New Roman" w:hAnsi="Times New Roman"/>
          <w:sz w:val="18"/>
          <w:szCs w:val="18"/>
          <w:b w:val="1"/>
          <w:bCs w:val="1"/>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(list all Key Dates that are modified by this Change Order using the format set forth above)</w:t>
      </w:r>
    </w:p>
    <w:p>
      <w:pPr>
        <w:spacing w:after="0" w:line="230" w:lineRule="exact"/>
        <w:rPr>
          <w:rFonts w:ascii="Times New Roman" w:cs="Times New Roman" w:eastAsia="Times New Roman" w:hAnsi="Times New Roman"/>
          <w:sz w:val="18"/>
          <w:szCs w:val="18"/>
          <w:b w:val="1"/>
          <w:bCs w:val="1"/>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15" w:lineRule="exact"/>
        <w:rPr>
          <w:rFonts w:ascii="Times New Roman" w:cs="Times New Roman" w:eastAsia="Times New Roman" w:hAnsi="Times New Roman"/>
          <w:sz w:val="18"/>
          <w:szCs w:val="18"/>
          <w:b w:val="1"/>
          <w:bCs w:val="1"/>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ind w:left="60"/>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ectPr>
          <w:pgSz w:w="11900" w:h="16838" w:orient="portrait"/>
          <w:cols w:equalWidth="0" w:num="1">
            <w:col w:w="11160"/>
          </w:cols>
          <w:pgMar w:left="400" w:top="590" w:right="339" w:bottom="1440" w:gutter="0" w:footer="0" w:header="0"/>
        </w:sectPr>
      </w:pPr>
    </w:p>
    <w:p>
      <w:pPr>
        <w:spacing w:after="0" w:line="200" w:lineRule="exact"/>
        <w:rPr>
          <w:rFonts w:ascii="Times New Roman" w:cs="Times New Roman" w:eastAsia="Times New Roman" w:hAnsi="Times New Roman"/>
          <w:sz w:val="18"/>
          <w:szCs w:val="18"/>
          <w:b w:val="1"/>
          <w:bCs w:val="1"/>
          <w:color w:val="auto"/>
        </w:rPr>
      </w:pPr>
    </w:p>
    <w:p>
      <w:pPr>
        <w:spacing w:after="0" w:line="302"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400" w:top="590" w:right="339" w:bottom="1440" w:gutter="0" w:footer="0" w:header="0"/>
          <w:type w:val="continuous"/>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0" w:right="76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3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Impact on Payment Schedule (including, as applicable, Payment Milestones): N/A Impact on Maximum Cumulative</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Payment Schedule: N/A</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Impact on Minimum Acceptance Criteria: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Impact on Performance</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Guarantees: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Impact on Basis of Design: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Impact on the Total Reimbursement Amount: </w:t>
      </w:r>
      <w:r>
        <w:rPr>
          <w:rFonts w:ascii="Times New Roman" w:cs="Times New Roman" w:eastAsia="Times New Roman" w:hAnsi="Times New Roman"/>
          <w:sz w:val="18"/>
          <w:szCs w:val="18"/>
          <w:b w:val="1"/>
          <w:bCs w:val="1"/>
          <w:color w:val="auto"/>
        </w:rPr>
        <w:t>N/A</w:t>
      </w:r>
    </w:p>
    <w:p>
      <w:pPr>
        <w:spacing w:after="0" w:line="2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jc w:val="both"/>
        <w:ind w:left="140" w:right="560" w:hanging="6"/>
        <w:spacing w:after="0" w:line="286" w:lineRule="auto"/>
        <w:tabs>
          <w:tab w:leader="none" w:pos="64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99" w:lineRule="exact"/>
        <w:rPr>
          <w:sz w:val="20"/>
          <w:szCs w:val="20"/>
          <w:color w:val="auto"/>
        </w:rPr>
      </w:pPr>
    </w:p>
    <w:p>
      <w:pPr>
        <w:jc w:val="both"/>
        <w:ind w:left="140" w:right="560"/>
        <w:spacing w:after="0" w:line="26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auto"/>
          <w:strike w:val="1"/>
        </w:rPr>
        <w:t>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-360045</wp:posOffset>
            </wp:positionV>
            <wp:extent cx="5151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140" w:right="56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 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Alex Thompson</w:t>
            </w:r>
          </w:p>
        </w:tc>
        <w:tc>
          <w:tcPr>
            <w:tcW w:w="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8"/>
              </w:rPr>
              <w:t>/s/ Scott Osborne</w:t>
            </w:r>
          </w:p>
        </w:tc>
      </w:tr>
      <w:tr>
        <w:trPr>
          <w:trHeight w:val="232"/>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Owner</w:t>
            </w:r>
          </w:p>
        </w:tc>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Contractor</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140" w:type="dxa"/>
            <w:vAlign w:val="bottom"/>
          </w:tcPr>
          <w:p>
            <w:pPr>
              <w:spacing w:after="0"/>
              <w:rPr>
                <w:sz w:val="16"/>
                <w:szCs w:val="16"/>
                <w:color w:val="auto"/>
              </w:rPr>
            </w:pPr>
          </w:p>
        </w:tc>
        <w:tc>
          <w:tcPr>
            <w:tcW w:w="13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Alex Thompson</w:t>
            </w:r>
          </w:p>
        </w:tc>
        <w:tc>
          <w:tcPr>
            <w:tcW w:w="180" w:type="dxa"/>
            <w:vAlign w:val="bottom"/>
          </w:tcPr>
          <w:p>
            <w:pPr>
              <w:spacing w:after="0"/>
              <w:rPr>
                <w:sz w:val="16"/>
                <w:szCs w:val="16"/>
                <w:color w:val="auto"/>
              </w:rPr>
            </w:pPr>
          </w:p>
        </w:tc>
        <w:tc>
          <w:tcPr>
            <w:tcW w:w="120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Scott Osborne</w:t>
            </w:r>
          </w:p>
        </w:tc>
        <w:tc>
          <w:tcPr>
            <w:tcW w:w="940" w:type="dxa"/>
            <w:vAlign w:val="bottom"/>
            <w:gridSpan w:val="2"/>
          </w:tcPr>
          <w:p>
            <w:pPr>
              <w:spacing w:after="0"/>
              <w:rPr>
                <w:sz w:val="16"/>
                <w:szCs w:val="16"/>
                <w:color w:val="auto"/>
              </w:rPr>
            </w:pPr>
          </w:p>
        </w:tc>
      </w:tr>
      <w:tr>
        <w:trPr>
          <w:trHeight w:val="218"/>
        </w:trPr>
        <w:tc>
          <w:tcPr>
            <w:tcW w:w="1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40" w:type="dxa"/>
            <w:vAlign w:val="bottom"/>
          </w:tcPr>
          <w:p>
            <w:pPr>
              <w:spacing w:after="0"/>
              <w:rPr>
                <w:sz w:val="16"/>
                <w:szCs w:val="16"/>
                <w:color w:val="auto"/>
              </w:rPr>
            </w:pPr>
          </w:p>
        </w:tc>
        <w:tc>
          <w:tcPr>
            <w:tcW w:w="15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Authorized Person</w:t>
            </w:r>
          </w:p>
        </w:tc>
        <w:tc>
          <w:tcPr>
            <w:tcW w:w="2140" w:type="dxa"/>
            <w:vAlign w:val="bottom"/>
            <w:gridSpan w:val="5"/>
          </w:tcPr>
          <w:p>
            <w:pPr>
              <w:ind w:left="180"/>
              <w:spacing w:after="0" w:line="194" w:lineRule="exact"/>
              <w:rPr>
                <w:sz w:val="20"/>
                <w:szCs w:val="20"/>
                <w:color w:val="auto"/>
              </w:rPr>
            </w:pPr>
            <w:r>
              <w:rPr>
                <w:rFonts w:ascii="Times New Roman" w:cs="Times New Roman" w:eastAsia="Times New Roman" w:hAnsi="Times New Roman"/>
                <w:sz w:val="18"/>
                <w:szCs w:val="18"/>
                <w:color w:val="auto"/>
              </w:rPr>
              <w:t>Senior Project Manager</w:t>
            </w:r>
          </w:p>
        </w:tc>
      </w:tr>
      <w:tr>
        <w:trPr>
          <w:trHeight w:val="225"/>
        </w:trPr>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1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rPr>
          <w:sz w:val="20"/>
          <w:szCs w:val="20"/>
          <w:color w:val="auto"/>
        </w:rPr>
      </w:pPr>
      <w:r>
        <w:rPr>
          <w:rFonts w:ascii="Times New Roman" w:cs="Times New Roman" w:eastAsia="Times New Roman" w:hAnsi="Times New Roman"/>
          <w:sz w:val="18"/>
          <w:szCs w:val="18"/>
          <w:u w:val="single" w:color="auto"/>
          <w:color w:val="auto"/>
        </w:rPr>
        <w:t>January 30, 2024 January 30, 2024</w:t>
      </w:r>
    </w:p>
    <w:p>
      <w:pPr>
        <w:spacing w:after="0" w:line="7"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Date of Signing</w:t>
      </w:r>
      <w:r>
        <w:rPr>
          <w:sz w:val="20"/>
          <w:szCs w:val="20"/>
          <w:color w:val="auto"/>
        </w:rPr>
        <w:tab/>
      </w:r>
      <w:r>
        <w:rPr>
          <w:rFonts w:ascii="Times New Roman" w:cs="Times New Roman" w:eastAsia="Times New Roman" w:hAnsi="Times New Roman"/>
          <w:sz w:val="17"/>
          <w:szCs w:val="17"/>
          <w:color w:val="auto"/>
        </w:rPr>
        <w:t>Date of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590"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400" w:top="590" w:right="339" w:bottom="1440" w:gutter="0" w:footer="0" w:header="0"/>
        </w:sectPr>
      </w:pPr>
    </w:p>
    <w:bookmarkStart w:id="180" w:name="page181"/>
    <w:bookmarkEnd w:id="180"/>
    <w:p>
      <w:pPr>
        <w:spacing w:after="0" w:line="185" w:lineRule="auto"/>
        <w:framePr w:w="1320" w:h="160" w:wrap="auto" w:vAnchor="page" w:hAnchor="page" w:x="6100" w:y="335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6, 2024</w:t>
      </w:r>
    </w:p>
    <w:p>
      <w:pPr>
        <w:spacing w:after="0" w:line="196" w:lineRule="auto"/>
        <w:framePr w:w="3520" w:h="160" w:wrap="auto" w:vAnchor="page" w:hAnchor="page" w:x="6100" w:y="3139"/>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EFFECTIVE DATE OF CHANGE ORDER:</w:t>
      </w:r>
    </w:p>
    <w:p>
      <w:pPr>
        <w:spacing w:after="0" w:line="231" w:lineRule="auto"/>
        <w:framePr w:w="2460" w:h="376" w:wrap="auto" w:vAnchor="page" w:hAnchor="page" w:x="6100" w:y="242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CHANGE ORDER NUMBER: </w:t>
      </w:r>
      <w:r>
        <w:rPr>
          <w:rFonts w:ascii="Times New Roman" w:cs="Times New Roman" w:eastAsia="Times New Roman" w:hAnsi="Times New Roman"/>
          <w:sz w:val="17"/>
          <w:szCs w:val="17"/>
          <w:color w:val="auto"/>
        </w:rPr>
        <w:t>Owner EC Number: EC00092</w:t>
      </w:r>
    </w:p>
    <w:p>
      <w:pPr>
        <w:spacing w:after="0" w:line="196" w:lineRule="auto"/>
        <w:framePr w:w="2700" w:h="160" w:wrap="auto" w:vAnchor="page" w:hAnchor="page" w:x="5960" w:y="284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Contractor Change Number SC0064</w:t>
      </w:r>
    </w:p>
    <w:p>
      <w:pPr>
        <w:spacing w:after="0" w:line="193" w:lineRule="auto"/>
        <w:framePr w:w="3980" w:h="176" w:wrap="auto" w:vAnchor="page" w:hAnchor="page" w:x="5960" w:y="207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DATE OF AGREEMENT: </w:t>
      </w:r>
      <w:r>
        <w:rPr>
          <w:rFonts w:ascii="Times New Roman" w:cs="Times New Roman" w:eastAsia="Times New Roman" w:hAnsi="Times New Roman"/>
          <w:sz w:val="19"/>
          <w:szCs w:val="19"/>
          <w:color w:val="auto"/>
        </w:rPr>
        <w:t>September 14, 2022</w:t>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rFonts w:ascii="Times New Roman" w:cs="Times New Roman" w:eastAsia="Times New Roman" w:hAnsi="Times New Roman"/>
          <w:sz w:val="19"/>
          <w:szCs w:val="19"/>
          <w:b w:val="1"/>
          <w:bCs w:val="1"/>
          <w:color w:val="auto"/>
        </w:rPr>
      </w:pPr>
    </w:p>
    <w:p>
      <w:pPr>
        <w:spacing w:after="0" w:line="200" w:lineRule="exact"/>
        <w:rPr>
          <w:rFonts w:ascii="Times New Roman" w:cs="Times New Roman" w:eastAsia="Times New Roman" w:hAnsi="Times New Roman"/>
          <w:sz w:val="19"/>
          <w:szCs w:val="19"/>
          <w:b w:val="1"/>
          <w:bCs w:val="1"/>
          <w:color w:val="auto"/>
        </w:rPr>
      </w:pPr>
    </w:p>
    <w:p>
      <w:pPr>
        <w:spacing w:after="0" w:line="275" w:lineRule="exact"/>
        <w:rPr>
          <w:rFonts w:ascii="Times New Roman" w:cs="Times New Roman" w:eastAsia="Times New Roman" w:hAnsi="Times New Roman"/>
          <w:sz w:val="19"/>
          <w:szCs w:val="19"/>
          <w:b w:val="1"/>
          <w:bCs w:val="1"/>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200" w:lineRule="exact"/>
        <w:rPr>
          <w:rFonts w:ascii="Times New Roman" w:cs="Times New Roman" w:eastAsia="Times New Roman" w:hAnsi="Times New Roman"/>
          <w:sz w:val="19"/>
          <w:szCs w:val="19"/>
          <w:b w:val="1"/>
          <w:bCs w:val="1"/>
          <w:color w:val="auto"/>
        </w:rPr>
      </w:pPr>
    </w:p>
    <w:p>
      <w:pPr>
        <w:spacing w:after="0" w:line="341" w:lineRule="exact"/>
        <w:rPr>
          <w:rFonts w:ascii="Times New Roman" w:cs="Times New Roman" w:eastAsia="Times New Roman" w:hAnsi="Times New Roman"/>
          <w:sz w:val="19"/>
          <w:szCs w:val="19"/>
          <w:b w:val="1"/>
          <w:bCs w:val="1"/>
          <w:color w:val="auto"/>
        </w:rPr>
      </w:pPr>
    </w:p>
    <w:p>
      <w:pPr>
        <w:ind w:left="60" w:right="1600" w:firstLine="1467"/>
        <w:spacing w:after="0" w:line="188" w:lineRule="auto"/>
        <w:rPr>
          <w:sz w:val="20"/>
          <w:szCs w:val="20"/>
          <w:color w:val="auto"/>
        </w:rPr>
      </w:pPr>
      <w:r>
        <w:rPr>
          <w:rFonts w:ascii="Times New Roman" w:cs="Times New Roman" w:eastAsia="Times New Roman" w:hAnsi="Times New Roman"/>
          <w:sz w:val="12"/>
          <w:szCs w:val="12"/>
          <w:color w:val="auto"/>
        </w:rPr>
        <w:t xml:space="preserve">(for use when the Parties mutually agree upon and execute the Change Order pursuant to Section 6.1D or 6.2C) </w:t>
      </w:r>
      <w:r>
        <w:rPr>
          <w:rFonts w:ascii="Times New Roman" w:cs="Times New Roman" w:eastAsia="Times New Roman" w:hAnsi="Times New Roman"/>
          <w:sz w:val="12"/>
          <w:szCs w:val="12"/>
          <w:b w:val="1"/>
          <w:bCs w:val="1"/>
          <w:color w:val="auto"/>
        </w:rPr>
        <w:t xml:space="preserve">PROJECT NAME: </w:t>
      </w:r>
      <w:r>
        <w:rPr>
          <w:rFonts w:ascii="Times New Roman" w:cs="Times New Roman" w:eastAsia="Times New Roman" w:hAnsi="Times New Roman"/>
          <w:sz w:val="12"/>
          <w:szCs w:val="12"/>
          <w:color w:val="auto"/>
        </w:rPr>
        <w:t>Rio Grande Natural Gas Liquefaction Facility</w:t>
      </w:r>
    </w:p>
    <w:p>
      <w:pPr>
        <w:spacing w:after="0" w:line="200" w:lineRule="exact"/>
        <w:rPr>
          <w:rFonts w:ascii="Times New Roman" w:cs="Times New Roman" w:eastAsia="Times New Roman" w:hAnsi="Times New Roman"/>
          <w:sz w:val="19"/>
          <w:szCs w:val="19"/>
          <w:b w:val="1"/>
          <w:bCs w:val="1"/>
          <w:color w:val="auto"/>
        </w:rPr>
      </w:pPr>
    </w:p>
    <w:p>
      <w:pPr>
        <w:spacing w:after="0" w:line="230" w:lineRule="exact"/>
        <w:rPr>
          <w:rFonts w:ascii="Times New Roman" w:cs="Times New Roman" w:eastAsia="Times New Roman" w:hAnsi="Times New Roman"/>
          <w:sz w:val="19"/>
          <w:szCs w:val="19"/>
          <w:b w:val="1"/>
          <w:bCs w:val="1"/>
          <w:color w:val="auto"/>
        </w:rPr>
      </w:pPr>
    </w:p>
    <w:p>
      <w:pPr>
        <w:ind w:left="60" w:right="57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Trains 1 and 2</w:t>
      </w:r>
    </w:p>
    <w:p>
      <w:pPr>
        <w:spacing w:after="0" w:line="47" w:lineRule="exact"/>
        <w:rPr>
          <w:rFonts w:ascii="Times New Roman" w:cs="Times New Roman" w:eastAsia="Times New Roman" w:hAnsi="Times New Roman"/>
          <w:sz w:val="19"/>
          <w:szCs w:val="19"/>
          <w:b w:val="1"/>
          <w:bCs w:val="1"/>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117" w:lineRule="exact"/>
        <w:rPr>
          <w:rFonts w:ascii="Times New Roman" w:cs="Times New Roman" w:eastAsia="Times New Roman" w:hAnsi="Times New Roman"/>
          <w:sz w:val="19"/>
          <w:szCs w:val="19"/>
          <w:b w:val="1"/>
          <w:bCs w:val="1"/>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0" w:lineRule="exact"/>
        <w:rPr>
          <w:rFonts w:ascii="Times New Roman" w:cs="Times New Roman" w:eastAsia="Times New Roman" w:hAnsi="Times New Roman"/>
          <w:sz w:val="19"/>
          <w:szCs w:val="19"/>
          <w:b w:val="1"/>
          <w:bCs w:val="1"/>
          <w:color w:val="auto"/>
        </w:rPr>
      </w:pPr>
    </w:p>
    <w:p>
      <w:pPr>
        <w:spacing w:after="0" w:line="200" w:lineRule="exact"/>
        <w:rPr>
          <w:rFonts w:ascii="Times New Roman" w:cs="Times New Roman" w:eastAsia="Times New Roman" w:hAnsi="Times New Roman"/>
          <w:sz w:val="19"/>
          <w:szCs w:val="19"/>
          <w:b w:val="1"/>
          <w:bCs w:val="1"/>
          <w:color w:val="auto"/>
        </w:rPr>
      </w:pPr>
    </w:p>
    <w:p>
      <w:pPr>
        <w:spacing w:after="0" w:line="369" w:lineRule="exact"/>
        <w:rPr>
          <w:rFonts w:ascii="Times New Roman" w:cs="Times New Roman" w:eastAsia="Times New Roman" w:hAnsi="Times New Roman"/>
          <w:sz w:val="19"/>
          <w:szCs w:val="19"/>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400" w:top="590"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TITLE: TUGBOAT BERTH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-65405</wp:posOffset>
            </wp:positionV>
            <wp:extent cx="538353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ELECTRICAL SERVICE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56" w:lineRule="exact"/>
        <w:rPr>
          <w:sz w:val="20"/>
          <w:szCs w:val="20"/>
          <w:color w:val="auto"/>
        </w:rPr>
      </w:pPr>
    </w:p>
    <w:p>
      <w:pPr>
        <w:jc w:val="both"/>
        <w:ind w:left="60" w:right="560"/>
        <w:spacing w:after="0" w:line="289" w:lineRule="auto"/>
        <w:rPr>
          <w:sz w:val="20"/>
          <w:szCs w:val="20"/>
          <w:color w:val="auto"/>
        </w:rPr>
      </w:pPr>
      <w:r>
        <w:rPr>
          <w:rFonts w:ascii="Times New Roman" w:cs="Times New Roman" w:eastAsia="Times New Roman" w:hAnsi="Times New Roman"/>
          <w:sz w:val="17"/>
          <w:szCs w:val="17"/>
          <w:color w:val="auto"/>
        </w:rPr>
        <w:t>The design basis specified the tugboat power requirements to be a single 440 Volt, 200 Amp, 3-phase service. The tugboat supply agreement dated July 2020 required 440V, 150 Amp service. The shipbuilders have clarified the shore power connections require 480 Volt, 150 amp, 3-phase connection per tugboat. As such, the tugboat berth electrical service must be increased to provide adequate power to each tugboat as follows:</w:t>
      </w:r>
    </w:p>
    <w:p>
      <w:pPr>
        <w:spacing w:after="0" w:line="198" w:lineRule="exact"/>
        <w:rPr>
          <w:sz w:val="20"/>
          <w:szCs w:val="20"/>
          <w:color w:val="auto"/>
        </w:rPr>
      </w:pPr>
    </w:p>
    <w:p>
      <w:pPr>
        <w:ind w:left="380" w:right="1360" w:hanging="327"/>
        <w:spacing w:after="0" w:line="261" w:lineRule="auto"/>
        <w:tabs>
          <w:tab w:leader="none" w:pos="38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 cable, raceway, and receptacle connections for four (4) tugboats (480V/3PH/150A service for each tugboat) at the tugboat mooring location shall be provided to facilitate tugboat power connection. The receptacle connections shall be incorporated into a suitable fused disconnect box. The exact location on the dock for each fused disconnect box and receptacle will be finalized during engineering design.</w:t>
      </w:r>
    </w:p>
    <w:p>
      <w:pPr>
        <w:spacing w:after="0" w:line="206" w:lineRule="exact"/>
        <w:rPr>
          <w:rFonts w:ascii="Times New Roman" w:cs="Times New Roman" w:eastAsia="Times New Roman" w:hAnsi="Times New Roman"/>
          <w:sz w:val="18"/>
          <w:szCs w:val="18"/>
          <w:color w:val="auto"/>
        </w:rPr>
      </w:pPr>
    </w:p>
    <w:p>
      <w:pPr>
        <w:ind w:left="380" w:hanging="327"/>
        <w:spacing w:after="0"/>
        <w:tabs>
          <w:tab w:leader="none" w:pos="3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upstream electrical equipment capacity to support six (6) tugboats, i.e. 480V/3 PH/900A dedicated to tugboat electrical service.</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52" w:lineRule="exact"/>
        <w:rPr>
          <w:sz w:val="20"/>
          <w:szCs w:val="20"/>
          <w:color w:val="auto"/>
        </w:rPr>
      </w:pPr>
    </w:p>
    <w:p>
      <w:pPr>
        <w:ind w:left="380" w:right="660" w:hanging="326"/>
        <w:spacing w:after="0" w:line="286" w:lineRule="auto"/>
        <w:tabs>
          <w:tab w:leader="none" w:pos="37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A, Schedule A-1, Section 15.10.4 (MOF Structures and Dredging)</w:t>
      </w:r>
      <w:r>
        <w:rPr>
          <w:rFonts w:ascii="Times New Roman" w:cs="Times New Roman" w:eastAsia="Times New Roman" w:hAnsi="Times New Roman"/>
          <w:sz w:val="18"/>
          <w:szCs w:val="18"/>
          <w:color w:val="auto"/>
        </w:rPr>
        <w:t>; shall be updated per the red- line mark-up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Attachment 1 to this Change Order.</w:t>
      </w:r>
    </w:p>
    <w:p>
      <w:pPr>
        <w:spacing w:after="0" w:line="195" w:lineRule="exact"/>
        <w:rPr>
          <w:rFonts w:ascii="Times New Roman" w:cs="Times New Roman" w:eastAsia="Times New Roman" w:hAnsi="Times New Roman"/>
          <w:sz w:val="18"/>
          <w:szCs w:val="18"/>
          <w:color w:val="auto"/>
        </w:rPr>
      </w:pPr>
    </w:p>
    <w:p>
      <w:pPr>
        <w:ind w:left="380" w:right="680" w:hanging="326"/>
        <w:spacing w:after="0" w:line="286" w:lineRule="auto"/>
        <w:tabs>
          <w:tab w:leader="none" w:pos="37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color w:val="auto"/>
        </w:rPr>
        <w:t>; shall be updated per the Appendix 1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Breakdown) as provided in Attachment 2 to this Change Order.</w:t>
      </w:r>
    </w:p>
    <w:p>
      <w:pPr>
        <w:spacing w:after="0" w:line="195" w:lineRule="exact"/>
        <w:rPr>
          <w:rFonts w:ascii="Times New Roman" w:cs="Times New Roman" w:eastAsia="Times New Roman" w:hAnsi="Times New Roman"/>
          <w:sz w:val="18"/>
          <w:szCs w:val="18"/>
          <w:color w:val="auto"/>
        </w:rPr>
      </w:pPr>
    </w:p>
    <w:p>
      <w:pPr>
        <w:ind w:left="380" w:right="680" w:hanging="326"/>
        <w:spacing w:after="0" w:line="286" w:lineRule="auto"/>
        <w:tabs>
          <w:tab w:leader="none" w:pos="37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color w:val="auto"/>
        </w:rPr>
        <w:t>; shall be updated per the C-2 Payment Milestones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Attachment 3 to this Change Order.</w:t>
      </w:r>
    </w:p>
    <w:p>
      <w:pPr>
        <w:spacing w:after="0" w:line="181" w:lineRule="exact"/>
        <w:rPr>
          <w:rFonts w:ascii="Times New Roman" w:cs="Times New Roman" w:eastAsia="Times New Roman" w:hAnsi="Times New Roman"/>
          <w:sz w:val="18"/>
          <w:szCs w:val="18"/>
          <w:color w:val="auto"/>
        </w:rPr>
      </w:pPr>
    </w:p>
    <w:p>
      <w:pPr>
        <w:ind w:left="380" w:right="1040" w:hanging="326"/>
        <w:spacing w:after="0" w:line="286" w:lineRule="auto"/>
        <w:tabs>
          <w:tab w:leader="none" w:pos="37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r>
        <w:rPr>
          <w:rFonts w:ascii="Times New Roman" w:cs="Times New Roman" w:eastAsia="Times New Roman" w:hAnsi="Times New Roman"/>
          <w:sz w:val="18"/>
          <w:szCs w:val="18"/>
          <w:color w:val="auto"/>
        </w:rPr>
        <w:t>; shall be updated per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C-3 as provided in Attachment 4 to this Change Order.</w:t>
      </w: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27" w:lineRule="exact"/>
        <w:rPr>
          <w:sz w:val="20"/>
          <w:szCs w:val="20"/>
          <w:color w:val="auto"/>
        </w:rPr>
      </w:pPr>
    </w:p>
    <w:p>
      <w:pPr>
        <w:ind w:left="540" w:right="2980"/>
        <w:spacing w:after="0" w:line="250" w:lineRule="auto"/>
        <w:rPr>
          <w:sz w:val="20"/>
          <w:szCs w:val="20"/>
          <w:color w:val="auto"/>
        </w:rPr>
      </w:pPr>
      <w:r>
        <w:rPr>
          <w:rFonts w:ascii="Times New Roman" w:cs="Times New Roman" w:eastAsia="Times New Roman" w:hAnsi="Times New Roman"/>
          <w:sz w:val="18"/>
          <w:szCs w:val="18"/>
          <w:color w:val="auto"/>
        </w:rPr>
        <w:t>Attachment 1 – Attachment A, Schedule A-1 (Scope of Work), Red-Line Mark-Up of Section 15.10.4 Attachment 2 – First Amended Appendix 1 (Contract Price Breakdown), as updated by this Change Order Attachment 3 – First Amended Schedule C-2 (Payment Milestones), as updated by this Change Order</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Attachment 4 – First Amended Schedule C-3 (Maximum Cumulative Payment Schedule), as updated by this Change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400" w:top="590"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585470</wp:posOffset>
            </wp:positionV>
            <wp:extent cx="538353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38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$8,658,280,000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700" w:type="dxa"/>
            <w:vAlign w:val="bottom"/>
            <w:gridSpan w:val="2"/>
            <w:vMerge w:val="restart"/>
          </w:tcPr>
          <w:p>
            <w:pPr>
              <w:ind w:left="140"/>
              <w:spacing w:after="0" w:line="202" w:lineRule="exact"/>
              <w:rPr>
                <w:sz w:val="20"/>
                <w:szCs w:val="20"/>
                <w:color w:val="auto"/>
              </w:rPr>
            </w:pPr>
            <w:r>
              <w:rPr>
                <w:rFonts w:ascii="Times New Roman" w:cs="Times New Roman" w:eastAsia="Times New Roman" w:hAnsi="Times New Roman"/>
                <w:sz w:val="18"/>
                <w:szCs w:val="18"/>
                <w:color w:val="auto"/>
                <w:w w:val="95"/>
              </w:rPr>
              <w:t>Net change by previously authorized</w:t>
            </w:r>
          </w:p>
        </w:tc>
        <w:tc>
          <w:tcPr>
            <w:tcW w:w="10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3"/>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$ 518,885,525</w:t>
            </w:r>
          </w:p>
        </w:tc>
        <w:tc>
          <w:tcPr>
            <w:tcW w:w="0" w:type="dxa"/>
            <w:vAlign w:val="bottom"/>
          </w:tcPr>
          <w:p>
            <w:pPr>
              <w:spacing w:after="0" w:line="20" w:lineRule="exact"/>
              <w:rPr>
                <w:sz w:val="1"/>
                <w:szCs w:val="1"/>
                <w:color w:val="auto"/>
              </w:rPr>
            </w:pPr>
          </w:p>
        </w:tc>
      </w:tr>
      <w:tr>
        <w:trPr>
          <w:trHeight w:val="183"/>
        </w:trPr>
        <w:tc>
          <w:tcPr>
            <w:tcW w:w="180" w:type="dxa"/>
            <w:vAlign w:val="bottom"/>
            <w:vMerge w:val="continue"/>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2680" w:type="dxa"/>
            <w:vAlign w:val="bottom"/>
            <w:gridSpan w:val="7"/>
          </w:tcPr>
          <w:p>
            <w:pPr>
              <w:ind w:left="140"/>
              <w:spacing w:after="0" w:line="182" w:lineRule="exact"/>
              <w:rPr>
                <w:sz w:val="20"/>
                <w:szCs w:val="20"/>
                <w:color w:val="auto"/>
              </w:rPr>
            </w:pPr>
            <w:r>
              <w:rPr>
                <w:rFonts w:ascii="Times New Roman" w:cs="Times New Roman" w:eastAsia="Times New Roman" w:hAnsi="Times New Roman"/>
                <w:sz w:val="18"/>
                <w:szCs w:val="18"/>
                <w:color w:val="auto"/>
              </w:rPr>
              <w:t>Change Orders (See Appendix 1)</w:t>
            </w: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5380" w:type="dxa"/>
            <w:vAlign w:val="bottom"/>
            <w:gridSpan w:val="9"/>
          </w:tcPr>
          <w:p>
            <w:pPr>
              <w:ind w:left="140"/>
              <w:spacing w:after="0" w:line="196" w:lineRule="exact"/>
              <w:rPr>
                <w:sz w:val="20"/>
                <w:szCs w:val="20"/>
                <w:color w:val="auto"/>
              </w:rPr>
            </w:pPr>
            <w:r>
              <w:rPr>
                <w:rFonts w:ascii="Times New Roman" w:cs="Times New Roman" w:eastAsia="Times New Roman" w:hAnsi="Times New Roman"/>
                <w:sz w:val="18"/>
                <w:szCs w:val="18"/>
                <w:color w:val="auto"/>
              </w:rPr>
              <w:t>The Contract Price prior to this Change Order was  $9,177,165,525</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w:t>
            </w:r>
          </w:p>
        </w:tc>
        <w:tc>
          <w:tcPr>
            <w:tcW w:w="4040" w:type="dxa"/>
            <w:vAlign w:val="bottom"/>
            <w:gridSpan w:val="6"/>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w:t>
            </w: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80" w:type="dxa"/>
            <w:vAlign w:val="bottom"/>
            <w:vMerge w:val="continue"/>
          </w:tcPr>
          <w:p>
            <w:pPr>
              <w:spacing w:after="0"/>
              <w:rPr>
                <w:sz w:val="16"/>
                <w:szCs w:val="16"/>
                <w:color w:val="auto"/>
              </w:rPr>
            </w:pPr>
          </w:p>
        </w:tc>
        <w:tc>
          <w:tcPr>
            <w:tcW w:w="4040" w:type="dxa"/>
            <w:vAlign w:val="bottom"/>
            <w:gridSpan w:val="6"/>
            <w:vMerge w:val="continue"/>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w w:val="99"/>
              </w:rPr>
              <w:t>this Change Order</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amount of</w:t>
            </w: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440" w:type="dxa"/>
            <w:vAlign w:val="bottom"/>
            <w:gridSpan w:val="12"/>
          </w:tcPr>
          <w:p>
            <w:pPr>
              <w:ind w:left="14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1340" w:type="dxa"/>
            <w:vAlign w:val="bottom"/>
          </w:tcPr>
          <w:p>
            <w:pPr>
              <w:ind w:left="60"/>
              <w:spacing w:after="0" w:line="199" w:lineRule="exact"/>
              <w:rPr>
                <w:sz w:val="20"/>
                <w:szCs w:val="20"/>
                <w:color w:val="auto"/>
              </w:rPr>
            </w:pPr>
            <w:r>
              <w:rPr>
                <w:rFonts w:ascii="Times New Roman" w:cs="Times New Roman" w:eastAsia="Times New Roman" w:hAnsi="Times New Roman"/>
                <w:sz w:val="18"/>
                <w:szCs w:val="18"/>
                <w:color w:val="auto"/>
              </w:rPr>
              <w:t>in the amount of</w:t>
            </w:r>
          </w:p>
        </w:tc>
        <w:tc>
          <w:tcPr>
            <w:tcW w:w="1360" w:type="dxa"/>
            <w:vAlign w:val="bottom"/>
          </w:tcPr>
          <w:p>
            <w:pPr>
              <w:jc w:val="right"/>
              <w:ind w:right="710"/>
              <w:spacing w:after="0" w:line="19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440" w:type="dxa"/>
            <w:vAlign w:val="bottom"/>
            <w:gridSpan w:val="12"/>
          </w:tcPr>
          <w:p>
            <w:pPr>
              <w:ind w:left="14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increased</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310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w:t>
            </w:r>
          </w:p>
        </w:tc>
        <w:tc>
          <w:tcPr>
            <w:tcW w:w="9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3,585,000</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440" w:type="dxa"/>
            <w:vAlign w:val="bottom"/>
            <w:gridSpan w:val="12"/>
          </w:tcPr>
          <w:p>
            <w:pPr>
              <w:ind w:left="140"/>
              <w:spacing w:after="0" w:line="196" w:lineRule="exact"/>
              <w:rPr>
                <w:sz w:val="20"/>
                <w:szCs w:val="20"/>
                <w:color w:val="auto"/>
              </w:rPr>
            </w:pPr>
            <w:r>
              <w:rPr>
                <w:rFonts w:ascii="Times New Roman" w:cs="Times New Roman" w:eastAsia="Times New Roman" w:hAnsi="Times New Roman"/>
                <w:sz w:val="18"/>
                <w:szCs w:val="18"/>
                <w:color w:val="auto"/>
              </w:rPr>
              <w:t>The new Contract Price including this Change Order will be  $9,180,750,525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jc w:val="both"/>
        <w:ind w:left="60" w:right="4520"/>
        <w:spacing w:after="0" w:line="271"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34" w:lineRule="exact"/>
        <w:rPr>
          <w:sz w:val="20"/>
          <w:szCs w:val="20"/>
          <w:color w:val="auto"/>
        </w:rPr>
      </w:pPr>
    </w:p>
    <w:p>
      <w:pPr>
        <w:ind w:left="60" w:right="76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Impact on Payment Schedule (including, as applicable, Payment Milestones): </w:t>
      </w:r>
      <w:r>
        <w:rPr>
          <w:rFonts w:ascii="Times New Roman" w:cs="Times New Roman" w:eastAsia="Times New Roman" w:hAnsi="Times New Roman"/>
          <w:sz w:val="18"/>
          <w:szCs w:val="18"/>
          <w:color w:val="auto"/>
        </w:rPr>
        <w:t>The Schedule C-2 (Payment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Milestones) is updated as provided in Attachment 3. </w:t>
      </w:r>
      <w:r>
        <w:rPr>
          <w:rFonts w:ascii="Times New Roman" w:cs="Times New Roman" w:eastAsia="Times New Roman" w:hAnsi="Times New Roman"/>
          <w:sz w:val="18"/>
          <w:szCs w:val="18"/>
          <w:b w:val="1"/>
          <w:bCs w:val="1"/>
          <w:color w:val="auto"/>
        </w:rPr>
        <w:t>Impact on Maximum Cumulative Payment Schedule: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4. Impact on Minimum Acceptance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Criteria: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Performance Guarantees: </w:t>
      </w:r>
      <w:r>
        <w:rPr>
          <w:rFonts w:ascii="Times New Roman" w:cs="Times New Roman" w:eastAsia="Times New Roman" w:hAnsi="Times New Roman"/>
          <w:sz w:val="18"/>
          <w:szCs w:val="18"/>
          <w:b w:val="1"/>
          <w:bCs w:val="1"/>
          <w:color w:val="auto"/>
        </w:rPr>
        <w:t>N/A</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Basis of Design: </w:t>
      </w:r>
      <w:r>
        <w:rPr>
          <w:rFonts w:ascii="Times New Roman" w:cs="Times New Roman" w:eastAsia="Times New Roman" w:hAnsi="Times New Roman"/>
          <w:sz w:val="18"/>
          <w:szCs w:val="18"/>
          <w:b w:val="1"/>
          <w:bCs w:val="1"/>
          <w:color w:val="auto"/>
        </w:rPr>
        <w:t>N/A</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the Total Reimbursement Amount: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400" w:top="590"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60" w:hanging="6"/>
        <w:spacing w:after="0" w:line="286" w:lineRule="auto"/>
        <w:tabs>
          <w:tab w:leader="none" w:pos="56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99" w:lineRule="exact"/>
        <w:rPr>
          <w:sz w:val="20"/>
          <w:szCs w:val="20"/>
          <w:color w:val="auto"/>
        </w:rPr>
      </w:pPr>
    </w:p>
    <w:p>
      <w:pPr>
        <w:jc w:val="both"/>
        <w:ind w:left="60" w:right="560"/>
        <w:spacing w:after="0" w:line="26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auto"/>
          <w:strike w:val="1"/>
        </w:rPr>
        <w:t>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-360045</wp:posOffset>
            </wp:positionV>
            <wp:extent cx="51517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400" w:top="590"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56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 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 Alex Thompson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/s/ Scott Osborne</w:t>
            </w:r>
          </w:p>
        </w:tc>
      </w:tr>
      <w:tr>
        <w:trPr>
          <w:trHeight w:val="232"/>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Owner</w:t>
            </w: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Contractor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140" w:type="dxa"/>
            <w:vAlign w:val="bottom"/>
          </w:tcPr>
          <w:p>
            <w:pPr>
              <w:spacing w:after="0"/>
              <w:rPr>
                <w:sz w:val="16"/>
                <w:szCs w:val="16"/>
                <w:color w:val="auto"/>
              </w:rPr>
            </w:pPr>
          </w:p>
        </w:tc>
        <w:tc>
          <w:tcPr>
            <w:tcW w:w="14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Alex Thompson</w:t>
            </w:r>
          </w:p>
        </w:tc>
        <w:tc>
          <w:tcPr>
            <w:tcW w:w="80" w:type="dxa"/>
            <w:vAlign w:val="bottom"/>
          </w:tcPr>
          <w:p>
            <w:pPr>
              <w:spacing w:after="0"/>
              <w:rPr>
                <w:sz w:val="16"/>
                <w:szCs w:val="16"/>
                <w:color w:val="auto"/>
              </w:rPr>
            </w:pPr>
          </w:p>
        </w:tc>
        <w:tc>
          <w:tcPr>
            <w:tcW w:w="21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Scott Osborne</w:t>
            </w:r>
          </w:p>
        </w:tc>
      </w:tr>
      <w:tr>
        <w:trPr>
          <w:trHeight w:val="205"/>
        </w:trPr>
        <w:tc>
          <w:tcPr>
            <w:tcW w:w="140" w:type="dxa"/>
            <w:vAlign w:val="bottom"/>
          </w:tcPr>
          <w:p>
            <w:pPr>
              <w:spacing w:after="0"/>
              <w:rPr>
                <w:sz w:val="17"/>
                <w:szCs w:val="17"/>
                <w:color w:val="auto"/>
              </w:rPr>
            </w:pPr>
          </w:p>
        </w:tc>
        <w:tc>
          <w:tcPr>
            <w:tcW w:w="5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840" w:type="dxa"/>
            <w:vAlign w:val="bottom"/>
            <w:tcBorders>
              <w:top w:val="single" w:sz="8" w:color="auto"/>
            </w:tcBorders>
            <w:gridSpan w:val="2"/>
          </w:tcPr>
          <w:p>
            <w:pPr>
              <w:ind w:left="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140" w:type="dxa"/>
            <w:vAlign w:val="bottom"/>
          </w:tcPr>
          <w:p>
            <w:pPr>
              <w:spacing w:after="0"/>
              <w:rPr>
                <w:sz w:val="16"/>
                <w:szCs w:val="16"/>
                <w:color w:val="auto"/>
              </w:rPr>
            </w:pPr>
          </w:p>
        </w:tc>
        <w:tc>
          <w:tcPr>
            <w:tcW w:w="14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Authorized Person</w:t>
            </w:r>
          </w:p>
        </w:tc>
        <w:tc>
          <w:tcPr>
            <w:tcW w:w="80" w:type="dxa"/>
            <w:vAlign w:val="bottom"/>
          </w:tcPr>
          <w:p>
            <w:pPr>
              <w:spacing w:after="0"/>
              <w:rPr>
                <w:sz w:val="16"/>
                <w:szCs w:val="16"/>
                <w:color w:val="auto"/>
              </w:rPr>
            </w:pPr>
          </w:p>
        </w:tc>
        <w:tc>
          <w:tcPr>
            <w:tcW w:w="2140" w:type="dxa"/>
            <w:vAlign w:val="bottom"/>
            <w:gridSpan w:val="6"/>
          </w:tcPr>
          <w:p>
            <w:pPr>
              <w:ind w:left="180"/>
              <w:spacing w:after="0" w:line="194" w:lineRule="exact"/>
              <w:rPr>
                <w:sz w:val="20"/>
                <w:szCs w:val="20"/>
                <w:color w:val="auto"/>
              </w:rPr>
            </w:pPr>
            <w:r>
              <w:rPr>
                <w:rFonts w:ascii="Times New Roman" w:cs="Times New Roman" w:eastAsia="Times New Roman" w:hAnsi="Times New Roman"/>
                <w:sz w:val="18"/>
                <w:szCs w:val="18"/>
                <w:color w:val="auto"/>
              </w:rPr>
              <w:t>Senior Project Manager</w:t>
            </w:r>
          </w:p>
        </w:tc>
      </w:tr>
      <w:tr>
        <w:trPr>
          <w:trHeight w:val="205"/>
        </w:trPr>
        <w:tc>
          <w:tcPr>
            <w:tcW w:w="140" w:type="dxa"/>
            <w:vAlign w:val="bottom"/>
          </w:tcPr>
          <w:p>
            <w:pPr>
              <w:spacing w:after="0"/>
              <w:rPr>
                <w:sz w:val="17"/>
                <w:szCs w:val="17"/>
                <w:color w:val="auto"/>
              </w:rPr>
            </w:pPr>
          </w:p>
        </w:tc>
        <w:tc>
          <w:tcPr>
            <w:tcW w:w="5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94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1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February 6, 2024</w:t>
            </w:r>
          </w:p>
        </w:tc>
        <w:tc>
          <w:tcPr>
            <w:tcW w:w="2220" w:type="dxa"/>
            <w:vAlign w:val="bottom"/>
            <w:gridSpan w:val="7"/>
          </w:tcPr>
          <w:p>
            <w:pPr>
              <w:ind w:left="20"/>
              <w:spacing w:after="0" w:line="194" w:lineRule="exact"/>
              <w:rPr>
                <w:sz w:val="20"/>
                <w:szCs w:val="20"/>
                <w:color w:val="auto"/>
              </w:rPr>
            </w:pPr>
            <w:r>
              <w:rPr>
                <w:rFonts w:ascii="Times New Roman" w:cs="Times New Roman" w:eastAsia="Times New Roman" w:hAnsi="Times New Roman"/>
                <w:sz w:val="18"/>
                <w:szCs w:val="18"/>
                <w:color w:val="auto"/>
              </w:rPr>
              <w:t>February 6, 2024</w:t>
            </w:r>
          </w:p>
        </w:tc>
      </w:tr>
      <w:tr>
        <w:trPr>
          <w:trHeight w:val="20"/>
        </w:trPr>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Date of Signing</w:t>
      </w:r>
      <w:r>
        <w:rPr>
          <w:sz w:val="20"/>
          <w:szCs w:val="20"/>
          <w:color w:val="auto"/>
        </w:rPr>
        <w:tab/>
      </w:r>
      <w:r>
        <w:rPr>
          <w:rFonts w:ascii="Times New Roman" w:cs="Times New Roman" w:eastAsia="Times New Roman" w:hAnsi="Times New Roman"/>
          <w:sz w:val="17"/>
          <w:szCs w:val="17"/>
          <w:color w:val="auto"/>
        </w:rPr>
        <w:t>Date of Signing</w:t>
      </w:r>
    </w:p>
    <w:p>
      <w:pPr>
        <w:spacing w:after="0" w:line="200" w:lineRule="exact"/>
        <w:rPr>
          <w:sz w:val="20"/>
          <w:szCs w:val="20"/>
          <w:color w:val="auto"/>
        </w:rPr>
      </w:pPr>
    </w:p>
    <w:p>
      <w:pPr>
        <w:spacing w:after="0" w:line="3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590"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400" w:top="590" w:right="339" w:bottom="1440" w:gutter="0" w:footer="0" w:header="0"/>
        </w:sectPr>
      </w:pPr>
    </w:p>
    <w:bookmarkStart w:id="186" w:name="page187"/>
    <w:bookmarkEnd w:id="186"/>
    <w:p>
      <w:pPr>
        <w:ind w:left="9200"/>
        <w:spacing w:after="0"/>
        <w:rPr>
          <w:sz w:val="20"/>
          <w:szCs w:val="20"/>
          <w:color w:val="auto"/>
        </w:rPr>
      </w:pPr>
      <w:r>
        <w:rPr>
          <w:rFonts w:ascii="Times New Roman" w:cs="Times New Roman" w:eastAsia="Times New Roman" w:hAnsi="Times New Roman"/>
          <w:sz w:val="17"/>
          <w:szCs w:val="17"/>
          <w:b w:val="1"/>
          <w:bCs w:val="1"/>
          <w:color w:val="auto"/>
        </w:rPr>
        <w:t>Exhibit 10.2</w:t>
      </w:r>
    </w:p>
    <w:p>
      <w:pPr>
        <w:sectPr>
          <w:pgSz w:w="11900" w:h="16838" w:orient="portrait"/>
          <w:cols w:equalWidth="0" w:num="1">
            <w:col w:w="10120"/>
          </w:cols>
          <w:pgMar w:left="1440" w:top="590"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ectPr>
          <w:pgSz w:w="11900" w:h="16838" w:orient="portrait"/>
          <w:cols w:equalWidth="0" w:num="1">
            <w:col w:w="10120"/>
          </w:cols>
          <w:pgMar w:left="1440" w:top="590"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tc>
        <w:tc>
          <w:tcPr>
            <w:tcW w:w="40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w w:val="98"/>
              </w:rPr>
              <w:t xml:space="preserve">DATE OF AGREEMENT: </w:t>
            </w:r>
            <w:r>
              <w:rPr>
                <w:rFonts w:ascii="Times New Roman" w:cs="Times New Roman" w:eastAsia="Times New Roman" w:hAnsi="Times New Roman"/>
                <w:sz w:val="18"/>
                <w:szCs w:val="18"/>
                <w:color w:val="auto"/>
                <w:w w:val="98"/>
              </w:rPr>
              <w:t>September 14, 2022</w:t>
            </w:r>
          </w:p>
        </w:tc>
        <w:tc>
          <w:tcPr>
            <w:tcW w:w="0" w:type="dxa"/>
            <w:vAlign w:val="bottom"/>
          </w:tcPr>
          <w:p>
            <w:pPr>
              <w:spacing w:after="0"/>
              <w:rPr>
                <w:sz w:val="1"/>
                <w:szCs w:val="1"/>
                <w:color w:val="auto"/>
              </w:rPr>
            </w:pPr>
          </w:p>
        </w:tc>
      </w:tr>
      <w:tr>
        <w:trPr>
          <w:trHeight w:val="108"/>
        </w:trPr>
        <w:tc>
          <w:tcPr>
            <w:tcW w:w="5200" w:type="dxa"/>
            <w:vAlign w:val="bottom"/>
            <w:vMerge w:val="continue"/>
          </w:tcPr>
          <w:p>
            <w:pPr>
              <w:spacing w:after="0"/>
              <w:rPr>
                <w:sz w:val="9"/>
                <w:szCs w:val="9"/>
                <w:color w:val="auto"/>
              </w:rPr>
            </w:pPr>
          </w:p>
        </w:tc>
        <w:tc>
          <w:tcPr>
            <w:tcW w:w="40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CHANGE ORDER NUMBER:</w:t>
            </w:r>
          </w:p>
        </w:tc>
        <w:tc>
          <w:tcPr>
            <w:tcW w:w="0" w:type="dxa"/>
            <w:vAlign w:val="bottom"/>
          </w:tcPr>
          <w:p>
            <w:pPr>
              <w:spacing w:after="0"/>
              <w:rPr>
                <w:sz w:val="1"/>
                <w:szCs w:val="1"/>
                <w:color w:val="auto"/>
              </w:rPr>
            </w:pPr>
          </w:p>
        </w:tc>
      </w:tr>
      <w:tr>
        <w:trPr>
          <w:trHeight w:val="198"/>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EPC</w:t>
            </w:r>
          </w:p>
        </w:tc>
        <w:tc>
          <w:tcPr>
            <w:tcW w:w="4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200" w:type="dxa"/>
            <w:vAlign w:val="bottom"/>
            <w:vMerge w:val="continue"/>
          </w:tcPr>
          <w:p>
            <w:pPr>
              <w:spacing w:after="0"/>
              <w:rPr>
                <w:sz w:val="9"/>
                <w:szCs w:val="9"/>
                <w:color w:val="auto"/>
              </w:rPr>
            </w:pPr>
          </w:p>
        </w:tc>
        <w:tc>
          <w:tcPr>
            <w:tcW w:w="4020" w:type="dxa"/>
            <w:vAlign w:val="bottom"/>
            <w:vMerge w:val="restart"/>
          </w:tcPr>
          <w:p>
            <w:pPr>
              <w:ind w:left="480"/>
              <w:spacing w:after="0" w:line="202" w:lineRule="exact"/>
              <w:rPr>
                <w:sz w:val="20"/>
                <w:szCs w:val="20"/>
                <w:color w:val="auto"/>
              </w:rPr>
            </w:pPr>
            <w:r>
              <w:rPr>
                <w:rFonts w:ascii="Times New Roman" w:cs="Times New Roman" w:eastAsia="Times New Roman" w:hAnsi="Times New Roman"/>
                <w:sz w:val="18"/>
                <w:szCs w:val="18"/>
                <w:color w:val="auto"/>
              </w:rPr>
              <w:t>Owner EC Number: EC00110</w:t>
            </w:r>
          </w:p>
        </w:tc>
        <w:tc>
          <w:tcPr>
            <w:tcW w:w="0" w:type="dxa"/>
            <w:vAlign w:val="bottom"/>
          </w:tcPr>
          <w:p>
            <w:pPr>
              <w:spacing w:after="0"/>
              <w:rPr>
                <w:sz w:val="1"/>
                <w:szCs w:val="1"/>
                <w:color w:val="auto"/>
              </w:rPr>
            </w:pPr>
          </w:p>
        </w:tc>
      </w:tr>
      <w:tr>
        <w:trPr>
          <w:trHeight w:val="94"/>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Agreement of Trains 1 and 2</w:t>
            </w:r>
          </w:p>
        </w:tc>
        <w:tc>
          <w:tcPr>
            <w:tcW w:w="4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5200" w:type="dxa"/>
            <w:vAlign w:val="bottom"/>
            <w:vMerge w:val="continue"/>
          </w:tcPr>
          <w:p>
            <w:pPr>
              <w:spacing w:after="0"/>
              <w:rPr>
                <w:sz w:val="12"/>
                <w:szCs w:val="12"/>
                <w:color w:val="auto"/>
              </w:rPr>
            </w:pPr>
          </w:p>
        </w:tc>
        <w:tc>
          <w:tcPr>
            <w:tcW w:w="40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Contractor Change Number: SC0073</w:t>
            </w:r>
          </w:p>
        </w:tc>
        <w:tc>
          <w:tcPr>
            <w:tcW w:w="0" w:type="dxa"/>
            <w:vAlign w:val="bottom"/>
          </w:tcPr>
          <w:p>
            <w:pPr>
              <w:spacing w:after="0"/>
              <w:rPr>
                <w:sz w:val="1"/>
                <w:szCs w:val="1"/>
                <w:color w:val="auto"/>
              </w:rPr>
            </w:pPr>
          </w:p>
        </w:tc>
      </w:tr>
      <w:tr>
        <w:trPr>
          <w:trHeight w:val="95"/>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tc>
        <w:tc>
          <w:tcPr>
            <w:tcW w:w="4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200" w:type="dxa"/>
            <w:vAlign w:val="bottom"/>
            <w:vMerge w:val="continue"/>
          </w:tcPr>
          <w:p>
            <w:pPr>
              <w:spacing w:after="0"/>
              <w:rPr>
                <w:sz w:val="19"/>
                <w:szCs w:val="19"/>
                <w:color w:val="auto"/>
              </w:rPr>
            </w:pPr>
          </w:p>
        </w:tc>
        <w:tc>
          <w:tcPr>
            <w:tcW w:w="40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tc>
        <w:tc>
          <w:tcPr>
            <w:tcW w:w="0" w:type="dxa"/>
            <w:vAlign w:val="bottom"/>
          </w:tcPr>
          <w:p>
            <w:pPr>
              <w:spacing w:after="0"/>
              <w:rPr>
                <w:sz w:val="1"/>
                <w:szCs w:val="1"/>
                <w:color w:val="auto"/>
              </w:rPr>
            </w:pPr>
          </w:p>
        </w:tc>
      </w:tr>
      <w:tr>
        <w:trPr>
          <w:trHeight w:val="49"/>
        </w:trPr>
        <w:tc>
          <w:tcPr>
            <w:tcW w:w="5200" w:type="dxa"/>
            <w:vAlign w:val="bottom"/>
          </w:tcPr>
          <w:p>
            <w:pPr>
              <w:spacing w:after="0"/>
              <w:rPr>
                <w:sz w:val="4"/>
                <w:szCs w:val="4"/>
                <w:color w:val="auto"/>
              </w:rPr>
            </w:pPr>
          </w:p>
        </w:tc>
        <w:tc>
          <w:tcPr>
            <w:tcW w:w="4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tc>
        <w:tc>
          <w:tcPr>
            <w:tcW w:w="4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-65405</wp:posOffset>
            </wp:positionV>
            <wp:extent cx="538353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ATTACHMENT KK - CURRENT INDEX VALUE UPDATES FOR Q3-2023</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29" w:lineRule="exact"/>
        <w:rPr>
          <w:sz w:val="20"/>
          <w:szCs w:val="20"/>
          <w:color w:val="auto"/>
        </w:rPr>
      </w:pPr>
    </w:p>
    <w:p>
      <w:pPr>
        <w:ind w:left="140" w:right="680"/>
        <w:spacing w:after="0" w:line="282" w:lineRule="auto"/>
        <w:rPr>
          <w:sz w:val="20"/>
          <w:szCs w:val="20"/>
          <w:color w:val="auto"/>
        </w:rPr>
      </w:pPr>
      <w:r>
        <w:rPr>
          <w:rFonts w:ascii="Times New Roman" w:cs="Times New Roman" w:eastAsia="Times New Roman" w:hAnsi="Times New Roman"/>
          <w:sz w:val="18"/>
          <w:szCs w:val="18"/>
          <w:color w:val="auto"/>
        </w:rPr>
        <w:t>This Change Order incorporates updates to Attachment KK (Commodity Price Rise and Fall) for the Transaction Period comprising Quarter 3 of 2023:</w:t>
      </w:r>
    </w:p>
    <w:p>
      <w:pPr>
        <w:spacing w:after="0" w:line="185" w:lineRule="exact"/>
        <w:rPr>
          <w:sz w:val="20"/>
          <w:szCs w:val="20"/>
          <w:color w:val="auto"/>
        </w:rPr>
      </w:pPr>
    </w:p>
    <w:p>
      <w:pPr>
        <w:ind w:left="780" w:hanging="323"/>
        <w:spacing w:after="0"/>
        <w:tabs>
          <w:tab w:leader="none" w:pos="78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Previously Executed Change Orders</w:t>
      </w:r>
    </w:p>
    <w:p>
      <w:pPr>
        <w:spacing w:after="0" w:line="31" w:lineRule="exact"/>
        <w:rPr>
          <w:rFonts w:ascii="Times New Roman" w:cs="Times New Roman" w:eastAsia="Times New Roman" w:hAnsi="Times New Roman"/>
          <w:sz w:val="18"/>
          <w:szCs w:val="18"/>
          <w:b w:val="1"/>
          <w:bCs w:val="1"/>
          <w:color w:val="auto"/>
        </w:rPr>
      </w:pPr>
    </w:p>
    <w:p>
      <w:pPr>
        <w:ind w:left="780" w:right="6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Column A (Max Commodity Value), Column E (Expenditure Value), and Column F (Commodity Value Subject to Index) are adjusted to align with the previously executed Change Orders EC00095_SC0069 (Attachment KK Baseline Index Value Updates) and EC00074_SC0067 (Additional LNG Berth (Jetty 2)) which are a result of the re-baseline of Column D relative to NTP (Baseline Index).</w:t>
      </w:r>
    </w:p>
    <w:p>
      <w:pPr>
        <w:spacing w:after="0" w:line="208" w:lineRule="exact"/>
        <w:rPr>
          <w:rFonts w:ascii="Times New Roman" w:cs="Times New Roman" w:eastAsia="Times New Roman" w:hAnsi="Times New Roman"/>
          <w:sz w:val="18"/>
          <w:szCs w:val="18"/>
          <w:b w:val="1"/>
          <w:bCs w:val="1"/>
          <w:color w:val="auto"/>
        </w:rPr>
      </w:pPr>
    </w:p>
    <w:p>
      <w:pPr>
        <w:ind w:left="780" w:hanging="322"/>
        <w:spacing w:after="0"/>
        <w:tabs>
          <w:tab w:leader="none" w:pos="78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Foreign Currency Exchange Rate</w:t>
      </w:r>
    </w:p>
    <w:p>
      <w:pPr>
        <w:spacing w:after="0" w:line="31" w:lineRule="exact"/>
        <w:rPr>
          <w:rFonts w:ascii="Times New Roman" w:cs="Times New Roman" w:eastAsia="Times New Roman" w:hAnsi="Times New Roman"/>
          <w:sz w:val="18"/>
          <w:szCs w:val="18"/>
          <w:b w:val="1"/>
          <w:bCs w:val="1"/>
          <w:color w:val="auto"/>
        </w:rPr>
      </w:pPr>
    </w:p>
    <w:p>
      <w:pPr>
        <w:ind w:left="780" w:right="9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Resulting from previously executed Change Order EC00064_SC0056 (NTP Contract Price Adjustment for Foreign Currency), Attachment KK, Appendix 1 payment calculation tables for the following commodities, as listed in First Amended Appendix 1 (Commodity Price Rise and Fall Payment Calculation), require an adjustment to Column D (Baseline Index), to be comprised of the exchange rate of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U.S. Dollars to Euro used to calculate the Contract Price.</w:t>
      </w:r>
    </w:p>
    <w:p>
      <w:pPr>
        <w:spacing w:after="0" w:line="1" w:lineRule="exact"/>
        <w:rPr>
          <w:rFonts w:ascii="Times New Roman" w:cs="Times New Roman" w:eastAsia="Times New Roman" w:hAnsi="Times New Roman"/>
          <w:sz w:val="18"/>
          <w:szCs w:val="18"/>
          <w:b w:val="1"/>
          <w:bCs w:val="1"/>
          <w:color w:val="auto"/>
        </w:rPr>
      </w:pPr>
    </w:p>
    <w:p>
      <w:pPr>
        <w:ind w:left="1580" w:hanging="312"/>
        <w:spacing w:after="0"/>
        <w:tabs>
          <w:tab w:leader="none" w:pos="15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STAINLESS STEEL PIPE MATERIAL, PIPE, FLANGES</w:t>
      </w:r>
    </w:p>
    <w:p>
      <w:pPr>
        <w:spacing w:after="0" w:line="9" w:lineRule="exact"/>
        <w:rPr>
          <w:rFonts w:ascii="Times New Roman" w:cs="Times New Roman" w:eastAsia="Times New Roman" w:hAnsi="Times New Roman"/>
          <w:sz w:val="18"/>
          <w:szCs w:val="18"/>
          <w:color w:val="auto"/>
        </w:rPr>
      </w:pPr>
    </w:p>
    <w:p>
      <w:pPr>
        <w:ind w:left="1580" w:hanging="312"/>
        <w:spacing w:after="0"/>
        <w:tabs>
          <w:tab w:leader="none" w:pos="15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STEEL PIPE MATERIAL, PIPE, FLANGES</w:t>
      </w:r>
    </w:p>
    <w:p>
      <w:pPr>
        <w:spacing w:after="0" w:line="229" w:lineRule="exact"/>
        <w:rPr>
          <w:rFonts w:ascii="Times New Roman" w:cs="Times New Roman" w:eastAsia="Times New Roman" w:hAnsi="Times New Roman"/>
          <w:sz w:val="18"/>
          <w:szCs w:val="18"/>
          <w:color w:val="auto"/>
        </w:rPr>
      </w:pPr>
    </w:p>
    <w:p>
      <w:pPr>
        <w:ind w:left="780" w:hanging="322"/>
        <w:spacing w:after="0"/>
        <w:tabs>
          <w:tab w:leader="none" w:pos="78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Rise and Fall – Current Index Value Update for Q3 - 2023</w:t>
      </w:r>
    </w:p>
    <w:p>
      <w:pPr>
        <w:spacing w:after="0" w:line="31" w:lineRule="exact"/>
        <w:rPr>
          <w:rFonts w:ascii="Times New Roman" w:cs="Times New Roman" w:eastAsia="Times New Roman" w:hAnsi="Times New Roman"/>
          <w:sz w:val="18"/>
          <w:szCs w:val="18"/>
          <w:b w:val="1"/>
          <w:bCs w:val="1"/>
          <w:color w:val="auto"/>
        </w:rPr>
      </w:pPr>
    </w:p>
    <w:p>
      <w:pPr>
        <w:ind w:left="780" w:right="6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Section 1.2 of First Amended Attachment KK, the Contract Price will be adjusted quarterly to reflect the cumulative amount of Rise and Fall for the commodities listed in the First Amended Appendix 1 (Commodity Price Rise and Fall Payment Calculations). The commodities as listed in First Amended Appendix 1 (Commodity Price Rise and Fall Payment Calculation) which are subject to Rise and Fall during the Transaction Period of Q3-2023 are:</w:t>
      </w:r>
    </w:p>
    <w:p>
      <w:pPr>
        <w:spacing w:after="0" w:line="1" w:lineRule="exact"/>
        <w:rPr>
          <w:rFonts w:ascii="Times New Roman" w:cs="Times New Roman" w:eastAsia="Times New Roman" w:hAnsi="Times New Roman"/>
          <w:sz w:val="18"/>
          <w:szCs w:val="18"/>
          <w:b w:val="1"/>
          <w:bCs w:val="1"/>
          <w:color w:val="auto"/>
        </w:rPr>
      </w:pPr>
    </w:p>
    <w:p>
      <w:pPr>
        <w:ind w:left="1580" w:hanging="312"/>
        <w:spacing w:after="0"/>
        <w:tabs>
          <w:tab w:leader="none" w:pos="15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REINFORCING STEEL BAR (REBAR)</w:t>
      </w:r>
    </w:p>
    <w:p>
      <w:pPr>
        <w:spacing w:after="0" w:line="9" w:lineRule="exact"/>
        <w:rPr>
          <w:rFonts w:ascii="Times New Roman" w:cs="Times New Roman" w:eastAsia="Times New Roman" w:hAnsi="Times New Roman"/>
          <w:sz w:val="18"/>
          <w:szCs w:val="18"/>
          <w:color w:val="auto"/>
        </w:rPr>
      </w:pPr>
    </w:p>
    <w:p>
      <w:pPr>
        <w:ind w:left="1580" w:hanging="312"/>
        <w:spacing w:after="0" w:line="236" w:lineRule="auto"/>
        <w:tabs>
          <w:tab w:leader="none" w:pos="15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STAINLESS STEEL PIPE MATERIAL, PIPE, FLANGES</w:t>
      </w:r>
    </w:p>
    <w:p>
      <w:pPr>
        <w:ind w:left="1580" w:hanging="312"/>
        <w:spacing w:after="0" w:line="234" w:lineRule="auto"/>
        <w:tabs>
          <w:tab w:leader="none" w:pos="15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STEEL PIPE MATERIAL, PIPE, FLANGES</w:t>
      </w:r>
    </w:p>
    <w:p>
      <w:pPr>
        <w:ind w:left="1260"/>
        <w:spacing w:after="0" w:line="235" w:lineRule="auto"/>
        <w:rPr>
          <w:sz w:val="20"/>
          <w:szCs w:val="20"/>
          <w:color w:val="auto"/>
        </w:rPr>
      </w:pPr>
      <w:r>
        <w:rPr>
          <w:rFonts w:ascii="Times New Roman" w:cs="Times New Roman" w:eastAsia="Times New Roman" w:hAnsi="Times New Roman"/>
          <w:sz w:val="18"/>
          <w:szCs w:val="18"/>
          <w:color w:val="auto"/>
        </w:rPr>
        <w:t>7. CONSTRUCTION FUEL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15" w:lineRule="exact"/>
        <w:rPr>
          <w:sz w:val="20"/>
          <w:szCs w:val="20"/>
          <w:color w:val="auto"/>
        </w:rPr>
      </w:pPr>
    </w:p>
    <w:p>
      <w:pPr>
        <w:ind w:left="500" w:right="560" w:hanging="327"/>
        <w:spacing w:after="0" w:line="286" w:lineRule="auto"/>
        <w:tabs>
          <w:tab w:leader="none" w:pos="49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KK, First Amended Appendix 1 (Commodity Price Rise and Fall Payment Calculations)</w:t>
      </w:r>
      <w:r>
        <w:rPr>
          <w:rFonts w:ascii="Times New Roman" w:cs="Times New Roman" w:eastAsia="Times New Roman" w:hAnsi="Times New Roman"/>
          <w:sz w:val="18"/>
          <w:szCs w:val="18"/>
          <w:color w:val="auto"/>
        </w:rPr>
        <w:t>; shall be updated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the First Amended Appendix 1 (Commodity Price Rise and Fall Calculation) as provided in Attachment 1 to this Change Order.</w:t>
      </w:r>
    </w:p>
    <w:p>
      <w:pPr>
        <w:spacing w:after="0" w:line="195" w:lineRule="exact"/>
        <w:rPr>
          <w:rFonts w:ascii="Times New Roman" w:cs="Times New Roman" w:eastAsia="Times New Roman" w:hAnsi="Times New Roman"/>
          <w:sz w:val="18"/>
          <w:szCs w:val="18"/>
          <w:color w:val="auto"/>
        </w:rPr>
      </w:pPr>
    </w:p>
    <w:p>
      <w:pPr>
        <w:ind w:left="480" w:hanging="307"/>
        <w:spacing w:after="0"/>
        <w:tabs>
          <w:tab w:leader="none" w:pos="4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color w:val="auto"/>
        </w:rPr>
        <w:t>; shall be updated</w:t>
      </w:r>
    </w:p>
    <w:p>
      <w:pPr>
        <w:sectPr>
          <w:pgSz w:w="11900" w:h="16838" w:orient="portrait"/>
          <w:cols w:equalWidth="0" w:num="1">
            <w:col w:w="11240"/>
          </w:cols>
          <w:pgMar w:left="320" w:top="590"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the Appendix 1 (Contract Price Breakdown) as provided in Attachment 2 to this Change Order.</w:t>
      </w:r>
    </w:p>
    <w:p>
      <w:pPr>
        <w:spacing w:after="0" w:line="248" w:lineRule="exact"/>
        <w:rPr>
          <w:sz w:val="20"/>
          <w:szCs w:val="20"/>
          <w:color w:val="auto"/>
        </w:rPr>
      </w:pPr>
    </w:p>
    <w:p>
      <w:pPr>
        <w:ind w:left="500" w:right="900" w:hanging="327"/>
        <w:spacing w:after="0" w:line="286" w:lineRule="auto"/>
        <w:tabs>
          <w:tab w:leader="none" w:pos="49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color w:val="auto"/>
        </w:rPr>
        <w:t>; shall be updated per the Schedule C-2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Milestones) as provided in Attachment 3 to this Change Order.</w:t>
      </w:r>
    </w:p>
    <w:p>
      <w:pPr>
        <w:spacing w:after="0" w:line="195" w:lineRule="exact"/>
        <w:rPr>
          <w:rFonts w:ascii="Times New Roman" w:cs="Times New Roman" w:eastAsia="Times New Roman" w:hAnsi="Times New Roman"/>
          <w:sz w:val="18"/>
          <w:szCs w:val="18"/>
          <w:color w:val="auto"/>
        </w:rPr>
      </w:pPr>
    </w:p>
    <w:p>
      <w:pPr>
        <w:ind w:left="500" w:right="1000" w:hanging="327"/>
        <w:spacing w:after="0" w:line="286" w:lineRule="auto"/>
        <w:tabs>
          <w:tab w:leader="none" w:pos="49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r>
        <w:rPr>
          <w:rFonts w:ascii="Times New Roman" w:cs="Times New Roman" w:eastAsia="Times New Roman" w:hAnsi="Times New Roman"/>
          <w:sz w:val="18"/>
          <w:szCs w:val="18"/>
          <w:color w:val="auto"/>
        </w:rPr>
        <w:t>; shall be updated per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C-3 as provided in Attachment 4 to this Change Order.</w:t>
      </w:r>
    </w:p>
    <w:p>
      <w:pPr>
        <w:spacing w:after="0" w:line="3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27" w:lineRule="exact"/>
        <w:rPr>
          <w:sz w:val="20"/>
          <w:szCs w:val="20"/>
          <w:color w:val="auto"/>
        </w:rPr>
      </w:pPr>
    </w:p>
    <w:p>
      <w:pPr>
        <w:ind w:left="2000" w:right="920" w:hanging="1372"/>
        <w:spacing w:after="0" w:line="235" w:lineRule="auto"/>
        <w:rPr>
          <w:sz w:val="20"/>
          <w:szCs w:val="20"/>
          <w:color w:val="auto"/>
        </w:rPr>
      </w:pPr>
      <w:r>
        <w:rPr>
          <w:rFonts w:ascii="Times New Roman" w:cs="Times New Roman" w:eastAsia="Times New Roman" w:hAnsi="Times New Roman"/>
          <w:sz w:val="18"/>
          <w:szCs w:val="18"/>
          <w:color w:val="auto"/>
        </w:rPr>
        <w:t>Attachment 1 – First Amended Attachment KK, First Amended Appendix 1 (Commodity Price Rise and Fall Payment Calculation), as updated by this Change Order</w:t>
      </w:r>
    </w:p>
    <w:p>
      <w:pPr>
        <w:spacing w:after="0" w:line="1" w:lineRule="exact"/>
        <w:rPr>
          <w:sz w:val="20"/>
          <w:szCs w:val="20"/>
          <w:color w:val="auto"/>
        </w:rPr>
      </w:pPr>
    </w:p>
    <w:p>
      <w:pPr>
        <w:ind w:left="620" w:right="760"/>
        <w:spacing w:after="0" w:line="241" w:lineRule="auto"/>
        <w:rPr>
          <w:sz w:val="20"/>
          <w:szCs w:val="20"/>
          <w:color w:val="auto"/>
        </w:rPr>
      </w:pPr>
      <w:r>
        <w:rPr>
          <w:rFonts w:ascii="Times New Roman" w:cs="Times New Roman" w:eastAsia="Times New Roman" w:hAnsi="Times New Roman"/>
          <w:sz w:val="18"/>
          <w:szCs w:val="18"/>
          <w:color w:val="auto"/>
        </w:rPr>
        <w:t>Attachment 2 – First Amended Attachment C, First Amended Appendix 1 (Contract Price Breakdown), as updated by this Change Order Attachment 3 – First Amended Attachment C, First Amended Schedule C-2 (Payment Milestones), as updated by this Change Order</w:t>
      </w:r>
    </w:p>
    <w:p>
      <w:pPr>
        <w:spacing w:after="0" w:line="1" w:lineRule="exact"/>
        <w:rPr>
          <w:sz w:val="20"/>
          <w:szCs w:val="20"/>
          <w:color w:val="auto"/>
        </w:rPr>
      </w:pPr>
    </w:p>
    <w:p>
      <w:pPr>
        <w:ind w:left="2000" w:right="1120" w:hanging="1372"/>
        <w:spacing w:after="0" w:line="234" w:lineRule="auto"/>
        <w:rPr>
          <w:sz w:val="20"/>
          <w:szCs w:val="20"/>
          <w:color w:val="auto"/>
        </w:rPr>
      </w:pPr>
      <w:r>
        <w:rPr>
          <w:rFonts w:ascii="Times New Roman" w:cs="Times New Roman" w:eastAsia="Times New Roman" w:hAnsi="Times New Roman"/>
          <w:sz w:val="18"/>
          <w:szCs w:val="18"/>
          <w:color w:val="auto"/>
        </w:rPr>
        <w:t>Attachment 4 – First Amended Attachment C, First Amended Schedule C-3 (Maximum Cumulative Payment Schedule), as updated by this Change Order</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Attachment 5 – Contract Price Adjustment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38353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33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59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340" w:type="dxa"/>
            <w:vAlign w:val="bottom"/>
            <w:gridSpan w:val="11"/>
          </w:tcPr>
          <w:p>
            <w:pPr>
              <w:ind w:left="8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$8,658,280,000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5340" w:type="dxa"/>
            <w:vAlign w:val="bottom"/>
            <w:gridSpan w:val="11"/>
          </w:tcPr>
          <w:p>
            <w:pPr>
              <w:ind w:left="80"/>
              <w:spacing w:after="0" w:line="196" w:lineRule="exact"/>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10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$ 522,470,525</w:t>
            </w:r>
          </w:p>
        </w:tc>
        <w:tc>
          <w:tcPr>
            <w:tcW w:w="0" w:type="dxa"/>
            <w:vAlign w:val="bottom"/>
          </w:tcPr>
          <w:p>
            <w:pPr>
              <w:spacing w:after="0"/>
              <w:rPr>
                <w:sz w:val="1"/>
                <w:szCs w:val="1"/>
                <w:color w:val="auto"/>
              </w:rPr>
            </w:pPr>
          </w:p>
        </w:tc>
      </w:tr>
      <w:tr>
        <w:trPr>
          <w:trHeight w:val="196"/>
        </w:trPr>
        <w:tc>
          <w:tcPr>
            <w:tcW w:w="5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5340" w:type="dxa"/>
            <w:vAlign w:val="bottom"/>
            <w:gridSpan w:val="11"/>
          </w:tcPr>
          <w:p>
            <w:pPr>
              <w:ind w:left="80"/>
              <w:spacing w:after="0" w:line="196" w:lineRule="exact"/>
              <w:rPr>
                <w:sz w:val="20"/>
                <w:szCs w:val="20"/>
                <w:color w:val="auto"/>
              </w:rPr>
            </w:pPr>
            <w:r>
              <w:rPr>
                <w:rFonts w:ascii="Times New Roman" w:cs="Times New Roman" w:eastAsia="Times New Roman" w:hAnsi="Times New Roman"/>
                <w:sz w:val="18"/>
                <w:szCs w:val="18"/>
                <w:color w:val="auto"/>
              </w:rPr>
              <w:t>The Contract Price prior to this Change Order was  $9,180,750,525</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w:t>
            </w:r>
          </w:p>
        </w:tc>
        <w:tc>
          <w:tcPr>
            <w:tcW w:w="3980" w:type="dxa"/>
            <w:vAlign w:val="bottom"/>
            <w:gridSpan w:val="7"/>
          </w:tcPr>
          <w:p>
            <w:pPr>
              <w:ind w:left="80"/>
              <w:spacing w:after="0" w:line="191" w:lineRule="exact"/>
              <w:rPr>
                <w:sz w:val="20"/>
                <w:szCs w:val="20"/>
                <w:color w:val="auto"/>
              </w:rPr>
            </w:pPr>
            <w:r>
              <w:rPr>
                <w:rFonts w:ascii="Times New Roman" w:cs="Times New Roman" w:eastAsia="Times New Roman" w:hAnsi="Times New Roman"/>
                <w:sz w:val="18"/>
                <w:szCs w:val="18"/>
                <w:color w:val="auto"/>
                <w:w w:val="99"/>
              </w:rPr>
              <w:t xml:space="preserve">The Aggregate Equipment Price will be </w:t>
            </w:r>
            <w:r>
              <w:rPr>
                <w:rFonts w:ascii="Times New Roman" w:cs="Times New Roman" w:eastAsia="Times New Roman" w:hAnsi="Times New Roman"/>
                <w:sz w:val="18"/>
                <w:szCs w:val="18"/>
                <w:b w:val="1"/>
                <w:bCs w:val="1"/>
                <w:color w:val="auto"/>
                <w:w w:val="99"/>
              </w:rPr>
              <w:t>decreased</w:t>
            </w:r>
            <w:r>
              <w:rPr>
                <w:rFonts w:ascii="Times New Roman" w:cs="Times New Roman" w:eastAsia="Times New Roman" w:hAnsi="Times New Roman"/>
                <w:sz w:val="18"/>
                <w:szCs w:val="18"/>
                <w:color w:val="auto"/>
                <w:w w:val="99"/>
              </w:rPr>
              <w:t xml:space="preserve"> by</w:t>
            </w:r>
          </w:p>
        </w:tc>
        <w:tc>
          <w:tcPr>
            <w:tcW w:w="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this Change</w:t>
            </w:r>
          </w:p>
        </w:tc>
        <w:tc>
          <w:tcPr>
            <w:tcW w:w="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71"/>
              </w:rPr>
              <w:t>Order</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the amount of</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u w:val="single" w:color="auto"/>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6400" w:type="dxa"/>
            <w:vAlign w:val="bottom"/>
            <w:gridSpan w:val="14"/>
          </w:tcPr>
          <w:p>
            <w:pPr>
              <w:ind w:left="8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13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in the amount of</w:t>
            </w:r>
          </w:p>
        </w:tc>
        <w:tc>
          <w:tcPr>
            <w:tcW w:w="36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6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tcPr>
          <w:p>
            <w:pPr>
              <w:ind w:left="80"/>
              <w:spacing w:after="0" w:line="205" w:lineRule="exact"/>
              <w:rPr>
                <w:sz w:val="20"/>
                <w:szCs w:val="20"/>
                <w:color w:val="auto"/>
              </w:rPr>
            </w:pPr>
            <w:r>
              <w:rPr>
                <w:rFonts w:ascii="Times New Roman" w:cs="Times New Roman" w:eastAsia="Times New Roman" w:hAnsi="Times New Roman"/>
                <w:sz w:val="18"/>
                <w:szCs w:val="18"/>
                <w:color w:val="auto"/>
                <w:w w:val="99"/>
              </w:rPr>
              <w:t>The total Aggregate</w:t>
            </w:r>
          </w:p>
        </w:tc>
        <w:tc>
          <w:tcPr>
            <w:tcW w:w="180" w:type="dxa"/>
            <w:vAlign w:val="bottom"/>
            <w:tcBorders>
              <w:top w:val="single" w:sz="8" w:color="auto"/>
            </w:tcBorders>
          </w:tcPr>
          <w:p>
            <w:pPr>
              <w:spacing w:after="0"/>
              <w:rPr>
                <w:sz w:val="17"/>
                <w:szCs w:val="17"/>
                <w:color w:val="auto"/>
              </w:rPr>
            </w:pPr>
          </w:p>
        </w:tc>
        <w:tc>
          <w:tcPr>
            <w:tcW w:w="4680" w:type="dxa"/>
            <w:vAlign w:val="bottom"/>
            <w:gridSpan w:val="11"/>
          </w:tcPr>
          <w:p>
            <w:pPr>
              <w:jc w:val="right"/>
              <w:ind w:right="1020"/>
              <w:spacing w:after="0" w:line="205" w:lineRule="exact"/>
              <w:rPr>
                <w:sz w:val="20"/>
                <w:szCs w:val="20"/>
                <w:color w:val="auto"/>
              </w:rPr>
            </w:pPr>
            <w:r>
              <w:rPr>
                <w:rFonts w:ascii="Times New Roman" w:cs="Times New Roman" w:eastAsia="Times New Roman" w:hAnsi="Times New Roman"/>
                <w:sz w:val="18"/>
                <w:szCs w:val="18"/>
                <w:color w:val="auto"/>
                <w:w w:val="95"/>
              </w:rPr>
              <w:t xml:space="preserve">Equipment, Labor and Skills price will be </w:t>
            </w:r>
            <w:r>
              <w:rPr>
                <w:rFonts w:ascii="Times New Roman" w:cs="Times New Roman" w:eastAsia="Times New Roman" w:hAnsi="Times New Roman"/>
                <w:sz w:val="18"/>
                <w:szCs w:val="18"/>
                <w:b w:val="1"/>
                <w:bCs w:val="1"/>
                <w:color w:val="auto"/>
                <w:w w:val="95"/>
              </w:rPr>
              <w:t>decreased</w:t>
            </w:r>
          </w:p>
        </w:tc>
        <w:tc>
          <w:tcPr>
            <w:tcW w:w="0" w:type="dxa"/>
            <w:vAlign w:val="bottom"/>
          </w:tcPr>
          <w:p>
            <w:pPr>
              <w:spacing w:after="0"/>
              <w:rPr>
                <w:sz w:val="1"/>
                <w:szCs w:val="1"/>
                <w:color w:val="auto"/>
              </w:rPr>
            </w:pPr>
          </w:p>
        </w:tc>
      </w:tr>
      <w:tr>
        <w:trPr>
          <w:trHeight w:val="194"/>
        </w:trPr>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5340" w:type="dxa"/>
            <w:vAlign w:val="bottom"/>
            <w:gridSpan w:val="11"/>
          </w:tcPr>
          <w:p>
            <w:pPr>
              <w:ind w:left="8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($ 1,679,757)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vMerge w:val="continue"/>
          </w:tcPr>
          <w:p>
            <w:pPr>
              <w:spacing w:after="0"/>
              <w:rPr>
                <w:sz w:val="15"/>
                <w:szCs w:val="15"/>
                <w:color w:val="auto"/>
              </w:rPr>
            </w:pPr>
          </w:p>
        </w:tc>
        <w:tc>
          <w:tcPr>
            <w:tcW w:w="6400" w:type="dxa"/>
            <w:vAlign w:val="bottom"/>
            <w:gridSpan w:val="14"/>
          </w:tcPr>
          <w:p>
            <w:pPr>
              <w:ind w:left="80"/>
              <w:spacing w:after="0" w:line="182" w:lineRule="exact"/>
              <w:rPr>
                <w:sz w:val="20"/>
                <w:szCs w:val="20"/>
                <w:color w:val="auto"/>
              </w:rPr>
            </w:pPr>
            <w:r>
              <w:rPr>
                <w:rFonts w:ascii="Times New Roman" w:cs="Times New Roman" w:eastAsia="Times New Roman" w:hAnsi="Times New Roman"/>
                <w:sz w:val="18"/>
                <w:szCs w:val="18"/>
                <w:color w:val="auto"/>
              </w:rPr>
              <w:t>The new Contract Price including this Change Order will be  $9,179,070,768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left="140" w:right="4520"/>
        <w:spacing w:after="0" w:line="273"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34" w:lineRule="exact"/>
        <w:rPr>
          <w:sz w:val="20"/>
          <w:szCs w:val="20"/>
          <w:color w:val="auto"/>
        </w:rPr>
      </w:pPr>
    </w:p>
    <w:p>
      <w:pPr>
        <w:ind w:left="140" w:right="76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ectPr>
          <w:pgSz w:w="11900" w:h="16838" w:orient="portrait"/>
          <w:cols w:equalWidth="0" w:num="1">
            <w:col w:w="11240"/>
          </w:cols>
          <w:pgMar w:left="320" w:top="590"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3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6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3.</w:t>
      </w:r>
    </w:p>
    <w:p>
      <w:pPr>
        <w:spacing w:after="0" w:line="2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9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4.</w:t>
      </w:r>
    </w:p>
    <w:p>
      <w:pPr>
        <w:spacing w:after="0" w:line="3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Performance</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ind w:left="140"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The Total Reimbursement Amount is changed from $ 72,558,610 to $ 72,182,613, a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$375,997.</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jc w:val="both"/>
        <w:ind w:left="140" w:right="560" w:hanging="7"/>
        <w:spacing w:after="0" w:line="268" w:lineRule="auto"/>
        <w:tabs>
          <w:tab w:leader="none" w:pos="64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the below: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97" w:lineRule="exact"/>
        <w:rPr>
          <w:rFonts w:ascii="Times New Roman" w:cs="Times New Roman" w:eastAsia="Times New Roman" w:hAnsi="Times New Roman"/>
          <w:sz w:val="18"/>
          <w:szCs w:val="18"/>
          <w:color w:val="auto"/>
        </w:rPr>
      </w:pPr>
    </w:p>
    <w:p>
      <w:pPr>
        <w:jc w:val="both"/>
        <w:ind w:left="140" w:right="560" w:hanging="7"/>
        <w:spacing w:after="0" w:line="259" w:lineRule="auto"/>
        <w:tabs>
          <w:tab w:leader="none" w:pos="63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subject to the below:</w:t>
      </w: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-207645</wp:posOffset>
            </wp:positionV>
            <wp:extent cx="14433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1443355" cy="8890"/>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-19050</wp:posOffset>
            </wp:positionV>
            <wp:extent cx="1460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-19050</wp:posOffset>
            </wp:positionV>
            <wp:extent cx="1524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227" w:lineRule="exact"/>
        <w:rPr>
          <w:sz w:val="20"/>
          <w:szCs w:val="20"/>
          <w:color w:val="auto"/>
        </w:rPr>
      </w:pPr>
    </w:p>
    <w:p>
      <w:pPr>
        <w:jc w:val="both"/>
        <w:ind w:left="140" w:right="56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Alex Thompson</w:t>
            </w:r>
          </w:p>
        </w:tc>
        <w:tc>
          <w:tcPr>
            <w:tcW w:w="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/s/ Scott Osborne</w:t>
            </w:r>
          </w:p>
        </w:tc>
      </w:tr>
      <w:tr>
        <w:trPr>
          <w:trHeight w:val="218"/>
        </w:trPr>
        <w:tc>
          <w:tcPr>
            <w:tcW w:w="1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Owner</w:t>
            </w: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Contractor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40" w:type="dxa"/>
            <w:vAlign w:val="bottom"/>
          </w:tcPr>
          <w:p>
            <w:pPr>
              <w:spacing w:after="0"/>
              <w:rPr>
                <w:sz w:val="16"/>
                <w:szCs w:val="16"/>
                <w:color w:val="auto"/>
              </w:rPr>
            </w:pPr>
          </w:p>
        </w:tc>
        <w:tc>
          <w:tcPr>
            <w:tcW w:w="13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Alex Thompson</w:t>
            </w:r>
          </w:p>
        </w:tc>
        <w:tc>
          <w:tcPr>
            <w:tcW w:w="180" w:type="dxa"/>
            <w:vAlign w:val="bottom"/>
          </w:tcPr>
          <w:p>
            <w:pPr>
              <w:spacing w:after="0"/>
              <w:rPr>
                <w:sz w:val="16"/>
                <w:szCs w:val="16"/>
                <w:color w:val="auto"/>
              </w:rPr>
            </w:pPr>
          </w:p>
        </w:tc>
        <w:tc>
          <w:tcPr>
            <w:tcW w:w="120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Scott Osborne</w:t>
            </w:r>
          </w:p>
        </w:tc>
        <w:tc>
          <w:tcPr>
            <w:tcW w:w="940" w:type="dxa"/>
            <w:vAlign w:val="bottom"/>
            <w:gridSpan w:val="2"/>
          </w:tcPr>
          <w:p>
            <w:pPr>
              <w:spacing w:after="0"/>
              <w:rPr>
                <w:sz w:val="16"/>
                <w:szCs w:val="16"/>
                <w:color w:val="auto"/>
              </w:rPr>
            </w:pPr>
          </w:p>
        </w:tc>
      </w:tr>
      <w:tr>
        <w:trPr>
          <w:trHeight w:val="205"/>
        </w:trPr>
        <w:tc>
          <w:tcPr>
            <w:tcW w:w="140" w:type="dxa"/>
            <w:vAlign w:val="bottom"/>
          </w:tcPr>
          <w:p>
            <w:pPr>
              <w:spacing w:after="0"/>
              <w:rPr>
                <w:sz w:val="17"/>
                <w:szCs w:val="17"/>
                <w:color w:val="auto"/>
              </w:rPr>
            </w:pPr>
          </w:p>
        </w:tc>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980" w:type="dxa"/>
            <w:vAlign w:val="bottom"/>
            <w:gridSpan w:val="3"/>
          </w:tcPr>
          <w:p>
            <w:pPr>
              <w:ind w:left="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140" w:type="dxa"/>
            <w:vAlign w:val="bottom"/>
          </w:tcPr>
          <w:p>
            <w:pPr>
              <w:spacing w:after="0"/>
              <w:rPr>
                <w:sz w:val="16"/>
                <w:szCs w:val="16"/>
                <w:color w:val="auto"/>
              </w:rPr>
            </w:pPr>
          </w:p>
        </w:tc>
        <w:tc>
          <w:tcPr>
            <w:tcW w:w="152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Authorized Person</w:t>
            </w:r>
          </w:p>
        </w:tc>
        <w:tc>
          <w:tcPr>
            <w:tcW w:w="180" w:type="dxa"/>
            <w:vAlign w:val="bottom"/>
          </w:tcPr>
          <w:p>
            <w:pPr>
              <w:spacing w:after="0"/>
              <w:rPr>
                <w:sz w:val="16"/>
                <w:szCs w:val="16"/>
                <w:color w:val="auto"/>
              </w:rPr>
            </w:pPr>
          </w:p>
        </w:tc>
        <w:tc>
          <w:tcPr>
            <w:tcW w:w="1940" w:type="dxa"/>
            <w:vAlign w:val="bottom"/>
            <w:tcBorders>
              <w:bottom w:val="single" w:sz="8" w:color="auto"/>
            </w:tcBorders>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Senior Project Manager</w:t>
            </w:r>
          </w:p>
        </w:tc>
        <w:tc>
          <w:tcPr>
            <w:tcW w:w="20" w:type="dxa"/>
            <w:vAlign w:val="bottom"/>
          </w:tcPr>
          <w:p>
            <w:pPr>
              <w:spacing w:after="0"/>
              <w:rPr>
                <w:sz w:val="16"/>
                <w:szCs w:val="16"/>
                <w:color w:val="auto"/>
              </w:rPr>
            </w:pPr>
          </w:p>
        </w:tc>
      </w:tr>
    </w:tbl>
    <w:p>
      <w:pPr>
        <w:sectPr>
          <w:pgSz w:w="11900" w:h="16838" w:orient="portrait"/>
          <w:cols w:equalWidth="0" w:num="1">
            <w:col w:w="11240"/>
          </w:cols>
          <w:pgMar w:left="320" w:top="590" w:right="339" w:bottom="1440" w:gutter="0" w:footer="0" w:header="0"/>
        </w:sectPr>
      </w:pPr>
    </w:p>
    <w:bookmarkStart w:id="191" w:name="page192"/>
    <w:bookmarkEnd w:id="191"/>
    <w:p>
      <w:pPr>
        <w:ind w:left="9200"/>
        <w:spacing w:after="0"/>
        <w:rPr>
          <w:sz w:val="20"/>
          <w:szCs w:val="20"/>
          <w:color w:val="auto"/>
        </w:rPr>
      </w:pPr>
      <w:r>
        <w:rPr>
          <w:rFonts w:ascii="Times New Roman" w:cs="Times New Roman" w:eastAsia="Times New Roman" w:hAnsi="Times New Roman"/>
          <w:sz w:val="17"/>
          <w:szCs w:val="17"/>
          <w:b w:val="1"/>
          <w:bCs w:val="1"/>
          <w:color w:val="auto"/>
        </w:rPr>
        <w:t>Exhibit 10.2</w:t>
      </w:r>
    </w:p>
    <w:p>
      <w:pPr>
        <w:sectPr>
          <w:pgSz w:w="11900" w:h="16838" w:orient="portrait"/>
          <w:cols w:equalWidth="0" w:num="1">
            <w:col w:w="10120"/>
          </w:cols>
          <w:pgMar w:left="1440" w:top="590"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508635</wp:posOffset>
            </wp:positionV>
            <wp:extent cx="41319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8"/>
          <w:szCs w:val="18"/>
          <w:color w:val="auto"/>
        </w:rPr>
        <w:t>Date of Signing</w:t>
      </w:r>
      <w:r>
        <w:rPr>
          <w:sz w:val="20"/>
          <w:szCs w:val="20"/>
          <w:color w:val="auto"/>
        </w:rPr>
        <w:tab/>
      </w:r>
      <w:r>
        <w:rPr>
          <w:rFonts w:ascii="Times New Roman" w:cs="Times New Roman" w:eastAsia="Times New Roman" w:hAnsi="Times New Roman"/>
          <w:sz w:val="17"/>
          <w:szCs w:val="17"/>
          <w:color w:val="auto"/>
        </w:rPr>
        <w:t>Date of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160"/>
          </w:cols>
          <w:pgMar w:left="400" w:top="590"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ectPr>
          <w:pgSz w:w="11900" w:h="16838" w:orient="portrait"/>
          <w:cols w:equalWidth="0" w:num="1">
            <w:col w:w="11160"/>
          </w:cols>
          <w:pgMar w:left="400" w:top="590" w:right="339" w:bottom="1440" w:gutter="0" w:footer="0" w:header="0"/>
        </w:sectPr>
      </w:pPr>
    </w:p>
    <w:p>
      <w:pPr>
        <w:spacing w:after="0" w:line="3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p>
      <w:pPr>
        <w:spacing w:after="0" w:line="104" w:lineRule="exact"/>
        <w:rPr>
          <w:sz w:val="20"/>
          <w:szCs w:val="20"/>
          <w:color w:val="auto"/>
        </w:rPr>
      </w:pPr>
    </w:p>
    <w:p>
      <w:pPr>
        <w:ind w:lef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EPC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Trains 1 and 2</w:t>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457200</wp:posOffset>
            </wp:positionV>
            <wp:extent cx="53746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14,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EC Number: EC00127 Contractor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SC0080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pacing w:after="0" w:line="200" w:lineRule="exact"/>
        <w:rPr>
          <w:sz w:val="20"/>
          <w:szCs w:val="20"/>
          <w:color w:val="auto"/>
        </w:rPr>
      </w:pPr>
    </w:p>
    <w:p>
      <w:pPr>
        <w:spacing w:after="0" w:line="259"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TITLE: ATTACHMENT KK</w:t>
      </w:r>
    </w:p>
    <w:p>
      <w:pPr>
        <w:spacing w:after="0" w:line="31" w:lineRule="exact"/>
        <w:rPr>
          <w:sz w:val="20"/>
          <w:szCs w:val="20"/>
          <w:color w:val="auto"/>
        </w:rPr>
      </w:pPr>
    </w:p>
    <w:p>
      <w:pPr>
        <w:sectPr>
          <w:pgSz w:w="11900" w:h="16838" w:orient="portrait"/>
          <w:cols w:equalWidth="0" w:num="2">
            <w:col w:w="5780" w:space="300"/>
            <w:col w:w="5080"/>
          </w:cols>
          <w:pgMar w:left="400" w:top="590" w:right="339" w:bottom="1440" w:gutter="0" w:footer="0" w:header="0"/>
          <w:type w:val="continuous"/>
        </w:sectPr>
      </w:pPr>
    </w:p>
    <w:p>
      <w:pPr>
        <w:ind w:left="3440"/>
        <w:spacing w:after="0"/>
        <w:rPr>
          <w:sz w:val="20"/>
          <w:szCs w:val="20"/>
          <w:color w:val="auto"/>
        </w:rPr>
      </w:pPr>
      <w:r>
        <w:rPr>
          <w:rFonts w:ascii="Times New Roman" w:cs="Times New Roman" w:eastAsia="Times New Roman" w:hAnsi="Times New Roman"/>
          <w:sz w:val="18"/>
          <w:szCs w:val="18"/>
          <w:b w:val="1"/>
          <w:bCs w:val="1"/>
          <w:color w:val="auto"/>
        </w:rPr>
        <w:t>- CURRENT INDEX VALUE UPDATES FOR Q42023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16" w:lineRule="exact"/>
        <w:rPr>
          <w:sz w:val="20"/>
          <w:szCs w:val="20"/>
          <w:color w:val="auto"/>
        </w:rPr>
      </w:pPr>
    </w:p>
    <w:p>
      <w:pPr>
        <w:jc w:val="both"/>
        <w:ind w:left="60" w:right="560"/>
        <w:spacing w:after="0" w:line="261" w:lineRule="auto"/>
        <w:rPr>
          <w:sz w:val="20"/>
          <w:szCs w:val="20"/>
          <w:color w:val="auto"/>
        </w:rPr>
      </w:pPr>
      <w:r>
        <w:rPr>
          <w:rFonts w:ascii="Times New Roman" w:cs="Times New Roman" w:eastAsia="Times New Roman" w:hAnsi="Times New Roman"/>
          <w:sz w:val="18"/>
          <w:szCs w:val="18"/>
          <w:color w:val="auto"/>
        </w:rPr>
        <w:t>Pursuant to Section 1.2 of First Amended Attachment KK, the Contract Price will be adjusted quarterly to reflect the cumulative amount of Rise and Fall for the commodities listed in the First Amended Appendix 1 (Commodity Price Rise and Fall Payment Calculations). The commodities as listed in First Amended Appendix 1 (Commodity Price Rise and Fall Payment Calculation) which are subject to Rise and Fall during the Transaction Period of Q4-2023 are:</w:t>
      </w:r>
    </w:p>
    <w:p>
      <w:pPr>
        <w:spacing w:after="0" w:line="207" w:lineRule="exact"/>
        <w:rPr>
          <w:sz w:val="20"/>
          <w:szCs w:val="20"/>
          <w:color w:val="auto"/>
        </w:rPr>
      </w:pPr>
    </w:p>
    <w:p>
      <w:pPr>
        <w:ind w:left="700" w:hanging="322"/>
        <w:spacing w:after="0"/>
        <w:tabs>
          <w:tab w:leader="none" w:pos="7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REINFORCING STEEL BAR (REBAR)</w:t>
      </w:r>
    </w:p>
    <w:p>
      <w:pPr>
        <w:spacing w:after="0" w:line="49" w:lineRule="exact"/>
        <w:rPr>
          <w:rFonts w:ascii="Times New Roman" w:cs="Times New Roman" w:eastAsia="Times New Roman" w:hAnsi="Times New Roman"/>
          <w:sz w:val="18"/>
          <w:szCs w:val="18"/>
          <w:color w:val="auto"/>
        </w:rPr>
      </w:pPr>
    </w:p>
    <w:p>
      <w:pPr>
        <w:ind w:left="700" w:hanging="322"/>
        <w:spacing w:after="0"/>
        <w:tabs>
          <w:tab w:leader="none" w:pos="7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STAINLESS STEEL PIPE MATERIAL, PIPE, FLANGES</w:t>
      </w:r>
    </w:p>
    <w:p>
      <w:pPr>
        <w:spacing w:after="0" w:line="36" w:lineRule="exact"/>
        <w:rPr>
          <w:rFonts w:ascii="Times New Roman" w:cs="Times New Roman" w:eastAsia="Times New Roman" w:hAnsi="Times New Roman"/>
          <w:sz w:val="18"/>
          <w:szCs w:val="18"/>
          <w:color w:val="auto"/>
        </w:rPr>
      </w:pPr>
    </w:p>
    <w:p>
      <w:pPr>
        <w:ind w:left="700" w:hanging="322"/>
        <w:spacing w:after="0"/>
        <w:tabs>
          <w:tab w:leader="none" w:pos="7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STEEL PIPE MATERIAL, PIPE, FLANGES</w:t>
      </w:r>
    </w:p>
    <w:p>
      <w:pPr>
        <w:spacing w:after="0" w:line="36" w:lineRule="exact"/>
        <w:rPr>
          <w:rFonts w:ascii="Times New Roman" w:cs="Times New Roman" w:eastAsia="Times New Roman" w:hAnsi="Times New Roman"/>
          <w:sz w:val="18"/>
          <w:szCs w:val="18"/>
          <w:color w:val="auto"/>
        </w:rPr>
      </w:pPr>
    </w:p>
    <w:p>
      <w:pPr>
        <w:ind w:left="700" w:hanging="322"/>
        <w:spacing w:after="0"/>
        <w:tabs>
          <w:tab w:leader="none" w:pos="7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FABRICATED STRUCTURAL STEEL</w:t>
      </w:r>
    </w:p>
    <w:p>
      <w:pPr>
        <w:spacing w:after="0" w:line="36" w:lineRule="exact"/>
        <w:rPr>
          <w:rFonts w:ascii="Times New Roman" w:cs="Times New Roman" w:eastAsia="Times New Roman" w:hAnsi="Times New Roman"/>
          <w:sz w:val="18"/>
          <w:szCs w:val="18"/>
          <w:color w:val="auto"/>
        </w:rPr>
      </w:pPr>
    </w:p>
    <w:p>
      <w:pPr>
        <w:ind w:left="700" w:hanging="322"/>
        <w:spacing w:after="0"/>
        <w:tabs>
          <w:tab w:leader="none" w:pos="7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UAE FABRICATED STRUCTURAL STEEL</w:t>
      </w:r>
    </w:p>
    <w:p>
      <w:pPr>
        <w:spacing w:after="0" w:line="49" w:lineRule="exact"/>
        <w:rPr>
          <w:rFonts w:ascii="Times New Roman" w:cs="Times New Roman" w:eastAsia="Times New Roman" w:hAnsi="Times New Roman"/>
          <w:sz w:val="18"/>
          <w:szCs w:val="18"/>
          <w:color w:val="auto"/>
        </w:rPr>
      </w:pPr>
    </w:p>
    <w:p>
      <w:pPr>
        <w:ind w:left="680" w:hanging="302"/>
        <w:spacing w:after="0"/>
        <w:tabs>
          <w:tab w:leader="none" w:pos="6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AND CABLE (COPPER)</w:t>
      </w:r>
    </w:p>
    <w:p>
      <w:pPr>
        <w:spacing w:after="0" w:line="36" w:lineRule="exact"/>
        <w:rPr>
          <w:rFonts w:ascii="Times New Roman" w:cs="Times New Roman" w:eastAsia="Times New Roman" w:hAnsi="Times New Roman"/>
          <w:sz w:val="18"/>
          <w:szCs w:val="18"/>
          <w:color w:val="auto"/>
        </w:rPr>
      </w:pPr>
    </w:p>
    <w:p>
      <w:pPr>
        <w:ind w:left="700" w:hanging="322"/>
        <w:spacing w:after="0"/>
        <w:tabs>
          <w:tab w:leader="none" w:pos="7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FUEL</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252" w:lineRule="exact"/>
        <w:rPr>
          <w:sz w:val="20"/>
          <w:szCs w:val="20"/>
          <w:color w:val="auto"/>
        </w:rPr>
      </w:pPr>
    </w:p>
    <w:p>
      <w:pPr>
        <w:ind w:left="420" w:right="560" w:hanging="326"/>
        <w:spacing w:after="0" w:line="263" w:lineRule="auto"/>
        <w:tabs>
          <w:tab w:leader="none" w:pos="41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KK, First Amended Appendix 1 (Commodity Price Rise and Fall Payment Calculation)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the First Amended Appendix 1 (Commodity Price Rise and Fall Calculation) as provided in Attachment 1 to this Change Order.</w:t>
      </w:r>
    </w:p>
    <w:p>
      <w:pPr>
        <w:ind w:left="420" w:right="560" w:hanging="326"/>
        <w:spacing w:after="0" w:line="250" w:lineRule="auto"/>
        <w:tabs>
          <w:tab w:leader="none" w:pos="42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Breakdown) as provided in Attachment 2 to this Change Order.</w:t>
      </w:r>
    </w:p>
    <w:p>
      <w:pPr>
        <w:ind w:left="420" w:right="560" w:hanging="326"/>
        <w:spacing w:after="0" w:line="250" w:lineRule="auto"/>
        <w:tabs>
          <w:tab w:leader="none" w:pos="47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Schedule C-2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Milestones) as provided in Attachment 3 to this Change Order.</w:t>
      </w:r>
    </w:p>
    <w:p>
      <w:pPr>
        <w:ind w:left="480" w:hanging="386"/>
        <w:spacing w:after="0" w:line="217" w:lineRule="auto"/>
        <w:tabs>
          <w:tab w:leader="none" w:pos="48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u w:val="single" w:color="auto"/>
          <w:color w:val="auto"/>
        </w:rPr>
        <w:t>First Amended Attachment C, First Amended Schedule C-3 (Maximum Cumulative Payment Schedule)</w:t>
      </w:r>
    </w:p>
    <w:p>
      <w:pPr>
        <w:spacing w:after="0" w:line="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shall be updated per the Schedule C-3 as provided in Attachment 4 to this Change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160"/>
          </w:cols>
          <w:pgMar w:left="400" w:top="590" w:right="339" w:bottom="1440" w:gutter="0" w:footer="0" w:header="0"/>
          <w:type w:val="continuous"/>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31" w:lineRule="exact"/>
        <w:rPr>
          <w:sz w:val="20"/>
          <w:szCs w:val="20"/>
          <w:color w:val="auto"/>
        </w:rPr>
      </w:pPr>
    </w:p>
    <w:p>
      <w:pPr>
        <w:ind w:left="60" w:right="580"/>
        <w:spacing w:after="0" w:line="250" w:lineRule="auto"/>
        <w:rPr>
          <w:sz w:val="20"/>
          <w:szCs w:val="20"/>
          <w:color w:val="auto"/>
        </w:rPr>
      </w:pPr>
      <w:r>
        <w:rPr>
          <w:rFonts w:ascii="Times New Roman" w:cs="Times New Roman" w:eastAsia="Times New Roman" w:hAnsi="Times New Roman"/>
          <w:sz w:val="18"/>
          <w:szCs w:val="18"/>
          <w:color w:val="auto"/>
        </w:rPr>
        <w:t>Attachment 1 – First Amended Attachment KK, First Amended Appendix 1 (Commodity Price Rise and Fall Payment Calculation), as updated by this Change Order</w:t>
      </w:r>
    </w:p>
    <w:p>
      <w:pPr>
        <w:spacing w:after="0" w:line="1" w:lineRule="exact"/>
        <w:rPr>
          <w:sz w:val="20"/>
          <w:szCs w:val="20"/>
          <w:color w:val="auto"/>
        </w:rPr>
      </w:pPr>
    </w:p>
    <w:p>
      <w:pPr>
        <w:ind w:left="60" w:right="1080"/>
        <w:spacing w:after="0" w:line="250" w:lineRule="auto"/>
        <w:rPr>
          <w:sz w:val="20"/>
          <w:szCs w:val="20"/>
          <w:color w:val="auto"/>
        </w:rPr>
      </w:pPr>
      <w:r>
        <w:rPr>
          <w:rFonts w:ascii="Times New Roman" w:cs="Times New Roman" w:eastAsia="Times New Roman" w:hAnsi="Times New Roman"/>
          <w:sz w:val="18"/>
          <w:szCs w:val="18"/>
          <w:color w:val="auto"/>
        </w:rPr>
        <w:t>Attachment 2 – First Amended Attachment C, First Amended Appendix 1 (Contract Price Breakdown), as updated by this Change Order Attachment 3 – First Amended Attachment C, First Amended Schedule C-2 (Payment Milestones), as updated by this Change Order Attachment 4 – First Amended Attachment C, First Amended Schedule C-3 (Maximum Cumulative Payment Schedule), as updated by this Change Order.</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Attachment 5: Contract Price Adjustment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13970</wp:posOffset>
            </wp:positionV>
            <wp:extent cx="53746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75"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5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1000" w:type="dxa"/>
            <w:vAlign w:val="bottom"/>
          </w:tcPr>
          <w:p>
            <w:pPr>
              <w:spacing w:after="0"/>
              <w:rPr>
                <w:sz w:val="19"/>
                <w:szCs w:val="19"/>
                <w:color w:val="auto"/>
              </w:rPr>
            </w:pPr>
          </w:p>
        </w:tc>
      </w:tr>
      <w:tr>
        <w:trPr>
          <w:trHeight w:val="194"/>
        </w:trPr>
        <w:tc>
          <w:tcPr>
            <w:tcW w:w="56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340" w:type="dxa"/>
            <w:vAlign w:val="bottom"/>
            <w:gridSpan w:val="4"/>
          </w:tcPr>
          <w:p>
            <w:pPr>
              <w:ind w:left="8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$8,658,280,000</w:t>
            </w:r>
          </w:p>
        </w:tc>
        <w:tc>
          <w:tcPr>
            <w:tcW w:w="100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8"/>
        </w:trPr>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3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$520,790,768</w:t>
            </w:r>
          </w:p>
        </w:tc>
      </w:tr>
      <w:tr>
        <w:trPr>
          <w:trHeight w:val="212"/>
        </w:trPr>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3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The Contract Price prior to this Change Order was  $9,179,070,768</w:t>
            </w:r>
          </w:p>
        </w:tc>
        <w:tc>
          <w:tcPr>
            <w:tcW w:w="1000" w:type="dxa"/>
            <w:vAlign w:val="bottom"/>
          </w:tcPr>
          <w:p>
            <w:pPr>
              <w:spacing w:after="0"/>
              <w:rPr>
                <w:sz w:val="18"/>
                <w:szCs w:val="18"/>
                <w:color w:val="auto"/>
              </w:rPr>
            </w:pPr>
          </w:p>
        </w:tc>
      </w:tr>
      <w:tr>
        <w:trPr>
          <w:trHeight w:val="207"/>
        </w:trPr>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53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 xml:space="preserve">The Aggregate Equipment Price will be </w:t>
            </w:r>
            <w:r>
              <w:rPr>
                <w:rFonts w:ascii="Times New Roman" w:cs="Times New Roman" w:eastAsia="Times New Roman" w:hAnsi="Times New Roman"/>
                <w:sz w:val="18"/>
                <w:szCs w:val="18"/>
                <w:b w:val="1"/>
                <w:bCs w:val="1"/>
                <w:color w:val="auto"/>
                <w:w w:val="99"/>
              </w:rPr>
              <w:t>decreased</w:t>
            </w:r>
            <w:r>
              <w:rPr>
                <w:rFonts w:ascii="Times New Roman" w:cs="Times New Roman" w:eastAsia="Times New Roman" w:hAnsi="Times New Roman"/>
                <w:sz w:val="18"/>
                <w:szCs w:val="18"/>
                <w:color w:val="auto"/>
                <w:w w:val="99"/>
              </w:rPr>
              <w:t xml:space="preserve"> by this Change Order</w:t>
            </w:r>
          </w:p>
        </w:tc>
        <w:tc>
          <w:tcPr>
            <w:tcW w:w="1000" w:type="dxa"/>
            <w:vAlign w:val="bottom"/>
          </w:tcPr>
          <w:p>
            <w:pPr>
              <w:spacing w:after="0"/>
              <w:rPr>
                <w:sz w:val="17"/>
                <w:szCs w:val="17"/>
                <w:color w:val="auto"/>
              </w:rPr>
            </w:pPr>
          </w:p>
        </w:tc>
      </w:tr>
      <w:tr>
        <w:trPr>
          <w:trHeight w:val="212"/>
        </w:trPr>
        <w:tc>
          <w:tcPr>
            <w:tcW w:w="5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the amount of</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r>
      <w:tr>
        <w:trPr>
          <w:trHeight w:val="212"/>
        </w:trPr>
        <w:tc>
          <w:tcPr>
            <w:tcW w:w="56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the amount of</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p>
        </w:tc>
        <w:tc>
          <w:tcPr>
            <w:tcW w:w="1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decreased</w:t>
            </w:r>
          </w:p>
        </w:tc>
      </w:tr>
      <w:tr>
        <w:trPr>
          <w:trHeight w:val="203"/>
        </w:trPr>
        <w:tc>
          <w:tcPr>
            <w:tcW w:w="560" w:type="dxa"/>
            <w:vAlign w:val="bottom"/>
          </w:tcPr>
          <w:p>
            <w:pPr>
              <w:spacing w:after="0"/>
              <w:rPr>
                <w:sz w:val="17"/>
                <w:szCs w:val="17"/>
                <w:color w:val="auto"/>
              </w:rPr>
            </w:pPr>
          </w:p>
        </w:tc>
        <w:tc>
          <w:tcPr>
            <w:tcW w:w="5340" w:type="dxa"/>
            <w:vAlign w:val="bottom"/>
            <w:gridSpan w:val="4"/>
          </w:tcPr>
          <w:p>
            <w:pPr>
              <w:ind w:left="140"/>
              <w:spacing w:after="0" w:line="202" w:lineRule="exact"/>
              <w:rPr>
                <w:sz w:val="20"/>
                <w:szCs w:val="20"/>
                <w:color w:val="auto"/>
              </w:rPr>
            </w:pPr>
            <w:r>
              <w:rPr>
                <w:rFonts w:ascii="Times New Roman" w:cs="Times New Roman" w:eastAsia="Times New Roman" w:hAnsi="Times New Roman"/>
                <w:sz w:val="18"/>
                <w:szCs w:val="18"/>
                <w:color w:val="auto"/>
              </w:rPr>
              <w:t>by this Change Order in the amount of  ($2,127,914)</w:t>
            </w:r>
          </w:p>
        </w:tc>
        <w:tc>
          <w:tcPr>
            <w:tcW w:w="1000" w:type="dxa"/>
            <w:vAlign w:val="bottom"/>
          </w:tcPr>
          <w:p>
            <w:pPr>
              <w:spacing w:after="0"/>
              <w:rPr>
                <w:sz w:val="17"/>
                <w:szCs w:val="17"/>
                <w:color w:val="auto"/>
              </w:rPr>
            </w:pPr>
          </w:p>
        </w:tc>
      </w:tr>
      <w:tr>
        <w:trPr>
          <w:trHeight w:val="234"/>
        </w:trPr>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The new Contract Price including this Change Order will be  $9,176,942,854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-205105</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left="60" w:right="452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34" w:lineRule="exact"/>
        <w:rPr>
          <w:sz w:val="20"/>
          <w:szCs w:val="20"/>
          <w:color w:val="auto"/>
        </w:rPr>
      </w:pPr>
    </w:p>
    <w:p>
      <w:pPr>
        <w:ind w:left="60" w:right="76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Schedule C-2 (Payment Milestones) is updated as provided in Attachment 3.</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Impact on Maximum Cumulative Payment Schedule:</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4.</w:t>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Performance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Basis of Design: </w:t>
      </w:r>
      <w:r>
        <w:rPr>
          <w:rFonts w:ascii="Times New Roman" w:cs="Times New Roman" w:eastAsia="Times New Roman" w:hAnsi="Times New Roman"/>
          <w:sz w:val="18"/>
          <w:szCs w:val="18"/>
          <w:color w:val="auto"/>
        </w:rPr>
        <w:t>N/A</w:t>
      </w:r>
    </w:p>
    <w:p>
      <w:pPr>
        <w:spacing w:after="0" w:line="104" w:lineRule="exact"/>
        <w:rPr>
          <w:sz w:val="20"/>
          <w:szCs w:val="20"/>
          <w:color w:val="auto"/>
        </w:rPr>
      </w:pPr>
    </w:p>
    <w:p>
      <w:pPr>
        <w:ind w:left="60"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The Total Reimbursement Amount is changed from $ 72,182,613 to $ 71,861,912, a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$320,701.</w:t>
      </w:r>
    </w:p>
    <w:p>
      <w:pPr>
        <w:sectPr>
          <w:pgSz w:w="11900" w:h="16838" w:orient="portrait"/>
          <w:cols w:equalWidth="0" w:num="1">
            <w:col w:w="11160"/>
          </w:cols>
          <w:pgMar w:left="400" w:top="5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160"/>
          </w:cols>
          <w:pgMar w:left="400" w:top="590" w:right="339" w:bottom="1440" w:gutter="0" w:footer="0" w:header="0"/>
          <w:type w:val="continuous"/>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3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jc w:val="both"/>
        <w:ind w:left="140" w:right="560" w:hanging="7"/>
        <w:spacing w:after="0" w:line="268" w:lineRule="auto"/>
        <w:tabs>
          <w:tab w:leader="none" w:pos="64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the below: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22" w:lineRule="exact"/>
        <w:rPr>
          <w:rFonts w:ascii="Times New Roman" w:cs="Times New Roman" w:eastAsia="Times New Roman" w:hAnsi="Times New Roman"/>
          <w:sz w:val="18"/>
          <w:szCs w:val="18"/>
          <w:color w:val="auto"/>
        </w:rPr>
      </w:pPr>
    </w:p>
    <w:p>
      <w:pPr>
        <w:jc w:val="both"/>
        <w:ind w:left="140" w:right="560" w:hanging="6"/>
        <w:spacing w:after="0" w:line="259" w:lineRule="auto"/>
        <w:tabs>
          <w:tab w:leader="none" w:pos="63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subject to the below:</w:t>
      </w: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-207645</wp:posOffset>
            </wp:positionV>
            <wp:extent cx="14433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14433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-19050</wp:posOffset>
            </wp:positionV>
            <wp:extent cx="1460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-19050</wp:posOffset>
            </wp:positionV>
            <wp:extent cx="1524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152400" cy="8255"/>
                    </a:xfrm>
                    <a:prstGeom prst="rect">
                      <a:avLst/>
                    </a:prstGeom>
                    <a:noFill/>
                  </pic:spPr>
                </pic:pic>
              </a:graphicData>
            </a:graphic>
          </wp:anchor>
        </w:drawing>
      </w:r>
    </w:p>
    <w:p>
      <w:pPr>
        <w:spacing w:after="0" w:line="214" w:lineRule="exact"/>
        <w:rPr>
          <w:sz w:val="20"/>
          <w:szCs w:val="20"/>
          <w:color w:val="auto"/>
        </w:rPr>
      </w:pPr>
    </w:p>
    <w:p>
      <w:pPr>
        <w:jc w:val="both"/>
        <w:ind w:left="140" w:right="56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Alex Thompson</w:t>
            </w:r>
          </w:p>
        </w:tc>
        <w:tc>
          <w:tcPr>
            <w:tcW w:w="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8"/>
              </w:rPr>
              <w:t>/s/ Scott Osborne</w:t>
            </w:r>
          </w:p>
        </w:tc>
        <w:tc>
          <w:tcPr>
            <w:tcW w:w="2780" w:type="dxa"/>
            <w:vAlign w:val="bottom"/>
            <w:gridSpan w:val="2"/>
          </w:tcPr>
          <w:p>
            <w:pPr>
              <w:spacing w:after="0"/>
              <w:rPr>
                <w:sz w:val="17"/>
                <w:szCs w:val="17"/>
                <w:color w:val="auto"/>
              </w:rPr>
            </w:pPr>
          </w:p>
        </w:tc>
      </w:tr>
      <w:tr>
        <w:trPr>
          <w:trHeight w:val="218"/>
        </w:trPr>
        <w:tc>
          <w:tcPr>
            <w:tcW w:w="1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Owner</w:t>
            </w:r>
          </w:p>
        </w:tc>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Contractor</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94"/>
        </w:trPr>
        <w:tc>
          <w:tcPr>
            <w:tcW w:w="140" w:type="dxa"/>
            <w:vAlign w:val="bottom"/>
          </w:tcPr>
          <w:p>
            <w:pPr>
              <w:spacing w:after="0"/>
              <w:rPr>
                <w:sz w:val="16"/>
                <w:szCs w:val="16"/>
                <w:color w:val="auto"/>
              </w:rPr>
            </w:pPr>
          </w:p>
        </w:tc>
        <w:tc>
          <w:tcPr>
            <w:tcW w:w="13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Alex Thompson</w:t>
            </w:r>
          </w:p>
        </w:tc>
        <w:tc>
          <w:tcPr>
            <w:tcW w:w="180" w:type="dxa"/>
            <w:vAlign w:val="bottom"/>
          </w:tcPr>
          <w:p>
            <w:pPr>
              <w:spacing w:after="0"/>
              <w:rPr>
                <w:sz w:val="16"/>
                <w:szCs w:val="16"/>
                <w:color w:val="auto"/>
              </w:rPr>
            </w:pPr>
          </w:p>
        </w:tc>
        <w:tc>
          <w:tcPr>
            <w:tcW w:w="120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Scott Osborne</w:t>
            </w:r>
          </w:p>
        </w:tc>
        <w:tc>
          <w:tcPr>
            <w:tcW w:w="3720" w:type="dxa"/>
            <w:vAlign w:val="bottom"/>
            <w:gridSpan w:val="4"/>
          </w:tcPr>
          <w:p>
            <w:pPr>
              <w:spacing w:after="0"/>
              <w:rPr>
                <w:sz w:val="16"/>
                <w:szCs w:val="16"/>
                <w:color w:val="auto"/>
              </w:rPr>
            </w:pPr>
          </w:p>
        </w:tc>
      </w:tr>
      <w:tr>
        <w:trPr>
          <w:trHeight w:val="205"/>
        </w:trPr>
        <w:tc>
          <w:tcPr>
            <w:tcW w:w="140" w:type="dxa"/>
            <w:vAlign w:val="bottom"/>
          </w:tcPr>
          <w:p>
            <w:pPr>
              <w:spacing w:after="0"/>
              <w:rPr>
                <w:sz w:val="17"/>
                <w:szCs w:val="17"/>
                <w:color w:val="auto"/>
              </w:rPr>
            </w:pPr>
          </w:p>
        </w:tc>
        <w:tc>
          <w:tcPr>
            <w:tcW w:w="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2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194"/>
        </w:trPr>
        <w:tc>
          <w:tcPr>
            <w:tcW w:w="140" w:type="dxa"/>
            <w:vAlign w:val="bottom"/>
          </w:tcPr>
          <w:p>
            <w:pPr>
              <w:spacing w:after="0"/>
              <w:rPr>
                <w:sz w:val="16"/>
                <w:szCs w:val="16"/>
                <w:color w:val="auto"/>
              </w:rPr>
            </w:pPr>
          </w:p>
        </w:tc>
        <w:tc>
          <w:tcPr>
            <w:tcW w:w="152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Authorized Person</w:t>
            </w:r>
          </w:p>
        </w:tc>
        <w:tc>
          <w:tcPr>
            <w:tcW w:w="180" w:type="dxa"/>
            <w:vAlign w:val="bottom"/>
          </w:tcPr>
          <w:p>
            <w:pPr>
              <w:spacing w:after="0"/>
              <w:rPr>
                <w:sz w:val="16"/>
                <w:szCs w:val="16"/>
                <w:color w:val="auto"/>
              </w:rPr>
            </w:pPr>
          </w:p>
        </w:tc>
        <w:tc>
          <w:tcPr>
            <w:tcW w:w="1940" w:type="dxa"/>
            <w:vAlign w:val="bottom"/>
            <w:tcBorders>
              <w:bottom w:val="single" w:sz="8" w:color="auto"/>
            </w:tcBorders>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Senior Project Manager</w:t>
            </w:r>
          </w:p>
        </w:tc>
        <w:tc>
          <w:tcPr>
            <w:tcW w:w="2800" w:type="dxa"/>
            <w:vAlign w:val="bottom"/>
            <w:gridSpan w:val="3"/>
          </w:tcPr>
          <w:p>
            <w:pPr>
              <w:spacing w:after="0"/>
              <w:rPr>
                <w:sz w:val="16"/>
                <w:szCs w:val="16"/>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5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TitleMarch 21, 2024 March 21, 2024</w:t>
            </w:r>
          </w:p>
        </w:tc>
      </w:tr>
      <w:tr>
        <w:trPr>
          <w:trHeight w:val="20"/>
        </w:trPr>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-59690</wp:posOffset>
            </wp:positionV>
            <wp:extent cx="20574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Date of Signing</w:t>
      </w:r>
      <w:r>
        <w:rPr>
          <w:sz w:val="20"/>
          <w:szCs w:val="20"/>
          <w:color w:val="auto"/>
        </w:rPr>
        <w:tab/>
      </w:r>
      <w:r>
        <w:rPr>
          <w:rFonts w:ascii="Times New Roman" w:cs="Times New Roman" w:eastAsia="Times New Roman" w:hAnsi="Times New Roman"/>
          <w:sz w:val="17"/>
          <w:szCs w:val="17"/>
          <w:color w:val="auto"/>
        </w:rPr>
        <w:t>Date of Signing</w:t>
      </w:r>
    </w:p>
    <w:p>
      <w:pPr>
        <w:spacing w:after="0" w:line="3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590"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160"/>
          </w:cols>
          <w:pgMar w:left="400" w:top="590"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ectPr>
          <w:pgSz w:w="11900" w:h="16838" w:orient="portrait"/>
          <w:cols w:equalWidth="0" w:num="1">
            <w:col w:w="11160"/>
          </w:cols>
          <w:pgMar w:left="400" w:top="590" w:right="339" w:bottom="1440" w:gutter="0" w:footer="0" w:header="0"/>
        </w:sectPr>
      </w:pPr>
    </w:p>
    <w:p>
      <w:pPr>
        <w:spacing w:after="0" w:line="3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p>
      <w:pPr>
        <w:spacing w:after="0" w:line="117" w:lineRule="exact"/>
        <w:rPr>
          <w:sz w:val="20"/>
          <w:szCs w:val="20"/>
          <w:color w:val="auto"/>
        </w:rPr>
      </w:pPr>
    </w:p>
    <w:p>
      <w:pPr>
        <w:ind w:lef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Agreement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Trains 1 and 2</w:t>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448310</wp:posOffset>
            </wp:positionV>
            <wp:extent cx="53746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5374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14,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ind w:right="1500"/>
        <w:spacing w:after="0" w:line="260" w:lineRule="auto"/>
        <w:rPr>
          <w:sz w:val="20"/>
          <w:szCs w:val="20"/>
          <w:color w:val="auto"/>
        </w:rPr>
      </w:pPr>
      <w:r>
        <w:rPr>
          <w:rFonts w:ascii="Times New Roman" w:cs="Times New Roman" w:eastAsia="Times New Roman" w:hAnsi="Times New Roman"/>
          <w:sz w:val="18"/>
          <w:szCs w:val="18"/>
          <w:color w:val="auto"/>
        </w:rPr>
        <w:t>Owner EC Number: EC00137 Contractor Change Number SC0078</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2024</w:t>
      </w:r>
    </w:p>
    <w:p>
      <w:pPr>
        <w:spacing w:after="0" w:line="200" w:lineRule="exact"/>
        <w:rPr>
          <w:sz w:val="20"/>
          <w:szCs w:val="20"/>
          <w:color w:val="auto"/>
        </w:rPr>
      </w:pPr>
    </w:p>
    <w:p>
      <w:pPr>
        <w:spacing w:after="0" w:line="259"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TITLE: HRU SUBSTATION</w:t>
      </w:r>
    </w:p>
    <w:p>
      <w:pPr>
        <w:spacing w:after="0" w:line="31" w:lineRule="exact"/>
        <w:rPr>
          <w:sz w:val="20"/>
          <w:szCs w:val="20"/>
          <w:color w:val="auto"/>
        </w:rPr>
      </w:pPr>
    </w:p>
    <w:p>
      <w:pPr>
        <w:sectPr>
          <w:pgSz w:w="11900" w:h="16838" w:orient="portrait"/>
          <w:cols w:equalWidth="0" w:num="2">
            <w:col w:w="5660" w:space="420"/>
            <w:col w:w="5080"/>
          </w:cols>
          <w:pgMar w:left="400" w:top="590" w:right="339" w:bottom="1440" w:gutter="0" w:footer="0" w:header="0"/>
          <w:type w:val="continuous"/>
        </w:sectPr>
      </w:pPr>
    </w:p>
    <w:p>
      <w:pPr>
        <w:ind w:left="4940"/>
        <w:spacing w:after="0"/>
        <w:rPr>
          <w:sz w:val="20"/>
          <w:szCs w:val="20"/>
          <w:color w:val="auto"/>
        </w:rPr>
      </w:pPr>
      <w:r>
        <w:rPr>
          <w:rFonts w:ascii="Times New Roman" w:cs="Times New Roman" w:eastAsia="Times New Roman" w:hAnsi="Times New Roman"/>
          <w:sz w:val="18"/>
          <w:szCs w:val="18"/>
          <w:b w:val="1"/>
          <w:bCs w:val="1"/>
          <w:color w:val="auto"/>
        </w:rPr>
        <w:t>RELOCATION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364" w:lineRule="exact"/>
        <w:rPr>
          <w:sz w:val="20"/>
          <w:szCs w:val="20"/>
          <w:color w:val="auto"/>
        </w:rPr>
      </w:pPr>
    </w:p>
    <w:p>
      <w:pPr>
        <w:jc w:val="both"/>
        <w:ind w:left="100" w:right="560"/>
        <w:spacing w:after="0" w:line="266" w:lineRule="auto"/>
        <w:rPr>
          <w:sz w:val="20"/>
          <w:szCs w:val="20"/>
          <w:color w:val="auto"/>
        </w:rPr>
      </w:pPr>
      <w:r>
        <w:rPr>
          <w:rFonts w:ascii="Times New Roman" w:cs="Times New Roman" w:eastAsia="Times New Roman" w:hAnsi="Times New Roman"/>
          <w:sz w:val="18"/>
          <w:szCs w:val="18"/>
          <w:color w:val="auto"/>
        </w:rPr>
        <w:t>Early design development placed the Heat Recovery Unit (HRU) substations in the southeast corner of the Train 1 ISBL and the Train 2 ISBL. The project teams of both Owner and Contractor reviewed and approved this location during the 30% design model reviews on March 20, 2020 and the unit plot plan was subsequently issued for construction on April 15, 2020.</w:t>
      </w:r>
    </w:p>
    <w:p>
      <w:pPr>
        <w:spacing w:after="0" w:line="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231F20"/>
        </w:rPr>
        <w:t>[***]</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Contractor shall perform all Work necessary to incorporate the following design optimizations to support future facility Equipment.</w:t>
      </w:r>
    </w:p>
    <w:p>
      <w:pPr>
        <w:spacing w:after="0" w:line="252" w:lineRule="exact"/>
        <w:rPr>
          <w:sz w:val="20"/>
          <w:szCs w:val="20"/>
          <w:color w:val="auto"/>
        </w:rPr>
      </w:pPr>
    </w:p>
    <w:p>
      <w:pPr>
        <w:ind w:left="440" w:hanging="309"/>
        <w:spacing w:after="0"/>
        <w:tabs>
          <w:tab w:leader="none" w:pos="4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Train 1 HRU Substation (1SS-1752) and Train 2 HRU Substation (2SS-1752)</w:t>
      </w:r>
    </w:p>
    <w:p>
      <w:pPr>
        <w:spacing w:after="0" w:line="15" w:lineRule="exact"/>
        <w:rPr>
          <w:rFonts w:ascii="Times New Roman" w:cs="Times New Roman" w:eastAsia="Times New Roman" w:hAnsi="Times New Roman"/>
          <w:sz w:val="18"/>
          <w:szCs w:val="18"/>
          <w:color w:val="auto"/>
        </w:rPr>
      </w:pPr>
    </w:p>
    <w:p>
      <w:pPr>
        <w:ind w:left="460" w:right="56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Attachment 1 – Red-Line Mark-Up of DWG RG-BL-100-PIP-PP-00001; Unit Plot Plan LNG Train 1 and Attachment 2 – Red-Line Mark-Up of DWG RG-BL-000-PIP-PP-00016; Unit Plot Plan South Corridor 1</w:t>
      </w: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HRU Substations as indicated in Attachment 1 and Attachment 2 to this Change Order.</w:t>
      </w:r>
    </w:p>
    <w:p>
      <w:pPr>
        <w:spacing w:after="0" w:line="9" w:lineRule="exact"/>
        <w:rPr>
          <w:rFonts w:ascii="Times New Roman" w:cs="Times New Roman" w:eastAsia="Times New Roman" w:hAnsi="Times New Roman"/>
          <w:sz w:val="18"/>
          <w:szCs w:val="18"/>
          <w:color w:val="auto"/>
        </w:rPr>
      </w:pPr>
    </w:p>
    <w:p>
      <w:pPr>
        <w:ind w:left="1100" w:right="560" w:hanging="58"/>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space (Approx. 122’ x 183’) in the southeast corner of Train 1 and Train 2 for future EFG/NRU Equipment. Note, the suitability of available space to be determined and the necessary set-back from the road must be maintained.</w:t>
      </w:r>
    </w:p>
    <w:p>
      <w:pPr>
        <w:spacing w:after="0" w:line="149" w:lineRule="exact"/>
        <w:rPr>
          <w:rFonts w:ascii="Times New Roman" w:cs="Times New Roman" w:eastAsia="Times New Roman" w:hAnsi="Times New Roman"/>
          <w:sz w:val="18"/>
          <w:szCs w:val="18"/>
          <w:color w:val="auto"/>
        </w:rPr>
      </w:pPr>
    </w:p>
    <w:p>
      <w:pPr>
        <w:ind w:left="460" w:right="660" w:hanging="324"/>
        <w:spacing w:after="0" w:line="286" w:lineRule="auto"/>
        <w:tabs>
          <w:tab w:leader="none" w:pos="45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Breakdown) as provided in Attachment 3 to this Change Order.</w:t>
      </w:r>
    </w:p>
    <w:p>
      <w:pPr>
        <w:spacing w:after="0" w:line="46" w:lineRule="exact"/>
        <w:rPr>
          <w:rFonts w:ascii="Times New Roman" w:cs="Times New Roman" w:eastAsia="Times New Roman" w:hAnsi="Times New Roman"/>
          <w:sz w:val="18"/>
          <w:szCs w:val="18"/>
          <w:color w:val="auto"/>
        </w:rPr>
      </w:pPr>
    </w:p>
    <w:p>
      <w:pPr>
        <w:ind w:left="460" w:right="640" w:hanging="324"/>
        <w:spacing w:after="0" w:line="281" w:lineRule="auto"/>
        <w:tabs>
          <w:tab w:leader="none" w:pos="45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C-2 Payment Milestones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Attachment 4 to this Change Order.</w:t>
      </w:r>
    </w:p>
    <w:p>
      <w:pPr>
        <w:spacing w:after="0" w:line="1" w:lineRule="exact"/>
        <w:rPr>
          <w:rFonts w:ascii="Times New Roman" w:cs="Times New Roman" w:eastAsia="Times New Roman" w:hAnsi="Times New Roman"/>
          <w:sz w:val="18"/>
          <w:szCs w:val="18"/>
          <w:color w:val="auto"/>
        </w:rPr>
      </w:pPr>
    </w:p>
    <w:p>
      <w:pPr>
        <w:ind w:left="460" w:right="2760" w:hanging="324"/>
        <w:spacing w:after="0" w:line="271" w:lineRule="auto"/>
        <w:tabs>
          <w:tab w:leader="none" w:pos="45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First Amended Attachment C, First Amended Schedule C-3 (Maximum Cumulative Payment Schedule) </w:t>
      </w:r>
      <w:r>
        <w:rPr>
          <w:rFonts w:ascii="Times New Roman" w:cs="Times New Roman" w:eastAsia="Times New Roman" w:hAnsi="Times New Roman"/>
          <w:sz w:val="18"/>
          <w:szCs w:val="18"/>
          <w:color w:val="auto"/>
        </w:rPr>
        <w:t>shall be updated per the Schedule C-3 as provided in Attachment 5 to this Change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160"/>
          </w:cols>
          <w:pgMar w:left="400" w:top="590" w:right="339" w:bottom="1440" w:gutter="0" w:footer="0" w:header="0"/>
          <w:type w:val="continuous"/>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27" w:lineRule="exact"/>
        <w:rPr>
          <w:sz w:val="20"/>
          <w:szCs w:val="20"/>
          <w:color w:val="auto"/>
        </w:rPr>
      </w:pPr>
    </w:p>
    <w:p>
      <w:pPr>
        <w:ind w:left="540" w:right="2980"/>
        <w:spacing w:after="0" w:line="254" w:lineRule="auto"/>
        <w:rPr>
          <w:sz w:val="20"/>
          <w:szCs w:val="20"/>
          <w:color w:val="auto"/>
        </w:rPr>
      </w:pPr>
      <w:r>
        <w:rPr>
          <w:rFonts w:ascii="Times New Roman" w:cs="Times New Roman" w:eastAsia="Times New Roman" w:hAnsi="Times New Roman"/>
          <w:sz w:val="18"/>
          <w:szCs w:val="18"/>
          <w:color w:val="auto"/>
        </w:rPr>
        <w:t>Attachment 1 – Red-Line Mark-Up of DWG RG-BL-100-PIP-PP-00001; Unit Plot Plan LNG Train 1 Attachment 2 – Red-Line Mark-Up of DWG RG-BL-000-PIP-PP-00016; Unit Plot Plan South Corridor 1 Attachment 3 – First Amended Appendix 1 (Contract Price Breakdown), as updated by this Change Order Attachment 4 – First Amended Schedule C-2 (Payment Milestones), as updated by this Change Order</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Attachment 5 – First Amended Schedule C-3 (Maximum Cumulative Payment Schedule), as updated by this Change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74295</wp:posOffset>
            </wp:positionV>
            <wp:extent cx="51689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360" w:type="dxa"/>
            <w:vAlign w:val="bottom"/>
            <w:gridSpan w:val="9"/>
          </w:tcPr>
          <w:p>
            <w:pPr>
              <w:ind w:left="12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$8,658,280,000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5360" w:type="dxa"/>
            <w:vAlign w:val="bottom"/>
            <w:gridSpan w:val="9"/>
          </w:tcPr>
          <w:p>
            <w:pPr>
              <w:ind w:left="120"/>
              <w:spacing w:after="0" w:line="196" w:lineRule="exact"/>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10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$ 518,662,854</w:t>
            </w:r>
          </w:p>
        </w:tc>
        <w:tc>
          <w:tcPr>
            <w:tcW w:w="0" w:type="dxa"/>
            <w:vAlign w:val="bottom"/>
          </w:tcPr>
          <w:p>
            <w:pPr>
              <w:spacing w:after="0"/>
              <w:rPr>
                <w:sz w:val="1"/>
                <w:szCs w:val="1"/>
                <w:color w:val="auto"/>
              </w:rPr>
            </w:pPr>
          </w:p>
        </w:tc>
      </w:tr>
      <w:tr>
        <w:trPr>
          <w:trHeight w:val="183"/>
        </w:trPr>
        <w:tc>
          <w:tcPr>
            <w:tcW w:w="2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w:t>
            </w:r>
          </w:p>
        </w:tc>
        <w:tc>
          <w:tcPr>
            <w:tcW w:w="5360" w:type="dxa"/>
            <w:vAlign w:val="bottom"/>
            <w:gridSpan w:val="9"/>
          </w:tcPr>
          <w:p>
            <w:pPr>
              <w:ind w:left="120"/>
              <w:spacing w:after="0" w:line="182" w:lineRule="exact"/>
              <w:rPr>
                <w:sz w:val="20"/>
                <w:szCs w:val="20"/>
                <w:color w:val="auto"/>
              </w:rPr>
            </w:pPr>
            <w:r>
              <w:rPr>
                <w:rFonts w:ascii="Times New Roman" w:cs="Times New Roman" w:eastAsia="Times New Roman" w:hAnsi="Times New Roman"/>
                <w:sz w:val="18"/>
                <w:szCs w:val="18"/>
                <w:color w:val="auto"/>
              </w:rPr>
              <w:t>The Contract Price prior to this Change Order was  $ 9,176,942,854</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w:t>
            </w:r>
          </w:p>
        </w:tc>
        <w:tc>
          <w:tcPr>
            <w:tcW w:w="4020" w:type="dxa"/>
            <w:vAlign w:val="bottom"/>
            <w:gridSpan w:val="6"/>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w:t>
            </w: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0" w:type="dxa"/>
            <w:vAlign w:val="bottom"/>
            <w:vMerge w:val="continue"/>
          </w:tcPr>
          <w:p>
            <w:pPr>
              <w:spacing w:after="0"/>
              <w:rPr>
                <w:sz w:val="16"/>
                <w:szCs w:val="16"/>
                <w:color w:val="auto"/>
              </w:rPr>
            </w:pPr>
          </w:p>
        </w:tc>
        <w:tc>
          <w:tcPr>
            <w:tcW w:w="4020" w:type="dxa"/>
            <w:vAlign w:val="bottom"/>
            <w:gridSpan w:val="6"/>
            <w:vMerge w:val="continue"/>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w w:val="99"/>
              </w:rPr>
              <w:t>this Change Order</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the amount of</w:t>
            </w: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420" w:type="dxa"/>
            <w:vAlign w:val="bottom"/>
            <w:gridSpan w:val="12"/>
          </w:tcPr>
          <w:p>
            <w:pPr>
              <w:ind w:left="12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the amount of</w:t>
            </w: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420" w:type="dxa"/>
            <w:vAlign w:val="bottom"/>
            <w:gridSpan w:val="12"/>
          </w:tcPr>
          <w:p>
            <w:pPr>
              <w:ind w:left="12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increased</w:t>
            </w:r>
          </w:p>
        </w:tc>
        <w:tc>
          <w:tcPr>
            <w:tcW w:w="0" w:type="dxa"/>
            <w:vAlign w:val="bottom"/>
          </w:tcPr>
          <w:p>
            <w:pPr>
              <w:spacing w:after="0"/>
              <w:rPr>
                <w:sz w:val="1"/>
                <w:szCs w:val="1"/>
                <w:color w:val="auto"/>
              </w:rPr>
            </w:pPr>
          </w:p>
        </w:tc>
      </w:tr>
      <w:tr>
        <w:trPr>
          <w:trHeight w:val="194"/>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w:t>
            </w:r>
          </w:p>
        </w:tc>
        <w:tc>
          <w:tcPr>
            <w:tcW w:w="308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w:t>
            </w:r>
          </w:p>
        </w:tc>
        <w:tc>
          <w:tcPr>
            <w:tcW w:w="90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4,988,000</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 w:type="dxa"/>
            <w:vAlign w:val="bottom"/>
            <w:vMerge w:val="continue"/>
          </w:tcPr>
          <w:p>
            <w:pPr>
              <w:spacing w:after="0"/>
              <w:rPr>
                <w:sz w:val="15"/>
                <w:szCs w:val="15"/>
                <w:color w:val="auto"/>
              </w:rPr>
            </w:pPr>
          </w:p>
        </w:tc>
        <w:tc>
          <w:tcPr>
            <w:tcW w:w="3980" w:type="dxa"/>
            <w:vAlign w:val="bottom"/>
            <w:gridSpan w:val="5"/>
          </w:tcPr>
          <w:p>
            <w:pPr>
              <w:ind w:left="120"/>
              <w:spacing w:after="0" w:line="182" w:lineRule="exact"/>
              <w:rPr>
                <w:sz w:val="20"/>
                <w:szCs w:val="20"/>
                <w:color w:val="auto"/>
              </w:rPr>
            </w:pPr>
            <w:r>
              <w:rPr>
                <w:rFonts w:ascii="Times New Roman" w:cs="Times New Roman" w:eastAsia="Times New Roman" w:hAnsi="Times New Roman"/>
                <w:sz w:val="18"/>
                <w:szCs w:val="18"/>
                <w:color w:val="auto"/>
              </w:rPr>
              <w:t>The new Contract Price including this Change Order</w:t>
            </w:r>
          </w:p>
        </w:tc>
        <w:tc>
          <w:tcPr>
            <w:tcW w:w="2440" w:type="dxa"/>
            <w:vAlign w:val="bottom"/>
            <w:gridSpan w:val="7"/>
          </w:tcPr>
          <w:p>
            <w:pPr>
              <w:jc w:val="right"/>
              <w:ind w:right="620"/>
              <w:spacing w:after="0" w:line="182" w:lineRule="exact"/>
              <w:rPr>
                <w:sz w:val="20"/>
                <w:szCs w:val="20"/>
                <w:color w:val="auto"/>
              </w:rPr>
            </w:pPr>
            <w:r>
              <w:rPr>
                <w:rFonts w:ascii="Times New Roman" w:cs="Times New Roman" w:eastAsia="Times New Roman" w:hAnsi="Times New Roman"/>
                <w:sz w:val="18"/>
                <w:szCs w:val="18"/>
                <w:color w:val="auto"/>
              </w:rPr>
              <w:t>will be  $ 9,181,930,854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jc w:val="both"/>
        <w:ind w:left="60" w:right="4520"/>
        <w:spacing w:after="0" w:line="271"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47" w:lineRule="exact"/>
        <w:rPr>
          <w:sz w:val="20"/>
          <w:szCs w:val="20"/>
          <w:color w:val="auto"/>
        </w:rPr>
      </w:pPr>
    </w:p>
    <w:p>
      <w:pPr>
        <w:ind w:left="60" w:right="76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Impact on Payment Schedule (including, as applicable, Payment Milestones): </w:t>
      </w:r>
      <w:r>
        <w:rPr>
          <w:rFonts w:ascii="Times New Roman" w:cs="Times New Roman" w:eastAsia="Times New Roman" w:hAnsi="Times New Roman"/>
          <w:sz w:val="18"/>
          <w:szCs w:val="18"/>
          <w:color w:val="auto"/>
        </w:rPr>
        <w:t>The Schedule C-2 (Payment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Milestones) is updated as provided in Attachment 4. </w:t>
      </w:r>
      <w:r>
        <w:rPr>
          <w:rFonts w:ascii="Times New Roman" w:cs="Times New Roman" w:eastAsia="Times New Roman" w:hAnsi="Times New Roman"/>
          <w:sz w:val="18"/>
          <w:szCs w:val="18"/>
          <w:b w:val="1"/>
          <w:bCs w:val="1"/>
          <w:color w:val="auto"/>
        </w:rPr>
        <w:t>Impact on Maximum Cumulative Payment Schedule: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5. Impact on Minimum Acceptance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Criteria: </w:t>
      </w:r>
      <w:r>
        <w:rPr>
          <w:rFonts w:ascii="Times New Roman" w:cs="Times New Roman" w:eastAsia="Times New Roman" w:hAnsi="Times New Roman"/>
          <w:sz w:val="18"/>
          <w:szCs w:val="18"/>
          <w:b w:val="1"/>
          <w:bCs w:val="1"/>
          <w:color w:val="auto"/>
        </w:rPr>
        <w:t>N/A</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Performance Guarantees: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Basis of Design: </w:t>
      </w:r>
      <w:r>
        <w:rPr>
          <w:rFonts w:ascii="Times New Roman" w:cs="Times New Roman" w:eastAsia="Times New Roman" w:hAnsi="Times New Roman"/>
          <w:sz w:val="18"/>
          <w:szCs w:val="18"/>
          <w:b w:val="1"/>
          <w:bCs w:val="1"/>
          <w:color w:val="auto"/>
        </w:rPr>
        <w:t>N/A</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the Total Reimbursement Amount: </w:t>
      </w:r>
      <w:r>
        <w:rPr>
          <w:rFonts w:ascii="Times New Roman" w:cs="Times New Roman" w:eastAsia="Times New Roman" w:hAnsi="Times New Roman"/>
          <w:sz w:val="18"/>
          <w:szCs w:val="18"/>
          <w:b w:val="1"/>
          <w:bCs w:val="1"/>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160"/>
          </w:cols>
          <w:pgMar w:left="400" w:top="590"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jc w:val="both"/>
        <w:ind w:left="140" w:right="560" w:hanging="7"/>
        <w:spacing w:after="0" w:line="286" w:lineRule="auto"/>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86" w:lineRule="exact"/>
        <w:rPr>
          <w:sz w:val="20"/>
          <w:szCs w:val="20"/>
          <w:color w:val="auto"/>
        </w:rPr>
      </w:pPr>
    </w:p>
    <w:p>
      <w:pPr>
        <w:jc w:val="both"/>
        <w:ind w:left="140" w:right="560"/>
        <w:spacing w:after="0" w:line="26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auto"/>
          <w:strike w:val="1"/>
        </w:rPr>
        <w:t>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-351155</wp:posOffset>
            </wp:positionV>
            <wp:extent cx="51517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left="140" w:right="56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 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Alex Thompson</w:t>
            </w:r>
          </w:p>
        </w:tc>
        <w:tc>
          <w:tcPr>
            <w:tcW w:w="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8"/>
              </w:rPr>
              <w:t>/s/ Scott Osborne</w:t>
            </w:r>
          </w:p>
        </w:tc>
      </w:tr>
      <w:tr>
        <w:trPr>
          <w:trHeight w:val="218"/>
        </w:trPr>
        <w:tc>
          <w:tcPr>
            <w:tcW w:w="1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Owner</w:t>
            </w:r>
          </w:p>
        </w:tc>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Contractor</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40" w:type="dxa"/>
            <w:vAlign w:val="bottom"/>
          </w:tcPr>
          <w:p>
            <w:pPr>
              <w:spacing w:after="0"/>
              <w:rPr>
                <w:sz w:val="16"/>
                <w:szCs w:val="16"/>
                <w:color w:val="auto"/>
              </w:rPr>
            </w:pPr>
          </w:p>
        </w:tc>
        <w:tc>
          <w:tcPr>
            <w:tcW w:w="15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Alex Thompson</w:t>
            </w:r>
          </w:p>
        </w:tc>
        <w:tc>
          <w:tcPr>
            <w:tcW w:w="214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Scott Osborne</w:t>
            </w:r>
          </w:p>
        </w:tc>
      </w:tr>
      <w:tr>
        <w:trPr>
          <w:trHeight w:val="205"/>
        </w:trPr>
        <w:tc>
          <w:tcPr>
            <w:tcW w:w="140" w:type="dxa"/>
            <w:vAlign w:val="bottom"/>
          </w:tcPr>
          <w:p>
            <w:pPr>
              <w:spacing w:after="0"/>
              <w:rPr>
                <w:sz w:val="17"/>
                <w:szCs w:val="17"/>
                <w:color w:val="auto"/>
              </w:rPr>
            </w:pPr>
          </w:p>
        </w:tc>
        <w:tc>
          <w:tcPr>
            <w:tcW w:w="5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840" w:type="dxa"/>
            <w:vAlign w:val="bottom"/>
            <w:tcBorders>
              <w:top w:val="single" w:sz="8" w:color="auto"/>
            </w:tcBorders>
            <w:gridSpan w:val="2"/>
          </w:tcPr>
          <w:p>
            <w:pPr>
              <w:ind w:left="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140" w:type="dxa"/>
            <w:vAlign w:val="bottom"/>
          </w:tcPr>
          <w:p>
            <w:pPr>
              <w:spacing w:after="0"/>
              <w:rPr>
                <w:sz w:val="16"/>
                <w:szCs w:val="16"/>
                <w:color w:val="auto"/>
              </w:rPr>
            </w:pPr>
          </w:p>
        </w:tc>
        <w:tc>
          <w:tcPr>
            <w:tcW w:w="15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Authorized Person</w:t>
            </w:r>
          </w:p>
        </w:tc>
        <w:tc>
          <w:tcPr>
            <w:tcW w:w="2140" w:type="dxa"/>
            <w:vAlign w:val="bottom"/>
            <w:gridSpan w:val="5"/>
          </w:tcPr>
          <w:p>
            <w:pPr>
              <w:ind w:left="180"/>
              <w:spacing w:after="0" w:line="194" w:lineRule="exact"/>
              <w:rPr>
                <w:sz w:val="20"/>
                <w:szCs w:val="20"/>
                <w:color w:val="auto"/>
              </w:rPr>
            </w:pPr>
            <w:r>
              <w:rPr>
                <w:rFonts w:ascii="Times New Roman" w:cs="Times New Roman" w:eastAsia="Times New Roman" w:hAnsi="Times New Roman"/>
                <w:sz w:val="18"/>
                <w:szCs w:val="18"/>
                <w:color w:val="auto"/>
              </w:rPr>
              <w:t>Senior Project Manager</w:t>
            </w:r>
          </w:p>
        </w:tc>
      </w:tr>
      <w:tr>
        <w:trPr>
          <w:trHeight w:val="237"/>
        </w:trPr>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1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u w:val="single" w:color="auto"/>
          <w:color w:val="auto"/>
        </w:rPr>
        <w:t>March 26, 2024 March 26, 2024</w:t>
      </w:r>
    </w:p>
    <w:p>
      <w:pPr>
        <w:spacing w:after="0" w:line="9"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Date of Signing</w:t>
      </w:r>
      <w:r>
        <w:rPr>
          <w:sz w:val="20"/>
          <w:szCs w:val="20"/>
          <w:color w:val="auto"/>
        </w:rPr>
        <w:tab/>
      </w:r>
      <w:r>
        <w:rPr>
          <w:rFonts w:ascii="Times New Roman" w:cs="Times New Roman" w:eastAsia="Times New Roman" w:hAnsi="Times New Roman"/>
          <w:sz w:val="17"/>
          <w:szCs w:val="17"/>
          <w:color w:val="auto"/>
        </w:rPr>
        <w:t>Date of Signing</w:t>
      </w:r>
    </w:p>
    <w:p>
      <w:pPr>
        <w:spacing w:after="0" w:line="364" w:lineRule="exact"/>
        <w:rPr>
          <w:sz w:val="20"/>
          <w:szCs w:val="20"/>
          <w:color w:val="auto"/>
        </w:rPr>
      </w:pPr>
    </w:p>
    <w:p>
      <w:pPr>
        <w:ind w:left="8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590" w:right="339" w:bottom="1440" w:gutter="0" w:footer="0" w:header="0"/>
        </w:sectPr>
      </w:pPr>
    </w:p>
    <w:bookmarkStart w:id="200" w:name="page201"/>
    <w:bookmarkEnd w:id="200"/>
    <w:p>
      <w:pPr>
        <w:spacing w:after="0" w:line="218" w:lineRule="auto"/>
        <w:framePr w:w="5400" w:h="376" w:wrap="auto" w:vAnchor="page" w:hAnchor="page" w:x="420" w:y="3503"/>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 xml:space="preserve">AGREEMENT: </w:t>
      </w:r>
      <w:r>
        <w:rPr>
          <w:rFonts w:ascii="Times New Roman" w:cs="Times New Roman" w:eastAsia="Times New Roman" w:hAnsi="Times New Roman"/>
          <w:sz w:val="18"/>
          <w:szCs w:val="18"/>
          <w:color w:val="231F20"/>
        </w:rPr>
        <w:t>Amended and Restated Fixed Price Turnkey Agreement</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for Train 3</w:t>
      </w:r>
    </w:p>
    <w:p>
      <w:pPr>
        <w:spacing w:after="0" w:line="185" w:lineRule="auto"/>
        <w:framePr w:w="2580" w:h="160" w:wrap="auto" w:vAnchor="page" w:hAnchor="page" w:x="420" w:y="4057"/>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 xml:space="preserve">OWNER: </w:t>
      </w:r>
      <w:r>
        <w:rPr>
          <w:rFonts w:ascii="Times New Roman" w:cs="Times New Roman" w:eastAsia="Times New Roman" w:hAnsi="Times New Roman"/>
          <w:sz w:val="18"/>
          <w:szCs w:val="18"/>
          <w:color w:val="231F20"/>
        </w:rPr>
        <w:t>Rio Grande LNG, LLC</w:t>
      </w:r>
    </w:p>
    <w:p>
      <w:pPr>
        <w:spacing w:after="0" w:line="196" w:lineRule="auto"/>
        <w:framePr w:w="2920" w:h="160" w:wrap="auto" w:vAnchor="page" w:hAnchor="page" w:x="420" w:y="4367"/>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CONTRACTOR: </w:t>
      </w:r>
      <w:r>
        <w:rPr>
          <w:rFonts w:ascii="Times New Roman" w:cs="Times New Roman" w:eastAsia="Times New Roman" w:hAnsi="Times New Roman"/>
          <w:sz w:val="17"/>
          <w:szCs w:val="17"/>
          <w:color w:val="231F20"/>
        </w:rPr>
        <w:t>Bechtel Energy Inc.</w:t>
      </w:r>
    </w:p>
    <w:p>
      <w:pPr>
        <w:spacing w:after="0" w:line="185" w:lineRule="auto"/>
        <w:framePr w:w="4940" w:h="160" w:wrap="auto" w:vAnchor="page" w:hAnchor="page" w:x="420" w:y="3193"/>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 xml:space="preserve">PROJECT NAME: </w:t>
      </w:r>
      <w:r>
        <w:rPr>
          <w:rFonts w:ascii="Times New Roman" w:cs="Times New Roman" w:eastAsia="Times New Roman" w:hAnsi="Times New Roman"/>
          <w:sz w:val="18"/>
          <w:szCs w:val="18"/>
          <w:color w:val="231F20"/>
        </w:rPr>
        <w:t>Rio Grande Natural Gas Liquefaction Facility</w:t>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rFonts w:ascii="Times New Roman" w:cs="Times New Roman" w:eastAsia="Times New Roman" w:hAnsi="Times New Roman"/>
          <w:sz w:val="18"/>
          <w:szCs w:val="18"/>
          <w:b w:val="1"/>
          <w:bCs w:val="1"/>
          <w:color w:val="231F20"/>
        </w:rPr>
      </w:pPr>
    </w:p>
    <w:p>
      <w:pPr>
        <w:spacing w:after="0" w:line="232" w:lineRule="exact"/>
        <w:rPr>
          <w:rFonts w:ascii="Times New Roman" w:cs="Times New Roman" w:eastAsia="Times New Roman" w:hAnsi="Times New Roman"/>
          <w:sz w:val="18"/>
          <w:szCs w:val="18"/>
          <w:b w:val="1"/>
          <w:bCs w:val="1"/>
          <w:color w:val="231F20"/>
        </w:rPr>
      </w:pPr>
    </w:p>
    <w:p>
      <w:pPr>
        <w:jc w:val="center"/>
        <w:ind w:right="60"/>
        <w:spacing w:after="0" w:line="266" w:lineRule="auto"/>
        <w:rPr>
          <w:sz w:val="20"/>
          <w:szCs w:val="20"/>
          <w:color w:val="auto"/>
        </w:rPr>
      </w:pPr>
      <w:r>
        <w:rPr>
          <w:rFonts w:ascii="Times New Roman" w:cs="Times New Roman" w:eastAsia="Times New Roman" w:hAnsi="Times New Roman"/>
          <w:sz w:val="18"/>
          <w:szCs w:val="18"/>
          <w:color w:val="231F20"/>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spacing w:after="0" w:line="311" w:lineRule="exact"/>
        <w:rPr>
          <w:rFonts w:ascii="Times New Roman" w:cs="Times New Roman" w:eastAsia="Times New Roman" w:hAnsi="Times New Roman"/>
          <w:sz w:val="18"/>
          <w:szCs w:val="18"/>
          <w:b w:val="1"/>
          <w:bCs w:val="1"/>
          <w:color w:val="231F20"/>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231F20"/>
        </w:rPr>
        <w:t>CHANGE ORDER</w:t>
      </w:r>
    </w:p>
    <w:p>
      <w:pPr>
        <w:spacing w:after="0" w:line="125" w:lineRule="exact"/>
        <w:rPr>
          <w:rFonts w:ascii="Times New Roman" w:cs="Times New Roman" w:eastAsia="Times New Roman" w:hAnsi="Times New Roman"/>
          <w:sz w:val="18"/>
          <w:szCs w:val="18"/>
          <w:b w:val="1"/>
          <w:bCs w:val="1"/>
          <w:color w:val="231F20"/>
        </w:rPr>
      </w:pPr>
    </w:p>
    <w:p>
      <w:pPr>
        <w:ind w:left="1540"/>
        <w:spacing w:after="0"/>
        <w:rPr>
          <w:sz w:val="20"/>
          <w:szCs w:val="20"/>
          <w:color w:val="auto"/>
        </w:rPr>
      </w:pPr>
      <w:r>
        <w:rPr>
          <w:rFonts w:ascii="Times New Roman" w:cs="Times New Roman" w:eastAsia="Times New Roman" w:hAnsi="Times New Roman"/>
          <w:sz w:val="18"/>
          <w:szCs w:val="18"/>
          <w:color w:val="231F20"/>
        </w:rPr>
        <w:t>(for use when the Parties mutually agree upon and execute the Change Order pursuant to Section 6.1D or 6.2C)</w:t>
      </w:r>
    </w:p>
    <w:p>
      <w:pPr>
        <w:spacing w:after="0" w:line="27" w:lineRule="exact"/>
        <w:rPr>
          <w:rFonts w:ascii="Times New Roman" w:cs="Times New Roman" w:eastAsia="Times New Roman" w:hAnsi="Times New Roman"/>
          <w:sz w:val="18"/>
          <w:szCs w:val="18"/>
          <w:b w:val="1"/>
          <w:bCs w:val="1"/>
          <w:color w:val="231F20"/>
        </w:rPr>
      </w:pPr>
    </w:p>
    <w:p>
      <w:pPr>
        <w:ind w:left="5740"/>
        <w:spacing w:after="0"/>
        <w:rPr>
          <w:sz w:val="20"/>
          <w:szCs w:val="20"/>
          <w:color w:val="auto"/>
        </w:rPr>
      </w:pPr>
      <w:r>
        <w:rPr>
          <w:rFonts w:ascii="Times New Roman" w:cs="Times New Roman" w:eastAsia="Times New Roman" w:hAnsi="Times New Roman"/>
          <w:sz w:val="18"/>
          <w:szCs w:val="18"/>
          <w:b w:val="1"/>
          <w:bCs w:val="1"/>
          <w:color w:val="231F20"/>
        </w:rPr>
        <w:t xml:space="preserve">DATE OF AGREEMENT: </w:t>
      </w:r>
      <w:r>
        <w:rPr>
          <w:rFonts w:ascii="Times New Roman" w:cs="Times New Roman" w:eastAsia="Times New Roman" w:hAnsi="Times New Roman"/>
          <w:sz w:val="18"/>
          <w:szCs w:val="18"/>
          <w:color w:val="231F20"/>
        </w:rPr>
        <w:t>September 15, 2022</w:t>
      </w:r>
    </w:p>
    <w:p>
      <w:pPr>
        <w:spacing w:after="0" w:line="95" w:lineRule="exact"/>
        <w:rPr>
          <w:rFonts w:ascii="Times New Roman" w:cs="Times New Roman" w:eastAsia="Times New Roman" w:hAnsi="Times New Roman"/>
          <w:sz w:val="18"/>
          <w:szCs w:val="18"/>
          <w:b w:val="1"/>
          <w:bCs w:val="1"/>
          <w:color w:val="231F20"/>
        </w:rPr>
      </w:pPr>
    </w:p>
    <w:p>
      <w:pPr>
        <w:ind w:left="5740"/>
        <w:spacing w:after="0"/>
        <w:rPr>
          <w:sz w:val="20"/>
          <w:szCs w:val="20"/>
          <w:color w:val="auto"/>
        </w:rPr>
      </w:pPr>
      <w:r>
        <w:rPr>
          <w:rFonts w:ascii="Times New Roman" w:cs="Times New Roman" w:eastAsia="Times New Roman" w:hAnsi="Times New Roman"/>
          <w:sz w:val="18"/>
          <w:szCs w:val="18"/>
          <w:b w:val="1"/>
          <w:bCs w:val="1"/>
          <w:color w:val="231F20"/>
        </w:rPr>
        <w:t>CHANGE ORDER NUMBER:</w:t>
      </w:r>
    </w:p>
    <w:p>
      <w:pPr>
        <w:spacing w:after="0" w:line="29" w:lineRule="exact"/>
        <w:rPr>
          <w:rFonts w:ascii="Times New Roman" w:cs="Times New Roman" w:eastAsia="Times New Roman" w:hAnsi="Times New Roman"/>
          <w:sz w:val="18"/>
          <w:szCs w:val="18"/>
          <w:b w:val="1"/>
          <w:bCs w:val="1"/>
          <w:color w:val="231F20"/>
        </w:rPr>
      </w:pPr>
    </w:p>
    <w:p>
      <w:pPr>
        <w:ind w:left="5740"/>
        <w:spacing w:after="0"/>
        <w:rPr>
          <w:sz w:val="20"/>
          <w:szCs w:val="20"/>
          <w:color w:val="auto"/>
        </w:rPr>
      </w:pPr>
      <w:r>
        <w:rPr>
          <w:rFonts w:ascii="Times New Roman" w:cs="Times New Roman" w:eastAsia="Times New Roman" w:hAnsi="Times New Roman"/>
          <w:sz w:val="18"/>
          <w:szCs w:val="18"/>
          <w:color w:val="231F20"/>
        </w:rPr>
        <w:t>Owner EC Number: EC00094</w:t>
      </w:r>
    </w:p>
    <w:p>
      <w:pPr>
        <w:ind w:left="5600"/>
        <w:spacing w:after="0"/>
        <w:rPr>
          <w:sz w:val="20"/>
          <w:szCs w:val="20"/>
          <w:color w:val="auto"/>
        </w:rPr>
      </w:pPr>
      <w:r>
        <w:rPr>
          <w:rFonts w:ascii="Times New Roman" w:cs="Times New Roman" w:eastAsia="Times New Roman" w:hAnsi="Times New Roman"/>
          <w:sz w:val="18"/>
          <w:szCs w:val="18"/>
          <w:color w:val="231F20"/>
        </w:rPr>
        <w:t>Contractor Change Number SCT3026</w:t>
      </w:r>
    </w:p>
    <w:p>
      <w:pPr>
        <w:spacing w:after="0" w:line="66" w:lineRule="exact"/>
        <w:rPr>
          <w:rFonts w:ascii="Times New Roman" w:cs="Times New Roman" w:eastAsia="Times New Roman" w:hAnsi="Times New Roman"/>
          <w:sz w:val="18"/>
          <w:szCs w:val="18"/>
          <w:b w:val="1"/>
          <w:bCs w:val="1"/>
          <w:color w:val="231F20"/>
        </w:rPr>
      </w:pPr>
    </w:p>
    <w:p>
      <w:pPr>
        <w:ind w:left="5740"/>
        <w:spacing w:after="0"/>
        <w:rPr>
          <w:sz w:val="20"/>
          <w:szCs w:val="20"/>
          <w:color w:val="auto"/>
        </w:rPr>
      </w:pPr>
      <w:r>
        <w:rPr>
          <w:rFonts w:ascii="Times New Roman" w:cs="Times New Roman" w:eastAsia="Times New Roman" w:hAnsi="Times New Roman"/>
          <w:sz w:val="18"/>
          <w:szCs w:val="18"/>
          <w:b w:val="1"/>
          <w:bCs w:val="1"/>
          <w:color w:val="231F20"/>
        </w:rPr>
        <w:t>EFFECTIVE DATE OF CHANGE ORDER:</w:t>
      </w:r>
    </w:p>
    <w:p>
      <w:pPr>
        <w:spacing w:after="0" w:line="31" w:lineRule="exact"/>
        <w:rPr>
          <w:rFonts w:ascii="Times New Roman" w:cs="Times New Roman" w:eastAsia="Times New Roman" w:hAnsi="Times New Roman"/>
          <w:sz w:val="18"/>
          <w:szCs w:val="18"/>
          <w:b w:val="1"/>
          <w:bCs w:val="1"/>
          <w:color w:val="231F20"/>
        </w:rPr>
      </w:pPr>
    </w:p>
    <w:p>
      <w:pPr>
        <w:ind w:left="5740"/>
        <w:spacing w:after="0"/>
        <w:rPr>
          <w:sz w:val="20"/>
          <w:szCs w:val="20"/>
          <w:color w:val="auto"/>
        </w:rPr>
      </w:pPr>
      <w:r>
        <w:rPr>
          <w:rFonts w:ascii="Times New Roman" w:cs="Times New Roman" w:eastAsia="Times New Roman" w:hAnsi="Times New Roman"/>
          <w:sz w:val="18"/>
          <w:szCs w:val="18"/>
          <w:color w:val="231F20"/>
        </w:rPr>
        <w:t>January 18, 2024</w:t>
      </w: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200" w:lineRule="exact"/>
        <w:rPr>
          <w:rFonts w:ascii="Times New Roman" w:cs="Times New Roman" w:eastAsia="Times New Roman" w:hAnsi="Times New Roman"/>
          <w:sz w:val="18"/>
          <w:szCs w:val="18"/>
          <w:b w:val="1"/>
          <w:bCs w:val="1"/>
          <w:color w:val="231F20"/>
        </w:rPr>
      </w:pPr>
    </w:p>
    <w:p>
      <w:pPr>
        <w:spacing w:after="0" w:line="282" w:lineRule="exact"/>
        <w:rPr>
          <w:rFonts w:ascii="Times New Roman" w:cs="Times New Roman" w:eastAsia="Times New Roman" w:hAnsi="Times New Roman"/>
          <w:sz w:val="18"/>
          <w:szCs w:val="18"/>
          <w:b w:val="1"/>
          <w:bCs w:val="1"/>
          <w:color w:val="231F20"/>
        </w:rPr>
      </w:pPr>
    </w:p>
    <w:p>
      <w:pPr>
        <w:spacing w:after="0"/>
        <w:rPr>
          <w:sz w:val="20"/>
          <w:szCs w:val="20"/>
          <w:color w:val="auto"/>
        </w:rPr>
      </w:pPr>
      <w:r>
        <w:rPr>
          <w:rFonts w:ascii="Times New Roman" w:cs="Times New Roman" w:eastAsia="Times New Roman" w:hAnsi="Times New Roman"/>
          <w:sz w:val="18"/>
          <w:szCs w:val="18"/>
          <w:color w:val="231F20"/>
        </w:rPr>
        <w:t>1</w:t>
      </w:r>
    </w:p>
    <w:p>
      <w:pPr>
        <w:sectPr>
          <w:pgSz w:w="11900" w:h="16838" w:orient="portrait"/>
          <w:cols w:equalWidth="0" w:num="1">
            <w:col w:w="11160"/>
          </w:cols>
          <w:pgMar w:left="400" w:top="833"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231F20"/>
        </w:rPr>
        <w:t>TITLE: ATTACHMENT JJ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-65405</wp:posOffset>
            </wp:positionV>
            <wp:extent cx="538353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231F20"/>
        </w:rPr>
        <w:t>INSURANCE (INTERIM ADJUSTMENT)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231F20"/>
        </w:rPr>
        <w:t xml:space="preserve">The EPC Agreement between the Parties listed above is changed as follows: </w:t>
      </w:r>
      <w:r>
        <w:rPr>
          <w:rFonts w:ascii="Times New Roman" w:cs="Times New Roman" w:eastAsia="Times New Roman" w:hAnsi="Times New Roman"/>
          <w:sz w:val="18"/>
          <w:szCs w:val="18"/>
          <w:i w:val="1"/>
          <w:iCs w:val="1"/>
          <w:color w:val="231F20"/>
        </w:rPr>
        <w:t>(attach additional documentation if necessary)</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231F20"/>
        </w:rPr>
        <w:t>BACKGROUND</w:t>
      </w:r>
    </w:p>
    <w:p>
      <w:pPr>
        <w:spacing w:after="0" w:line="256" w:lineRule="exact"/>
        <w:rPr>
          <w:sz w:val="20"/>
          <w:szCs w:val="20"/>
          <w:color w:val="auto"/>
        </w:rPr>
      </w:pPr>
    </w:p>
    <w:p>
      <w:pPr>
        <w:ind w:left="140" w:right="300"/>
        <w:spacing w:after="0" w:line="282" w:lineRule="auto"/>
        <w:rPr>
          <w:sz w:val="20"/>
          <w:szCs w:val="20"/>
          <w:color w:val="auto"/>
        </w:rPr>
      </w:pPr>
      <w:r>
        <w:rPr>
          <w:rFonts w:ascii="Times New Roman" w:cs="Times New Roman" w:eastAsia="Times New Roman" w:hAnsi="Times New Roman"/>
          <w:sz w:val="18"/>
          <w:szCs w:val="18"/>
          <w:color w:val="231F20"/>
        </w:rPr>
        <w:t>Pursuant to Attachment JJ, Section 1.2B (Interim Adjustment), Owner and Contractor shall execute a Change Order in accordance with Article 6 of the Agreement to amend the Insurance Provisional Sum amount in the Agreement to the Anticipated Actual Insurance Cost.</w:t>
      </w:r>
    </w:p>
    <w:p>
      <w:pPr>
        <w:spacing w:after="0" w:line="3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231F20"/>
        </w:rPr>
        <w:t>CHANGE</w:t>
      </w:r>
    </w:p>
    <w:p>
      <w:pPr>
        <w:spacing w:after="0" w:line="266" w:lineRule="exact"/>
        <w:rPr>
          <w:sz w:val="20"/>
          <w:szCs w:val="20"/>
          <w:color w:val="auto"/>
        </w:rPr>
      </w:pPr>
    </w:p>
    <w:p>
      <w:pPr>
        <w:ind w:left="440" w:hanging="306"/>
        <w:spacing w:after="0"/>
        <w:tabs>
          <w:tab w:leader="none" w:pos="440" w:val="left"/>
        </w:tabs>
        <w:numPr>
          <w:ilvl w:val="0"/>
          <w:numId w:val="1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Attachment JJ (Provisional Sums)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w:t>
      </w:r>
    </w:p>
    <w:p>
      <w:pPr>
        <w:spacing w:after="0" w:line="252" w:lineRule="exact"/>
        <w:rPr>
          <w:rFonts w:ascii="Times New Roman" w:cs="Times New Roman" w:eastAsia="Times New Roman" w:hAnsi="Times New Roman"/>
          <w:sz w:val="18"/>
          <w:szCs w:val="18"/>
          <w:color w:val="231F20"/>
        </w:rPr>
      </w:pPr>
    </w:p>
    <w:p>
      <w:pPr>
        <w:ind w:left="460" w:right="240" w:hanging="326"/>
        <w:spacing w:after="0" w:line="286" w:lineRule="auto"/>
        <w:tabs>
          <w:tab w:leader="none" w:pos="451" w:val="left"/>
        </w:tabs>
        <w:numPr>
          <w:ilvl w:val="0"/>
          <w:numId w:val="1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First Amended Attachment C, First Amended Appendix 1 (Contract Price Breakdown)</w:t>
      </w:r>
      <w:r>
        <w:rPr>
          <w:rFonts w:ascii="Times New Roman" w:cs="Times New Roman" w:eastAsia="Times New Roman" w:hAnsi="Times New Roman"/>
          <w:sz w:val="18"/>
          <w:szCs w:val="18"/>
          <w:color w:val="231F20"/>
        </w:rPr>
        <w:t>; shall be updated per the Appendix 1 (Contract Price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Breakdown) as provided in Attachment 1 to this Change Order.</w:t>
      </w:r>
    </w:p>
    <w:p>
      <w:pPr>
        <w:spacing w:after="0" w:line="195" w:lineRule="exact"/>
        <w:rPr>
          <w:rFonts w:ascii="Times New Roman" w:cs="Times New Roman" w:eastAsia="Times New Roman" w:hAnsi="Times New Roman"/>
          <w:sz w:val="18"/>
          <w:szCs w:val="18"/>
          <w:color w:val="231F20"/>
        </w:rPr>
      </w:pPr>
    </w:p>
    <w:p>
      <w:pPr>
        <w:ind w:left="460" w:right="240" w:hanging="326"/>
        <w:spacing w:after="0" w:line="286" w:lineRule="auto"/>
        <w:tabs>
          <w:tab w:leader="none" w:pos="518" w:val="left"/>
        </w:tabs>
        <w:numPr>
          <w:ilvl w:val="0"/>
          <w:numId w:val="1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First Amended Attachment C, First Amended Schedule C-2 (Payment Milestones)</w:t>
      </w:r>
      <w:r>
        <w:rPr>
          <w:rFonts w:ascii="Times New Roman" w:cs="Times New Roman" w:eastAsia="Times New Roman" w:hAnsi="Times New Roman"/>
          <w:sz w:val="18"/>
          <w:szCs w:val="18"/>
          <w:color w:val="231F20"/>
        </w:rPr>
        <w:t>; shall be updated per the C-2 Payment Milestones as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provided in Attachment 2 to this Change Order.</w:t>
      </w:r>
    </w:p>
    <w:p>
      <w:pPr>
        <w:spacing w:after="0" w:line="181" w:lineRule="exact"/>
        <w:rPr>
          <w:rFonts w:ascii="Times New Roman" w:cs="Times New Roman" w:eastAsia="Times New Roman" w:hAnsi="Times New Roman"/>
          <w:sz w:val="18"/>
          <w:szCs w:val="18"/>
          <w:color w:val="231F20"/>
        </w:rPr>
      </w:pPr>
    </w:p>
    <w:p>
      <w:pPr>
        <w:ind w:left="460" w:right="240" w:hanging="326"/>
        <w:spacing w:after="0" w:line="286" w:lineRule="auto"/>
        <w:tabs>
          <w:tab w:leader="none" w:pos="464" w:val="left"/>
        </w:tabs>
        <w:numPr>
          <w:ilvl w:val="0"/>
          <w:numId w:val="1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First Amended Attachment C, First Amended Schedule C-3 (Maximum Cumulative Payment Schedule)</w:t>
      </w:r>
      <w:r>
        <w:rPr>
          <w:rFonts w:ascii="Times New Roman" w:cs="Times New Roman" w:eastAsia="Times New Roman" w:hAnsi="Times New Roman"/>
          <w:sz w:val="18"/>
          <w:szCs w:val="18"/>
          <w:color w:val="231F20"/>
        </w:rPr>
        <w:t>; shall be updated per the Schedule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C-3 as provided in Attachment 3 to this Change Order.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Attachments to support this Change Order:</w:t>
      </w:r>
    </w:p>
    <w:p>
      <w:pPr>
        <w:spacing w:after="0" w:line="27" w:lineRule="exact"/>
        <w:rPr>
          <w:sz w:val="20"/>
          <w:szCs w:val="20"/>
          <w:color w:val="auto"/>
        </w:rPr>
      </w:pPr>
    </w:p>
    <w:p>
      <w:pPr>
        <w:ind w:left="620" w:right="2980"/>
        <w:spacing w:after="0" w:line="258" w:lineRule="auto"/>
        <w:rPr>
          <w:sz w:val="20"/>
          <w:szCs w:val="20"/>
          <w:color w:val="auto"/>
        </w:rPr>
      </w:pPr>
      <w:r>
        <w:rPr>
          <w:rFonts w:ascii="Times New Roman" w:cs="Times New Roman" w:eastAsia="Times New Roman" w:hAnsi="Times New Roman"/>
          <w:sz w:val="18"/>
          <w:szCs w:val="18"/>
          <w:color w:val="231F20"/>
        </w:rPr>
        <w:t>Attachment 1 – First Amended Appendix 1 (Contract Price Breakdown), as updated by this Change Order Attachment 2 – First Amended Schedule C-2 (Payment Milestones), as updated by this Change Order</w:t>
      </w:r>
    </w:p>
    <w:p>
      <w:pPr>
        <w:ind w:left="620" w:right="1740"/>
        <w:spacing w:after="0" w:line="260" w:lineRule="auto"/>
        <w:rPr>
          <w:sz w:val="20"/>
          <w:szCs w:val="20"/>
          <w:color w:val="auto"/>
        </w:rPr>
      </w:pPr>
      <w:r>
        <w:rPr>
          <w:rFonts w:ascii="Times New Roman" w:cs="Times New Roman" w:eastAsia="Times New Roman" w:hAnsi="Times New Roman"/>
          <w:sz w:val="18"/>
          <w:szCs w:val="18"/>
          <w:color w:val="231F20"/>
        </w:rPr>
        <w:t>Attachment 3 – First Amended Schedule C-3 (Maximum Cumulative Payment Schedule), as updated by this Change Order Attachment 4 – Verification of Insurance– Construction All Risk (including excess windstorm and DSU)</w:t>
      </w:r>
    </w:p>
    <w:p>
      <w:pPr>
        <w:spacing w:after="0" w:line="33" w:lineRule="exact"/>
        <w:rPr>
          <w:sz w:val="20"/>
          <w:szCs w:val="20"/>
          <w:color w:val="auto"/>
        </w:rPr>
      </w:pPr>
    </w:p>
    <w:p>
      <w:pPr>
        <w:ind w:left="620" w:right="4660"/>
        <w:spacing w:after="0" w:line="297" w:lineRule="auto"/>
        <w:rPr>
          <w:sz w:val="20"/>
          <w:szCs w:val="20"/>
          <w:color w:val="auto"/>
        </w:rPr>
      </w:pPr>
      <w:r>
        <w:rPr>
          <w:rFonts w:ascii="Times New Roman" w:cs="Times New Roman" w:eastAsia="Times New Roman" w:hAnsi="Times New Roman"/>
          <w:sz w:val="18"/>
          <w:szCs w:val="18"/>
          <w:color w:val="231F20"/>
        </w:rPr>
        <w:t>Attachment 5 – Insurance Premium Invoice – Marine Cargo &amp; Marine Cargo DSU Attachment 6 – Quotation – Marine Warranty Surveys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538353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219"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231F20"/>
              </w:rPr>
              <w:t>Adjustment to Contract Price</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4"/>
        </w:trPr>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231F20"/>
              </w:rPr>
              <w:t>1)</w:t>
            </w:r>
          </w:p>
        </w:tc>
        <w:tc>
          <w:tcPr>
            <w:tcW w:w="5320" w:type="dxa"/>
            <w:vAlign w:val="bottom"/>
            <w:gridSpan w:val="8"/>
          </w:tcPr>
          <w:p>
            <w:pPr>
              <w:ind w:left="140"/>
              <w:spacing w:after="0" w:line="194" w:lineRule="exact"/>
              <w:rPr>
                <w:sz w:val="20"/>
                <w:szCs w:val="20"/>
                <w:color w:val="auto"/>
              </w:rPr>
            </w:pPr>
            <w:r>
              <w:rPr>
                <w:rFonts w:ascii="Times New Roman" w:cs="Times New Roman" w:eastAsia="Times New Roman" w:hAnsi="Times New Roman"/>
                <w:sz w:val="18"/>
                <w:szCs w:val="18"/>
                <w:color w:val="231F20"/>
              </w:rPr>
              <w:t>The original Contract Price was  $3,042,334,000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040" w:type="dxa"/>
            <w:vAlign w:val="bottom"/>
            <w:gridSpan w:val="2"/>
            <w:shd w:val="clear" w:color="auto" w:fill="231F2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231F20"/>
              </w:rPr>
              <w:t>2)</w:t>
            </w:r>
          </w:p>
        </w:tc>
        <w:tc>
          <w:tcPr>
            <w:tcW w:w="5320" w:type="dxa"/>
            <w:vAlign w:val="bottom"/>
            <w:gridSpan w:val="8"/>
          </w:tcPr>
          <w:p>
            <w:pPr>
              <w:ind w:left="140"/>
              <w:spacing w:after="0" w:line="196" w:lineRule="exact"/>
              <w:rPr>
                <w:sz w:val="20"/>
                <w:szCs w:val="20"/>
                <w:color w:val="auto"/>
              </w:rPr>
            </w:pPr>
            <w:r>
              <w:rPr>
                <w:rFonts w:ascii="Times New Roman" w:cs="Times New Roman" w:eastAsia="Times New Roman" w:hAnsi="Times New Roman"/>
                <w:sz w:val="18"/>
                <w:szCs w:val="18"/>
                <w:color w:val="231F20"/>
              </w:rPr>
              <w:t>Net change by previously authorized Change Orders (See Appendix 1)</w:t>
            </w:r>
          </w:p>
        </w:tc>
        <w:tc>
          <w:tcPr>
            <w:tcW w:w="11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231F20"/>
              </w:rPr>
              <w:t>$ 105,430,996</w:t>
            </w:r>
          </w:p>
        </w:tc>
      </w:tr>
      <w:tr>
        <w:trPr>
          <w:trHeight w:val="183"/>
        </w:trPr>
        <w:tc>
          <w:tcPr>
            <w:tcW w:w="1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231F20"/>
              </w:rPr>
              <w:t>3)</w:t>
            </w:r>
          </w:p>
        </w:tc>
        <w:tc>
          <w:tcPr>
            <w:tcW w:w="5320" w:type="dxa"/>
            <w:vAlign w:val="bottom"/>
            <w:gridSpan w:val="8"/>
          </w:tcPr>
          <w:p>
            <w:pPr>
              <w:ind w:left="140"/>
              <w:spacing w:after="0" w:line="182" w:lineRule="exact"/>
              <w:rPr>
                <w:sz w:val="20"/>
                <w:szCs w:val="20"/>
                <w:color w:val="auto"/>
              </w:rPr>
            </w:pPr>
            <w:r>
              <w:rPr>
                <w:rFonts w:ascii="Times New Roman" w:cs="Times New Roman" w:eastAsia="Times New Roman" w:hAnsi="Times New Roman"/>
                <w:sz w:val="18"/>
                <w:szCs w:val="18"/>
                <w:color w:val="231F20"/>
              </w:rPr>
              <w:t>The Contract Price prior to this Change Order was  $3,147,764,996</w:t>
            </w:r>
          </w:p>
        </w:tc>
        <w:tc>
          <w:tcPr>
            <w:tcW w:w="180" w:type="dxa"/>
            <w:vAlign w:val="bottom"/>
          </w:tcPr>
          <w:p>
            <w:pPr>
              <w:spacing w:after="0"/>
              <w:rPr>
                <w:sz w:val="15"/>
                <w:szCs w:val="15"/>
                <w:color w:val="auto"/>
              </w:rPr>
            </w:pPr>
          </w:p>
        </w:tc>
        <w:tc>
          <w:tcPr>
            <w:tcW w:w="320" w:type="dxa"/>
            <w:vAlign w:val="bottom"/>
            <w:tcBorders>
              <w:top w:val="single" w:sz="8" w:color="231F20"/>
            </w:tcBorders>
          </w:tcPr>
          <w:p>
            <w:pPr>
              <w:spacing w:after="0"/>
              <w:rPr>
                <w:sz w:val="15"/>
                <w:szCs w:val="15"/>
                <w:color w:val="auto"/>
              </w:rPr>
            </w:pPr>
          </w:p>
        </w:tc>
        <w:tc>
          <w:tcPr>
            <w:tcW w:w="620" w:type="dxa"/>
            <w:vAlign w:val="bottom"/>
            <w:tcBorders>
              <w:top w:val="single" w:sz="8" w:color="231F20"/>
            </w:tcBorders>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4080" w:type="dxa"/>
            <w:vAlign w:val="bottom"/>
            <w:tcBorders>
              <w:right w:val="single" w:sz="8" w:color="231F20"/>
            </w:tcBorders>
            <w:gridSpan w:val="5"/>
          </w:tcPr>
          <w:p>
            <w:pPr>
              <w:spacing w:after="0" w:line="20" w:lineRule="exact"/>
              <w:rPr>
                <w:sz w:val="1"/>
                <w:szCs w:val="1"/>
                <w:color w:val="auto"/>
              </w:rPr>
            </w:pPr>
          </w:p>
        </w:tc>
        <w:tc>
          <w:tcPr>
            <w:tcW w:w="660" w:type="dxa"/>
            <w:vAlign w:val="bottom"/>
            <w:shd w:val="clear" w:color="auto" w:fill="231F20"/>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5"/>
        </w:trPr>
        <w:tc>
          <w:tcPr>
            <w:tcW w:w="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231F20"/>
              </w:rPr>
              <w:t>4)</w:t>
            </w:r>
          </w:p>
        </w:tc>
        <w:tc>
          <w:tcPr>
            <w:tcW w:w="6440" w:type="dxa"/>
            <w:vAlign w:val="bottom"/>
            <w:gridSpan w:val="11"/>
          </w:tcPr>
          <w:p>
            <w:pPr>
              <w:ind w:left="140"/>
              <w:spacing w:after="0" w:line="205" w:lineRule="exact"/>
              <w:rPr>
                <w:sz w:val="20"/>
                <w:szCs w:val="20"/>
                <w:color w:val="auto"/>
              </w:rPr>
            </w:pPr>
            <w:r>
              <w:rPr>
                <w:rFonts w:ascii="Times New Roman" w:cs="Times New Roman" w:eastAsia="Times New Roman" w:hAnsi="Times New Roman"/>
                <w:sz w:val="18"/>
                <w:szCs w:val="18"/>
                <w:color w:val="231F20"/>
              </w:rPr>
              <w:t xml:space="preserve">The Aggregate Equipment Price will be </w:t>
            </w:r>
            <w:r>
              <w:rPr>
                <w:rFonts w:ascii="Times New Roman" w:cs="Times New Roman" w:eastAsia="Times New Roman" w:hAnsi="Times New Roman"/>
                <w:sz w:val="18"/>
                <w:szCs w:val="18"/>
                <w:b w:val="1"/>
                <w:bCs w:val="1"/>
                <w:color w:val="231F20"/>
              </w:rPr>
              <w:t>unchanged</w:t>
            </w:r>
            <w:r>
              <w:rPr>
                <w:rFonts w:ascii="Times New Roman" w:cs="Times New Roman" w:eastAsia="Times New Roman" w:hAnsi="Times New Roman"/>
                <w:sz w:val="18"/>
                <w:szCs w:val="18"/>
                <w:color w:val="231F20"/>
              </w:rPr>
              <w:t xml:space="preserve"> by this Change Order</w:t>
            </w:r>
          </w:p>
        </w:tc>
      </w:tr>
      <w:tr>
        <w:trPr>
          <w:trHeight w:val="198"/>
        </w:trPr>
        <w:tc>
          <w:tcPr>
            <w:tcW w:w="180" w:type="dxa"/>
            <w:vAlign w:val="bottom"/>
          </w:tcPr>
          <w:p>
            <w:pPr>
              <w:spacing w:after="0"/>
              <w:rPr>
                <w:sz w:val="17"/>
                <w:szCs w:val="17"/>
                <w:color w:val="auto"/>
              </w:rPr>
            </w:pPr>
          </w:p>
        </w:tc>
        <w:tc>
          <w:tcPr>
            <w:tcW w:w="1340" w:type="dxa"/>
            <w:vAlign w:val="bottom"/>
          </w:tcPr>
          <w:p>
            <w:pPr>
              <w:ind w:left="60"/>
              <w:spacing w:after="0" w:line="199" w:lineRule="exact"/>
              <w:rPr>
                <w:sz w:val="20"/>
                <w:szCs w:val="20"/>
                <w:color w:val="auto"/>
              </w:rPr>
            </w:pPr>
            <w:r>
              <w:rPr>
                <w:rFonts w:ascii="Times New Roman" w:cs="Times New Roman" w:eastAsia="Times New Roman" w:hAnsi="Times New Roman"/>
                <w:sz w:val="18"/>
                <w:szCs w:val="18"/>
                <w:color w:val="231F20"/>
              </w:rPr>
              <w:t>in the amount of</w:t>
            </w:r>
          </w:p>
        </w:tc>
        <w:tc>
          <w:tcPr>
            <w:tcW w:w="1360" w:type="dxa"/>
            <w:vAlign w:val="bottom"/>
          </w:tcPr>
          <w:p>
            <w:pPr>
              <w:jc w:val="right"/>
              <w:ind w:right="710"/>
              <w:spacing w:after="0" w:line="199" w:lineRule="exact"/>
              <w:rPr>
                <w:sz w:val="20"/>
                <w:szCs w:val="20"/>
                <w:color w:val="auto"/>
              </w:rPr>
            </w:pPr>
            <w:r>
              <w:rPr>
                <w:rFonts w:ascii="Times New Roman" w:cs="Times New Roman" w:eastAsia="Times New Roman" w:hAnsi="Times New Roman"/>
                <w:sz w:val="18"/>
                <w:szCs w:val="18"/>
                <w:color w:val="231F20"/>
              </w:rPr>
              <w:t>$[***]</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231F20"/>
              </w:rPr>
              <w:t>5)</w:t>
            </w:r>
          </w:p>
        </w:tc>
        <w:tc>
          <w:tcPr>
            <w:tcW w:w="644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231F20"/>
              </w:rPr>
              <w:t xml:space="preserve">The Aggregate Labor and Skills Price will be </w:t>
            </w:r>
            <w:r>
              <w:rPr>
                <w:rFonts w:ascii="Times New Roman" w:cs="Times New Roman" w:eastAsia="Times New Roman" w:hAnsi="Times New Roman"/>
                <w:sz w:val="18"/>
                <w:szCs w:val="18"/>
                <w:b w:val="1"/>
                <w:bCs w:val="1"/>
                <w:color w:val="231F20"/>
              </w:rPr>
              <w:t>increased</w:t>
            </w:r>
            <w:r>
              <w:rPr>
                <w:rFonts w:ascii="Times New Roman" w:cs="Times New Roman" w:eastAsia="Times New Roman" w:hAnsi="Times New Roman"/>
                <w:sz w:val="18"/>
                <w:szCs w:val="18"/>
                <w:color w:val="231F20"/>
              </w:rPr>
              <w:t xml:space="preserve"> by this Change Order</w:t>
            </w:r>
          </w:p>
        </w:tc>
      </w:tr>
      <w:tr>
        <w:trPr>
          <w:trHeight w:val="212"/>
        </w:trPr>
        <w:tc>
          <w:tcPr>
            <w:tcW w:w="1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in the amount of</w:t>
            </w: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231F20"/>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231F20"/>
              </w:rPr>
              <w:t>6)</w:t>
            </w:r>
          </w:p>
        </w:tc>
        <w:tc>
          <w:tcPr>
            <w:tcW w:w="644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231F20"/>
              </w:rPr>
              <w:t xml:space="preserve">The total Aggregate Equipment, Labor and Skills Price will be </w:t>
            </w:r>
            <w:r>
              <w:rPr>
                <w:rFonts w:ascii="Times New Roman" w:cs="Times New Roman" w:eastAsia="Times New Roman" w:hAnsi="Times New Roman"/>
                <w:sz w:val="18"/>
                <w:szCs w:val="18"/>
                <w:b w:val="1"/>
                <w:bCs w:val="1"/>
                <w:color w:val="231F20"/>
              </w:rPr>
              <w:t>increased</w:t>
            </w:r>
          </w:p>
        </w:tc>
      </w:tr>
      <w:tr>
        <w:trPr>
          <w:trHeight w:val="194"/>
        </w:trPr>
        <w:tc>
          <w:tcPr>
            <w:tcW w:w="180" w:type="dxa"/>
            <w:vAlign w:val="bottom"/>
          </w:tcPr>
          <w:p>
            <w:pPr>
              <w:spacing w:after="0"/>
              <w:rPr>
                <w:sz w:val="16"/>
                <w:szCs w:val="16"/>
                <w:color w:val="auto"/>
              </w:rPr>
            </w:pPr>
          </w:p>
        </w:tc>
        <w:tc>
          <w:tcPr>
            <w:tcW w:w="310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color w:val="231F20"/>
              </w:rPr>
              <w:t>by this Change Order in the amount of  $</w:t>
            </w:r>
          </w:p>
        </w:tc>
        <w:tc>
          <w:tcPr>
            <w:tcW w:w="980" w:type="dxa"/>
            <w:vAlign w:val="bottom"/>
            <w:tcBorders>
              <w:bottom w:val="single" w:sz="8" w:color="231F20"/>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231F20"/>
              </w:rPr>
              <w:t>10,638,986</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231F20"/>
              </w:rPr>
              <w:t>7)</w:t>
            </w:r>
          </w:p>
        </w:tc>
        <w:tc>
          <w:tcPr>
            <w:tcW w:w="6440" w:type="dxa"/>
            <w:vAlign w:val="bottom"/>
            <w:gridSpan w:val="11"/>
          </w:tcPr>
          <w:p>
            <w:pPr>
              <w:ind w:left="140"/>
              <w:spacing w:after="0" w:line="196" w:lineRule="exact"/>
              <w:rPr>
                <w:sz w:val="20"/>
                <w:szCs w:val="20"/>
                <w:color w:val="auto"/>
              </w:rPr>
            </w:pPr>
            <w:r>
              <w:rPr>
                <w:rFonts w:ascii="Times New Roman" w:cs="Times New Roman" w:eastAsia="Times New Roman" w:hAnsi="Times New Roman"/>
                <w:sz w:val="18"/>
                <w:szCs w:val="18"/>
                <w:color w:val="231F20"/>
              </w:rPr>
              <w:t>The new Contract Price including this Change Order will be  $ 3,158,403,982</w:t>
            </w: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231F20"/>
        </w:rPr>
        <w:t>Adjustment to Key Dates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 xml:space="preserve">The following Key Dates are modified </w:t>
      </w:r>
      <w:r>
        <w:rPr>
          <w:rFonts w:ascii="Times New Roman" w:cs="Times New Roman" w:eastAsia="Times New Roman" w:hAnsi="Times New Roman"/>
          <w:sz w:val="18"/>
          <w:szCs w:val="18"/>
          <w:i w:val="1"/>
          <w:iCs w:val="1"/>
          <w:color w:val="231F20"/>
        </w:rPr>
        <w:t>(list all Key Dates modified; insert N/A if no Key Dates modified)</w:t>
      </w:r>
      <w:r>
        <w:rPr>
          <w:rFonts w:ascii="Times New Roman" w:cs="Times New Roman" w:eastAsia="Times New Roman" w:hAnsi="Times New Roman"/>
          <w:sz w:val="18"/>
          <w:szCs w:val="18"/>
          <w:color w:val="231F20"/>
        </w:rPr>
        <w:t>:</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 xml:space="preserve">The Key Date for </w:t>
      </w:r>
      <w:r>
        <w:rPr>
          <w:rFonts w:ascii="Times New Roman" w:cs="Times New Roman" w:eastAsia="Times New Roman" w:hAnsi="Times New Roman"/>
          <w:sz w:val="18"/>
          <w:szCs w:val="18"/>
          <w:b w:val="1"/>
          <w:bCs w:val="1"/>
          <w:color w:val="231F20"/>
        </w:rPr>
        <w:t>N/A</w:t>
      </w:r>
      <w:r>
        <w:rPr>
          <w:rFonts w:ascii="Times New Roman" w:cs="Times New Roman" w:eastAsia="Times New Roman" w:hAnsi="Times New Roman"/>
          <w:sz w:val="18"/>
          <w:szCs w:val="18"/>
          <w:color w:val="231F20"/>
        </w:rPr>
        <w:t xml:space="preserve"> will be (increased)(decreased) by </w:t>
      </w:r>
      <w:r>
        <w:rPr>
          <w:rFonts w:ascii="Times New Roman" w:cs="Times New Roman" w:eastAsia="Times New Roman" w:hAnsi="Times New Roman"/>
          <w:sz w:val="18"/>
          <w:szCs w:val="18"/>
          <w:b w:val="1"/>
          <w:bCs w:val="1"/>
          <w:color w:val="231F20"/>
        </w:rPr>
        <w:t>N/A</w:t>
      </w:r>
      <w:r>
        <w:rPr>
          <w:rFonts w:ascii="Times New Roman" w:cs="Times New Roman" w:eastAsia="Times New Roman" w:hAnsi="Times New Roman"/>
          <w:sz w:val="18"/>
          <w:szCs w:val="18"/>
          <w:color w:val="231F20"/>
        </w:rPr>
        <w:t xml:space="preserve"> Days.</w:t>
      </w:r>
    </w:p>
    <w:p>
      <w:pPr>
        <w:spacing w:after="0" w:line="31" w:lineRule="exact"/>
        <w:rPr>
          <w:sz w:val="20"/>
          <w:szCs w:val="20"/>
          <w:color w:val="auto"/>
        </w:rPr>
      </w:pPr>
    </w:p>
    <w:p>
      <w:pPr>
        <w:jc w:val="both"/>
        <w:ind w:left="140" w:right="4520"/>
        <w:spacing w:after="0" w:line="273" w:lineRule="auto"/>
        <w:rPr>
          <w:sz w:val="20"/>
          <w:szCs w:val="20"/>
          <w:color w:val="auto"/>
        </w:rPr>
      </w:pPr>
      <w:r>
        <w:rPr>
          <w:rFonts w:ascii="Times New Roman" w:cs="Times New Roman" w:eastAsia="Times New Roman" w:hAnsi="Times New Roman"/>
          <w:sz w:val="17"/>
          <w:szCs w:val="17"/>
          <w:color w:val="231F20"/>
        </w:rPr>
        <w:t xml:space="preserve">The Key Date for </w:t>
      </w:r>
      <w:r>
        <w:rPr>
          <w:rFonts w:ascii="Times New Roman" w:cs="Times New Roman" w:eastAsia="Times New Roman" w:hAnsi="Times New Roman"/>
          <w:sz w:val="17"/>
          <w:szCs w:val="17"/>
          <w:b w:val="1"/>
          <w:bCs w:val="1"/>
          <w:color w:val="231F20"/>
        </w:rPr>
        <w:t>N/A</w:t>
      </w:r>
      <w:r>
        <w:rPr>
          <w:rFonts w:ascii="Times New Roman" w:cs="Times New Roman" w:eastAsia="Times New Roman" w:hAnsi="Times New Roman"/>
          <w:sz w:val="17"/>
          <w:szCs w:val="17"/>
          <w:color w:val="231F20"/>
        </w:rPr>
        <w:t xml:space="preserve"> as of the date of this Change Order therefore is </w:t>
      </w:r>
      <w:r>
        <w:rPr>
          <w:rFonts w:ascii="Times New Roman" w:cs="Times New Roman" w:eastAsia="Times New Roman" w:hAnsi="Times New Roman"/>
          <w:sz w:val="17"/>
          <w:szCs w:val="17"/>
          <w:b w:val="1"/>
          <w:bCs w:val="1"/>
          <w:color w:val="231F20"/>
        </w:rPr>
        <w:t>N/A</w:t>
      </w:r>
      <w:r>
        <w:rPr>
          <w:rFonts w:ascii="Times New Roman" w:cs="Times New Roman" w:eastAsia="Times New Roman" w:hAnsi="Times New Roman"/>
          <w:sz w:val="17"/>
          <w:szCs w:val="17"/>
          <w:color w:val="231F20"/>
        </w:rPr>
        <w:t xml:space="preserve"> Days after NTP. </w:t>
      </w:r>
      <w:r>
        <w:rPr>
          <w:rFonts w:ascii="Times New Roman" w:cs="Times New Roman" w:eastAsia="Times New Roman" w:hAnsi="Times New Roman"/>
          <w:sz w:val="17"/>
          <w:szCs w:val="17"/>
          <w:i w:val="1"/>
          <w:iCs w:val="1"/>
          <w:color w:val="231F20"/>
        </w:rPr>
        <w:t>(list all Key Dates that are modified by this Change Order using the format set forth above)</w:t>
      </w:r>
    </w:p>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 xml:space="preserve">The Guaranteed Date of </w:t>
      </w:r>
      <w:r>
        <w:rPr>
          <w:rFonts w:ascii="Times New Roman" w:cs="Times New Roman" w:eastAsia="Times New Roman" w:hAnsi="Times New Roman"/>
          <w:sz w:val="18"/>
          <w:szCs w:val="18"/>
          <w:b w:val="1"/>
          <w:bCs w:val="1"/>
          <w:color w:val="231F20"/>
        </w:rPr>
        <w:t>N/A</w:t>
      </w:r>
      <w:r>
        <w:rPr>
          <w:rFonts w:ascii="Times New Roman" w:cs="Times New Roman" w:eastAsia="Times New Roman" w:hAnsi="Times New Roman"/>
          <w:sz w:val="18"/>
          <w:szCs w:val="18"/>
          <w:color w:val="231F20"/>
        </w:rPr>
        <w:t xml:space="preserve"> will be (increased)(decreased) by </w:t>
      </w:r>
      <w:r>
        <w:rPr>
          <w:rFonts w:ascii="Times New Roman" w:cs="Times New Roman" w:eastAsia="Times New Roman" w:hAnsi="Times New Roman"/>
          <w:sz w:val="18"/>
          <w:szCs w:val="18"/>
          <w:b w:val="1"/>
          <w:bCs w:val="1"/>
          <w:color w:val="231F20"/>
        </w:rPr>
        <w:t>N/A</w:t>
      </w:r>
      <w:r>
        <w:rPr>
          <w:rFonts w:ascii="Times New Roman" w:cs="Times New Roman" w:eastAsia="Times New Roman" w:hAnsi="Times New Roman"/>
          <w:sz w:val="18"/>
          <w:szCs w:val="18"/>
          <w:color w:val="231F20"/>
        </w:rPr>
        <w:t xml:space="preserve"> Days.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rPr>
        <w:t xml:space="preserve">The Guaranteed Date of </w:t>
      </w:r>
      <w:r>
        <w:rPr>
          <w:rFonts w:ascii="Times New Roman" w:cs="Times New Roman" w:eastAsia="Times New Roman" w:hAnsi="Times New Roman"/>
          <w:sz w:val="18"/>
          <w:szCs w:val="18"/>
          <w:b w:val="1"/>
          <w:bCs w:val="1"/>
          <w:color w:val="231F20"/>
        </w:rPr>
        <w:t>N/A</w:t>
      </w:r>
      <w:r>
        <w:rPr>
          <w:rFonts w:ascii="Times New Roman" w:cs="Times New Roman" w:eastAsia="Times New Roman" w:hAnsi="Times New Roman"/>
          <w:sz w:val="18"/>
          <w:szCs w:val="18"/>
          <w:color w:val="231F20"/>
        </w:rPr>
        <w:t xml:space="preserve"> as of the effective date of this Change Order therefore is </w:t>
      </w:r>
      <w:r>
        <w:rPr>
          <w:rFonts w:ascii="Times New Roman" w:cs="Times New Roman" w:eastAsia="Times New Roman" w:hAnsi="Times New Roman"/>
          <w:sz w:val="18"/>
          <w:szCs w:val="18"/>
          <w:b w:val="1"/>
          <w:bCs w:val="1"/>
          <w:color w:val="231F20"/>
        </w:rPr>
        <w:t>N/A</w:t>
      </w:r>
      <w:r>
        <w:rPr>
          <w:rFonts w:ascii="Times New Roman" w:cs="Times New Roman" w:eastAsia="Times New Roman" w:hAnsi="Times New Roman"/>
          <w:sz w:val="18"/>
          <w:szCs w:val="18"/>
          <w:color w:val="231F20"/>
        </w:rPr>
        <w:t xml:space="preserve"> Days after NTP.</w:t>
      </w:r>
    </w:p>
    <w:p>
      <w:pPr>
        <w:sectPr>
          <w:pgSz w:w="11900" w:h="16838" w:orient="portrait"/>
          <w:cols w:equalWidth="0" w:num="1">
            <w:col w:w="11240"/>
          </w:cols>
          <w:pgMar w:left="320" w:top="833"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231F20"/>
        </w:rPr>
        <w:t>2</w:t>
      </w:r>
    </w:p>
    <w:p>
      <w:pPr>
        <w:sectPr>
          <w:pgSz w:w="11900" w:h="16838" w:orient="portrait"/>
          <w:cols w:equalWidth="0" w:num="1">
            <w:col w:w="11240"/>
          </w:cols>
          <w:pgMar w:left="320" w:top="833" w:right="339" w:bottom="1440" w:gutter="0" w:footer="0" w:header="0"/>
          <w:type w:val="continuous"/>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31F20"/>
        </w:rPr>
        <w:t>(list all Guaranteed Dates that are modified by this Change Order using the format set forth above)</w:t>
      </w:r>
    </w:p>
    <w:p>
      <w:pPr>
        <w:spacing w:after="0" w:line="254" w:lineRule="exact"/>
        <w:rPr>
          <w:sz w:val="20"/>
          <w:szCs w:val="20"/>
          <w:color w:val="auto"/>
        </w:rPr>
      </w:pPr>
    </w:p>
    <w:p>
      <w:pPr>
        <w:ind w:left="60" w:right="760"/>
        <w:spacing w:after="0" w:line="282" w:lineRule="auto"/>
        <w:rPr>
          <w:sz w:val="20"/>
          <w:szCs w:val="20"/>
          <w:color w:val="auto"/>
        </w:rPr>
      </w:pPr>
      <w:r>
        <w:rPr>
          <w:rFonts w:ascii="Times New Roman" w:cs="Times New Roman" w:eastAsia="Times New Roman" w:hAnsi="Times New Roman"/>
          <w:sz w:val="18"/>
          <w:szCs w:val="18"/>
          <w:color w:val="231F20"/>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231F20"/>
        </w:rPr>
        <w:t>N/A</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31F20"/>
        </w:rPr>
        <w:t xml:space="preserve">Impact to other Changed Criteria </w:t>
      </w:r>
      <w:r>
        <w:rPr>
          <w:rFonts w:ascii="Times New Roman" w:cs="Times New Roman" w:eastAsia="Times New Roman" w:hAnsi="Times New Roman"/>
          <w:sz w:val="18"/>
          <w:szCs w:val="18"/>
          <w:i w:val="1"/>
          <w:iCs w:val="1"/>
          <w:color w:val="231F20"/>
        </w:rPr>
        <w:t>(insert N/A if no changes or impact; attach additional documentation if necessary)</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31F20"/>
        </w:rPr>
        <w:t xml:space="preserve">Impact on Payment Schedule (including, as applicable, Payment Milestones): </w:t>
      </w:r>
      <w:r>
        <w:rPr>
          <w:rFonts w:ascii="Times New Roman" w:cs="Times New Roman" w:eastAsia="Times New Roman" w:hAnsi="Times New Roman"/>
          <w:sz w:val="18"/>
          <w:szCs w:val="18"/>
          <w:color w:val="231F20"/>
        </w:rPr>
        <w:t>The Schedule C-2 (Payment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 xml:space="preserve">Milestones) is updated as provided in Attachment 2. </w:t>
      </w:r>
      <w:r>
        <w:rPr>
          <w:rFonts w:ascii="Times New Roman" w:cs="Times New Roman" w:eastAsia="Times New Roman" w:hAnsi="Times New Roman"/>
          <w:sz w:val="18"/>
          <w:szCs w:val="18"/>
          <w:b w:val="1"/>
          <w:bCs w:val="1"/>
          <w:color w:val="231F20"/>
        </w:rPr>
        <w:t>Impact on Maximum Cumulative Payment Schedule:</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The Schedule C-3 (Maximum Cumulative Payment Schedule) is updated as provided in Attachment 3. Impact on Minimum Acceptance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 xml:space="preserve">Criteria: </w:t>
      </w:r>
      <w:r>
        <w:rPr>
          <w:rFonts w:ascii="Times New Roman" w:cs="Times New Roman" w:eastAsia="Times New Roman" w:hAnsi="Times New Roman"/>
          <w:sz w:val="18"/>
          <w:szCs w:val="18"/>
          <w:b w:val="1"/>
          <w:bCs w:val="1"/>
          <w:color w:val="231F20"/>
        </w:rPr>
        <w:t>N/A</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 xml:space="preserve">Impact on Performance Guarantees: </w:t>
      </w:r>
      <w:r>
        <w:rPr>
          <w:rFonts w:ascii="Times New Roman" w:cs="Times New Roman" w:eastAsia="Times New Roman" w:hAnsi="Times New Roman"/>
          <w:sz w:val="18"/>
          <w:szCs w:val="18"/>
          <w:b w:val="1"/>
          <w:bCs w:val="1"/>
          <w:color w:val="231F20"/>
        </w:rPr>
        <w:t>N/A</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 xml:space="preserve">Impact on Basis of Design: </w:t>
      </w:r>
      <w:r>
        <w:rPr>
          <w:rFonts w:ascii="Times New Roman" w:cs="Times New Roman" w:eastAsia="Times New Roman" w:hAnsi="Times New Roman"/>
          <w:sz w:val="18"/>
          <w:szCs w:val="18"/>
          <w:b w:val="1"/>
          <w:bCs w:val="1"/>
          <w:color w:val="231F20"/>
        </w:rPr>
        <w:t>N/A</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 xml:space="preserve">Impact on the Total Reimbursement Amount: </w:t>
      </w:r>
      <w:r>
        <w:rPr>
          <w:rFonts w:ascii="Times New Roman" w:cs="Times New Roman" w:eastAsia="Times New Roman" w:hAnsi="Times New Roman"/>
          <w:sz w:val="18"/>
          <w:szCs w:val="18"/>
          <w:b w:val="1"/>
          <w:bCs w:val="1"/>
          <w:color w:val="231F20"/>
        </w:rPr>
        <w:t>N/A</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231F20"/>
        </w:rPr>
        <w:t>N/A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3</w:t>
      </w:r>
    </w:p>
    <w:p>
      <w:pPr>
        <w:sectPr>
          <w:pgSz w:w="11900" w:h="16838" w:orient="portrait"/>
          <w:cols w:equalWidth="0" w:num="1">
            <w:col w:w="11160"/>
          </w:cols>
          <w:pgMar w:left="400" w:top="833"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60" w:lineRule="exact"/>
        <w:rPr>
          <w:sz w:val="20"/>
          <w:szCs w:val="20"/>
          <w:color w:val="auto"/>
        </w:rPr>
      </w:pPr>
    </w:p>
    <w:p>
      <w:pPr>
        <w:ind w:left="140" w:right="240" w:hanging="5"/>
        <w:spacing w:after="0" w:line="286" w:lineRule="auto"/>
        <w:tabs>
          <w:tab w:leader="none" w:pos="598" w:val="left"/>
        </w:tabs>
        <w:numPr>
          <w:ilvl w:val="0"/>
          <w:numId w:val="1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This Change Order </w:t>
      </w:r>
      <w:r>
        <w:rPr>
          <w:rFonts w:ascii="Times New Roman" w:cs="Times New Roman" w:eastAsia="Times New Roman" w:hAnsi="Times New Roman"/>
          <w:sz w:val="18"/>
          <w:szCs w:val="18"/>
          <w:b w:val="1"/>
          <w:bCs w:val="1"/>
          <w:color w:val="231F20"/>
        </w:rPr>
        <w:t>shall</w:t>
      </w:r>
      <w:r>
        <w:rPr>
          <w:rFonts w:ascii="Times New Roman" w:cs="Times New Roman" w:eastAsia="Times New Roman" w:hAnsi="Times New Roman"/>
          <w:sz w:val="18"/>
          <w:szCs w:val="18"/>
          <w:color w:val="231F20"/>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231F20"/>
        </w:rPr>
        <w:t>shall</w:t>
      </w:r>
      <w:r>
        <w:rPr>
          <w:rFonts w:ascii="Times New Roman" w:cs="Times New Roman" w:eastAsia="Times New Roman" w:hAnsi="Times New Roman"/>
          <w:sz w:val="18"/>
          <w:szCs w:val="18"/>
          <w:color w:val="231F20"/>
        </w:rPr>
        <w:t xml:space="preserve"> be deemed to compensate Contractor fully for such change. Initials: </w:t>
      </w:r>
      <w:r>
        <w:rPr>
          <w:rFonts w:ascii="Times New Roman" w:cs="Times New Roman" w:eastAsia="Times New Roman" w:hAnsi="Times New Roman"/>
          <w:sz w:val="18"/>
          <w:szCs w:val="18"/>
          <w:color w:val="000000"/>
        </w:rPr>
        <w:t>Initials: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u w:val="single" w:color="auto"/>
          <w:color w:val="000000"/>
        </w:rPr>
        <w:t>SFO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Contractor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u w:val="single" w:color="auto"/>
          <w:color w:val="000000"/>
        </w:rPr>
        <w:t>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Owner</w:t>
      </w:r>
    </w:p>
    <w:p>
      <w:pPr>
        <w:spacing w:after="0" w:line="195" w:lineRule="exact"/>
        <w:rPr>
          <w:rFonts w:ascii="Times New Roman" w:cs="Times New Roman" w:eastAsia="Times New Roman" w:hAnsi="Times New Roman"/>
          <w:sz w:val="18"/>
          <w:szCs w:val="18"/>
          <w:color w:val="231F20"/>
        </w:rPr>
      </w:pPr>
    </w:p>
    <w:p>
      <w:pPr>
        <w:ind w:left="560" w:hanging="426"/>
        <w:spacing w:after="0"/>
        <w:tabs>
          <w:tab w:leader="none" w:pos="560" w:val="left"/>
        </w:tabs>
        <w:numPr>
          <w:ilvl w:val="0"/>
          <w:numId w:val="1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strike w:val="1"/>
        </w:rPr>
        <w:t xml:space="preserve">Pursuant to </w:t>
      </w:r>
      <w:r>
        <w:rPr>
          <w:rFonts w:ascii="Times New Roman" w:cs="Times New Roman" w:eastAsia="Times New Roman" w:hAnsi="Times New Roman"/>
          <w:sz w:val="18"/>
          <w:szCs w:val="18"/>
          <w:u w:val="single" w:color="auto"/>
          <w:color w:val="231F20"/>
          <w:strike w:val="1"/>
        </w:rPr>
        <w:t>Section 6.4</w:t>
      </w:r>
      <w:r>
        <w:rPr>
          <w:rFonts w:ascii="Times New Roman" w:cs="Times New Roman" w:eastAsia="Times New Roman" w:hAnsi="Times New Roman"/>
          <w:sz w:val="18"/>
          <w:szCs w:val="18"/>
          <w:color w:val="231F20"/>
          <w:strike w:val="1"/>
        </w:rPr>
        <w:t xml:space="preserve"> of the Agreement, this Change Order </w:t>
      </w:r>
      <w:r>
        <w:rPr>
          <w:rFonts w:ascii="Times New Roman" w:cs="Times New Roman" w:eastAsia="Times New Roman" w:hAnsi="Times New Roman"/>
          <w:sz w:val="18"/>
          <w:szCs w:val="18"/>
          <w:b w:val="1"/>
          <w:bCs w:val="1"/>
          <w:color w:val="231F20"/>
          <w:strike w:val="1"/>
        </w:rPr>
        <w:t>shall not</w:t>
      </w:r>
      <w:r>
        <w:rPr>
          <w:rFonts w:ascii="Times New Roman" w:cs="Times New Roman" w:eastAsia="Times New Roman" w:hAnsi="Times New Roman"/>
          <w:sz w:val="18"/>
          <w:szCs w:val="18"/>
          <w:color w:val="231F20"/>
          <w:strike w:val="1"/>
        </w:rPr>
        <w:t xml:space="preserve"> constitute a full and final settlement</w:t>
      </w:r>
    </w:p>
    <w:p>
      <w:pPr>
        <w:spacing w:after="0" w:line="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231F20"/>
          <w:strike w:val="1"/>
        </w:rPr>
        <w:t>and accord and satisfaction of all effects of the change reflected in this Change Order upon the Change Criteria and</w:t>
      </w:r>
    </w:p>
    <w:p>
      <w:pPr>
        <w:spacing w:after="0" w:line="2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231F20"/>
        </w:rPr>
        <w:t xml:space="preserve">shall not </w:t>
      </w:r>
      <w:r>
        <w:rPr>
          <w:rFonts w:ascii="Times New Roman" w:cs="Times New Roman" w:eastAsia="Times New Roman" w:hAnsi="Times New Roman"/>
          <w:sz w:val="18"/>
          <w:szCs w:val="18"/>
          <w:color w:val="231F20"/>
        </w:rPr>
        <w:t>be deemed to compensate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-62230</wp:posOffset>
            </wp:positionV>
            <wp:extent cx="51517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ind w:left="140"/>
        <w:spacing w:after="0"/>
        <w:tabs>
          <w:tab w:leader="none" w:pos="2680" w:val="left"/>
          <w:tab w:leader="none" w:pos="3500" w:val="left"/>
          <w:tab w:leader="none" w:pos="4540" w:val="left"/>
        </w:tabs>
        <w:rPr>
          <w:sz w:val="20"/>
          <w:szCs w:val="20"/>
          <w:color w:val="auto"/>
        </w:rPr>
      </w:pPr>
      <w:r>
        <w:rPr>
          <w:rFonts w:ascii="Times New Roman" w:cs="Times New Roman" w:eastAsia="Times New Roman" w:hAnsi="Times New Roman"/>
          <w:sz w:val="18"/>
          <w:szCs w:val="18"/>
          <w:color w:val="231F20"/>
        </w:rPr>
        <w:t>Contractor fully for such change.</w:t>
        <w:tab/>
        <w:t>Initials:</w:t>
      </w:r>
      <w:r>
        <w:rPr>
          <w:sz w:val="20"/>
          <w:szCs w:val="20"/>
          <w:color w:val="auto"/>
        </w:rPr>
        <w:tab/>
      </w:r>
      <w:r>
        <w:rPr>
          <w:rFonts w:ascii="Times New Roman" w:cs="Times New Roman" w:eastAsia="Times New Roman" w:hAnsi="Times New Roman"/>
          <w:sz w:val="18"/>
          <w:szCs w:val="18"/>
          <w:color w:val="231F20"/>
        </w:rPr>
        <w:t>Contractor</w:t>
      </w:r>
      <w:r>
        <w:rPr>
          <w:sz w:val="20"/>
          <w:szCs w:val="20"/>
          <w:color w:val="auto"/>
        </w:rPr>
        <w:tab/>
      </w:r>
      <w:r>
        <w:rPr>
          <w:rFonts w:ascii="Times New Roman" w:cs="Times New Roman" w:eastAsia="Times New Roman" w:hAnsi="Times New Roman"/>
          <w:sz w:val="17"/>
          <w:szCs w:val="17"/>
          <w:color w:val="231F20"/>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-19050</wp:posOffset>
            </wp:positionV>
            <wp:extent cx="1143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-19050</wp:posOffset>
            </wp:positionV>
            <wp:extent cx="1143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27" w:lineRule="exact"/>
        <w:rPr>
          <w:sz w:val="20"/>
          <w:szCs w:val="20"/>
          <w:color w:val="auto"/>
        </w:rPr>
      </w:pPr>
    </w:p>
    <w:p>
      <w:pPr>
        <w:jc w:val="both"/>
        <w:ind w:left="140" w:right="240"/>
        <w:spacing w:after="0" w:line="258" w:lineRule="auto"/>
        <w:rPr>
          <w:sz w:val="20"/>
          <w:szCs w:val="20"/>
          <w:color w:val="auto"/>
        </w:rPr>
      </w:pPr>
      <w:r>
        <w:rPr>
          <w:rFonts w:ascii="Times New Roman" w:cs="Times New Roman" w:eastAsia="Times New Roman" w:hAnsi="Times New Roman"/>
          <w:sz w:val="18"/>
          <w:szCs w:val="18"/>
          <w:color w:val="231F20"/>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 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 Alex Thompson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8"/>
              </w:rPr>
              <w:t>/s/ Scott Osborne</w:t>
            </w:r>
          </w:p>
        </w:tc>
      </w:tr>
      <w:tr>
        <w:trPr>
          <w:trHeight w:val="232"/>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231F20"/>
                <w:w w:val="97"/>
              </w:rPr>
              <w:t>Owner</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231F20"/>
              </w:rPr>
              <w:t>Contractor</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140" w:type="dxa"/>
            <w:vAlign w:val="bottom"/>
          </w:tcPr>
          <w:p>
            <w:pPr>
              <w:spacing w:after="0"/>
              <w:rPr>
                <w:sz w:val="16"/>
                <w:szCs w:val="16"/>
                <w:color w:val="auto"/>
              </w:rPr>
            </w:pPr>
          </w:p>
        </w:tc>
        <w:tc>
          <w:tcPr>
            <w:tcW w:w="1340" w:type="dxa"/>
            <w:vAlign w:val="bottom"/>
            <w:tcBorders>
              <w:bottom w:val="single" w:sz="8" w:color="231F20"/>
            </w:tcBorders>
            <w:gridSpan w:val="2"/>
          </w:tcPr>
          <w:p>
            <w:pPr>
              <w:spacing w:after="0" w:line="194" w:lineRule="exact"/>
              <w:rPr>
                <w:sz w:val="20"/>
                <w:szCs w:val="20"/>
                <w:color w:val="auto"/>
              </w:rPr>
            </w:pPr>
            <w:r>
              <w:rPr>
                <w:rFonts w:ascii="Times New Roman" w:cs="Times New Roman" w:eastAsia="Times New Roman" w:hAnsi="Times New Roman"/>
                <w:sz w:val="18"/>
                <w:szCs w:val="18"/>
                <w:color w:val="231F20"/>
              </w:rPr>
              <w:t>Alex Thompson</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Borders>
              <w:bottom w:val="single" w:sz="8" w:color="231F20"/>
            </w:tcBorders>
            <w:gridSpan w:val="3"/>
          </w:tcPr>
          <w:p>
            <w:pPr>
              <w:spacing w:after="0" w:line="194" w:lineRule="exact"/>
              <w:rPr>
                <w:sz w:val="20"/>
                <w:szCs w:val="20"/>
                <w:color w:val="auto"/>
              </w:rPr>
            </w:pPr>
            <w:r>
              <w:rPr>
                <w:rFonts w:ascii="Times New Roman" w:cs="Times New Roman" w:eastAsia="Times New Roman" w:hAnsi="Times New Roman"/>
                <w:sz w:val="18"/>
                <w:szCs w:val="18"/>
                <w:color w:val="231F20"/>
              </w:rPr>
              <w:t>Scott Osborne</w:t>
            </w:r>
          </w:p>
        </w:tc>
        <w:tc>
          <w:tcPr>
            <w:tcW w:w="940" w:type="dxa"/>
            <w:vAlign w:val="bottom"/>
            <w:gridSpan w:val="2"/>
          </w:tcPr>
          <w:p>
            <w:pPr>
              <w:spacing w:after="0"/>
              <w:rPr>
                <w:sz w:val="16"/>
                <w:szCs w:val="16"/>
                <w:color w:val="auto"/>
              </w:rPr>
            </w:pPr>
          </w:p>
        </w:tc>
      </w:tr>
      <w:tr>
        <w:trPr>
          <w:trHeight w:val="205"/>
        </w:trPr>
        <w:tc>
          <w:tcPr>
            <w:tcW w:w="140" w:type="dxa"/>
            <w:vAlign w:val="bottom"/>
          </w:tcPr>
          <w:p>
            <w:pPr>
              <w:spacing w:after="0"/>
              <w:rPr>
                <w:sz w:val="17"/>
                <w:szCs w:val="17"/>
                <w:color w:val="auto"/>
              </w:rPr>
            </w:pPr>
          </w:p>
        </w:tc>
        <w:tc>
          <w:tcPr>
            <w:tcW w:w="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231F20"/>
              </w:rPr>
              <w:t>Name</w:t>
            </w:r>
          </w:p>
        </w:tc>
        <w:tc>
          <w:tcPr>
            <w:tcW w:w="98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color w:val="231F20"/>
              </w:rPr>
              <w:t>Name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140" w:type="dxa"/>
            <w:vAlign w:val="bottom"/>
          </w:tcPr>
          <w:p>
            <w:pPr>
              <w:spacing w:after="0"/>
              <w:rPr>
                <w:sz w:val="16"/>
                <w:szCs w:val="16"/>
                <w:color w:val="auto"/>
              </w:rPr>
            </w:pPr>
          </w:p>
        </w:tc>
        <w:tc>
          <w:tcPr>
            <w:tcW w:w="14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231F20"/>
              </w:rPr>
              <w:t>Authorized Person</w:t>
            </w:r>
          </w:p>
        </w:tc>
        <w:tc>
          <w:tcPr>
            <w:tcW w:w="40" w:type="dxa"/>
            <w:vAlign w:val="bottom"/>
          </w:tcPr>
          <w:p>
            <w:pPr>
              <w:spacing w:after="0"/>
              <w:rPr>
                <w:sz w:val="16"/>
                <w:szCs w:val="16"/>
                <w:color w:val="auto"/>
              </w:rPr>
            </w:pPr>
          </w:p>
        </w:tc>
        <w:tc>
          <w:tcPr>
            <w:tcW w:w="2140" w:type="dxa"/>
            <w:vAlign w:val="bottom"/>
            <w:gridSpan w:val="5"/>
          </w:tcPr>
          <w:p>
            <w:pPr>
              <w:ind w:left="180"/>
              <w:spacing w:after="0" w:line="194" w:lineRule="exact"/>
              <w:rPr>
                <w:sz w:val="20"/>
                <w:szCs w:val="20"/>
                <w:color w:val="auto"/>
              </w:rPr>
            </w:pPr>
            <w:r>
              <w:rPr>
                <w:rFonts w:ascii="Times New Roman" w:cs="Times New Roman" w:eastAsia="Times New Roman" w:hAnsi="Times New Roman"/>
                <w:sz w:val="18"/>
                <w:szCs w:val="18"/>
                <w:color w:val="231F20"/>
              </w:rPr>
              <w:t>Senior Project Manager</w:t>
            </w:r>
          </w:p>
        </w:tc>
      </w:tr>
      <w:tr>
        <w:trPr>
          <w:trHeight w:val="237"/>
        </w:trPr>
        <w:tc>
          <w:tcPr>
            <w:tcW w:w="140" w:type="dxa"/>
            <w:vAlign w:val="bottom"/>
          </w:tcPr>
          <w:p>
            <w:pPr>
              <w:spacing w:after="0"/>
              <w:rPr>
                <w:sz w:val="20"/>
                <w:szCs w:val="20"/>
                <w:color w:val="auto"/>
              </w:rPr>
            </w:pPr>
          </w:p>
        </w:tc>
        <w:tc>
          <w:tcPr>
            <w:tcW w:w="50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18"/>
                <w:szCs w:val="18"/>
                <w:color w:val="231F20"/>
              </w:rPr>
              <w:t>Title</w:t>
            </w:r>
          </w:p>
        </w:tc>
        <w:tc>
          <w:tcPr>
            <w:tcW w:w="980" w:type="dxa"/>
            <w:vAlign w:val="bottom"/>
            <w:tcBorders>
              <w:top w:val="single" w:sz="8" w:color="231F20"/>
            </w:tcBorders>
            <w:gridSpan w:val="2"/>
          </w:tcPr>
          <w:p>
            <w:pPr>
              <w:spacing w:after="0"/>
              <w:rPr>
                <w:sz w:val="20"/>
                <w:szCs w:val="20"/>
                <w:color w:val="auto"/>
              </w:rPr>
            </w:pPr>
            <w:r>
              <w:rPr>
                <w:rFonts w:ascii="Times New Roman" w:cs="Times New Roman" w:eastAsia="Times New Roman" w:hAnsi="Times New Roman"/>
                <w:sz w:val="18"/>
                <w:szCs w:val="18"/>
                <w:color w:val="231F20"/>
              </w:rPr>
              <w:t>Title</w:t>
            </w:r>
          </w:p>
        </w:tc>
        <w:tc>
          <w:tcPr>
            <w:tcW w:w="40" w:type="dxa"/>
            <w:vAlign w:val="bottom"/>
            <w:tcBorders>
              <w:top w:val="single" w:sz="8" w:color="231F20"/>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231F20"/>
            </w:tcBorders>
          </w:tcPr>
          <w:p>
            <w:pPr>
              <w:spacing w:after="0"/>
              <w:rPr>
                <w:sz w:val="20"/>
                <w:szCs w:val="20"/>
                <w:color w:val="auto"/>
              </w:rPr>
            </w:pPr>
          </w:p>
        </w:tc>
        <w:tc>
          <w:tcPr>
            <w:tcW w:w="340" w:type="dxa"/>
            <w:vAlign w:val="bottom"/>
            <w:tcBorders>
              <w:top w:val="single" w:sz="8" w:color="231F20"/>
            </w:tcBorders>
          </w:tcPr>
          <w:p>
            <w:pPr>
              <w:spacing w:after="0"/>
              <w:rPr>
                <w:sz w:val="20"/>
                <w:szCs w:val="20"/>
                <w:color w:val="auto"/>
              </w:rPr>
            </w:pPr>
          </w:p>
        </w:tc>
        <w:tc>
          <w:tcPr>
            <w:tcW w:w="860" w:type="dxa"/>
            <w:vAlign w:val="bottom"/>
            <w:tcBorders>
              <w:top w:val="single" w:sz="8" w:color="231F20"/>
            </w:tcBorders>
          </w:tcPr>
          <w:p>
            <w:pPr>
              <w:spacing w:after="0"/>
              <w:rPr>
                <w:sz w:val="20"/>
                <w:szCs w:val="20"/>
                <w:color w:val="auto"/>
              </w:rPr>
            </w:pPr>
          </w:p>
        </w:tc>
        <w:tc>
          <w:tcPr>
            <w:tcW w:w="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u w:val="single" w:color="auto"/>
          <w:color w:val="auto"/>
        </w:rPr>
        <w:t>January 18, 2024 January 18, 2024</w:t>
      </w:r>
    </w:p>
    <w:p>
      <w:pPr>
        <w:spacing w:after="0" w:line="23"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231F20"/>
        </w:rPr>
        <w:t>Date of Signing</w:t>
      </w:r>
      <w:r>
        <w:rPr>
          <w:sz w:val="20"/>
          <w:szCs w:val="20"/>
          <w:color w:val="auto"/>
        </w:rPr>
        <w:tab/>
      </w:r>
      <w:r>
        <w:rPr>
          <w:rFonts w:ascii="Times New Roman" w:cs="Times New Roman" w:eastAsia="Times New Roman" w:hAnsi="Times New Roman"/>
          <w:sz w:val="17"/>
          <w:szCs w:val="17"/>
          <w:color w:val="231F20"/>
        </w:rPr>
        <w:t>Date of Signing</w:t>
      </w: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231F20"/>
        </w:rPr>
        <w:t>4</w:t>
      </w:r>
    </w:p>
    <w:p>
      <w:pPr>
        <w:sectPr>
          <w:pgSz w:w="11900" w:h="16838" w:orient="portrait"/>
          <w:cols w:equalWidth="0" w:num="1">
            <w:col w:w="11240"/>
          </w:cols>
          <w:pgMar w:left="320" w:top="833" w:right="339" w:bottom="1440" w:gutter="0" w:footer="0" w:header="0"/>
        </w:sectPr>
      </w:pPr>
    </w:p>
    <w:bookmarkStart w:id="204" w:name="page205"/>
    <w:bookmarkEnd w:id="204"/>
    <w:p>
      <w:pPr>
        <w:ind w:left="9200"/>
        <w:spacing w:after="0"/>
        <w:rPr>
          <w:sz w:val="20"/>
          <w:szCs w:val="20"/>
          <w:color w:val="auto"/>
        </w:rPr>
      </w:pPr>
      <w:r>
        <w:rPr>
          <w:rFonts w:ascii="Times New Roman" w:cs="Times New Roman" w:eastAsia="Times New Roman" w:hAnsi="Times New Roman"/>
          <w:sz w:val="17"/>
          <w:szCs w:val="17"/>
          <w:b w:val="1"/>
          <w:bCs w:val="1"/>
          <w:color w:val="auto"/>
        </w:rPr>
        <w:t>Exhibit 10.3</w:t>
      </w:r>
    </w:p>
    <w:p>
      <w:pPr>
        <w:sectPr>
          <w:pgSz w:w="11900" w:h="16838" w:orient="portrait"/>
          <w:cols w:equalWidth="0" w:num="1">
            <w:col w:w="10120"/>
          </w:cols>
          <w:pgMar w:left="1440" w:top="833"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7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ectPr>
          <w:pgSz w:w="11900" w:h="16838" w:orient="portrait"/>
          <w:cols w:equalWidth="0" w:num="1">
            <w:col w:w="10120"/>
          </w:cols>
          <w:pgMar w:left="1440" w:top="833" w:right="339" w:bottom="1440" w:gutter="0" w:footer="0" w:header="0"/>
        </w:sectPr>
      </w:pPr>
    </w:p>
    <w:bookmarkStart w:id="206" w:name="page207"/>
    <w:bookmarkEnd w:id="206"/>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EPC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Train 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15, 2022</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Owner EC Number: EC00101</w:t>
      </w:r>
    </w:p>
    <w:p>
      <w:pPr>
        <w:spacing w:after="0"/>
        <w:rPr>
          <w:sz w:val="20"/>
          <w:szCs w:val="20"/>
          <w:color w:val="auto"/>
        </w:rPr>
      </w:pPr>
      <w:r>
        <w:rPr>
          <w:rFonts w:ascii="Times New Roman" w:cs="Times New Roman" w:eastAsia="Times New Roman" w:hAnsi="Times New Roman"/>
          <w:sz w:val="18"/>
          <w:szCs w:val="18"/>
          <w:color w:val="auto"/>
        </w:rPr>
        <w:t>Contractor Change Number: SCT3027</w:t>
      </w:r>
    </w:p>
    <w:p>
      <w:pPr>
        <w:spacing w:after="0" w:line="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18" w:lineRule="exact"/>
        <w:rPr>
          <w:sz w:val="20"/>
          <w:szCs w:val="20"/>
          <w:color w:val="auto"/>
        </w:rPr>
      </w:pPr>
    </w:p>
    <w:p>
      <w:pPr>
        <w:sectPr>
          <w:pgSz w:w="11900" w:h="16838" w:orient="portrait"/>
          <w:cols w:equalWidth="0" w:num="2">
            <w:col w:w="4860" w:space="680"/>
            <w:col w:w="5560"/>
          </w:cols>
          <w:pgMar w:left="460" w:top="833"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TITLE: ATTACHMENT 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-65405</wp:posOffset>
            </wp:positionV>
            <wp:extent cx="538353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1" w:lineRule="exact"/>
        <w:rPr>
          <w:sz w:val="20"/>
          <w:szCs w:val="20"/>
          <w:color w:val="auto"/>
        </w:rPr>
      </w:pPr>
    </w:p>
    <w:p>
      <w:pPr>
        <w:ind w:right="520" w:firstLine="32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 UPDATE TO OWNER PROVIDED LIST OF TAX EXEMPT AND TAXABLE EQUIPMENT 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Section 3.14 (Tax Accounting) and as requested by Owner, Contractor has updated the Equipment listed in Attachment DD (Owner Provided List of Tax Exempt and Taxable Equipment) with the Equipment that will be installed on or ordered for the Train 3 Liquefaction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252" w:lineRule="exact"/>
        <w:rPr>
          <w:sz w:val="20"/>
          <w:szCs w:val="20"/>
          <w:color w:val="auto"/>
        </w:rPr>
      </w:pPr>
    </w:p>
    <w:p>
      <w:pPr>
        <w:ind w:left="640" w:right="300" w:hanging="322"/>
        <w:spacing w:after="0" w:line="286" w:lineRule="auto"/>
        <w:tabs>
          <w:tab w:leader="none" w:pos="63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DD (Owner Provided List of Tax Exempt and Taxable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pursuant to Attachment DD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Attachment 1 to this Change Order.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1 – Attachment DD (Owner Provided List of Tax Exempt and Taxable Equipment), as updated by this Change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13335</wp:posOffset>
            </wp:positionV>
            <wp:extent cx="538353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6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260" w:type="dxa"/>
            <w:vAlign w:val="bottom"/>
            <w:gridSpan w:val="12"/>
          </w:tcPr>
          <w:p>
            <w:pPr>
              <w:ind w:left="8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$3,042,334,000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5260" w:type="dxa"/>
            <w:vAlign w:val="bottom"/>
            <w:gridSpan w:val="12"/>
          </w:tcPr>
          <w:p>
            <w:pPr>
              <w:ind w:left="80"/>
              <w:spacing w:after="0" w:line="196" w:lineRule="exact"/>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11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$ 116,069,982</w:t>
            </w:r>
          </w:p>
        </w:tc>
        <w:tc>
          <w:tcPr>
            <w:tcW w:w="0" w:type="dxa"/>
            <w:vAlign w:val="bottom"/>
          </w:tcPr>
          <w:p>
            <w:pPr>
              <w:spacing w:after="0"/>
              <w:rPr>
                <w:sz w:val="1"/>
                <w:szCs w:val="1"/>
                <w:color w:val="auto"/>
              </w:rPr>
            </w:pPr>
          </w:p>
        </w:tc>
      </w:tr>
      <w:tr>
        <w:trPr>
          <w:trHeight w:val="183"/>
        </w:trPr>
        <w:tc>
          <w:tcPr>
            <w:tcW w:w="56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5260" w:type="dxa"/>
            <w:vAlign w:val="bottom"/>
            <w:gridSpan w:val="12"/>
          </w:tcPr>
          <w:p>
            <w:pPr>
              <w:ind w:left="80"/>
              <w:spacing w:after="0" w:line="182" w:lineRule="exact"/>
              <w:rPr>
                <w:sz w:val="20"/>
                <w:szCs w:val="20"/>
                <w:color w:val="auto"/>
              </w:rPr>
            </w:pPr>
            <w:r>
              <w:rPr>
                <w:rFonts w:ascii="Times New Roman" w:cs="Times New Roman" w:eastAsia="Times New Roman" w:hAnsi="Times New Roman"/>
                <w:sz w:val="18"/>
                <w:szCs w:val="18"/>
                <w:color w:val="auto"/>
              </w:rPr>
              <w:t>The Contract Price prior to this Change Order was  $3,158,403,982</w:t>
            </w: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gridSpan w:val="4"/>
            <w:vMerge w:val="restart"/>
          </w:tcPr>
          <w:p>
            <w:pPr>
              <w:jc w:val="right"/>
              <w:ind w:right="960"/>
              <w:spacing w:after="0"/>
              <w:rPr>
                <w:sz w:val="20"/>
                <w:szCs w:val="20"/>
                <w:color w:val="auto"/>
              </w:rPr>
            </w:pPr>
            <w:r>
              <w:rPr>
                <w:rFonts w:ascii="Times New Roman" w:cs="Times New Roman" w:eastAsia="Times New Roman" w:hAnsi="Times New Roman"/>
                <w:sz w:val="18"/>
                <w:szCs w:val="18"/>
                <w:color w:val="auto"/>
                <w:w w:val="90"/>
              </w:rPr>
              <w:t>Order</w:t>
            </w:r>
          </w:p>
        </w:tc>
        <w:tc>
          <w:tcPr>
            <w:tcW w:w="0" w:type="dxa"/>
            <w:vAlign w:val="bottom"/>
          </w:tcPr>
          <w:p>
            <w:pPr>
              <w:spacing w:after="0" w:line="20" w:lineRule="exact"/>
              <w:rPr>
                <w:sz w:val="1"/>
                <w:szCs w:val="1"/>
                <w:color w:val="auto"/>
              </w:rPr>
            </w:pPr>
          </w:p>
        </w:tc>
      </w:tr>
      <w:tr>
        <w:trPr>
          <w:trHeight w:val="205"/>
        </w:trPr>
        <w:tc>
          <w:tcPr>
            <w:tcW w:w="560" w:type="dxa"/>
            <w:vAlign w:val="bottom"/>
            <w:vMerge w:val="continue"/>
          </w:tcPr>
          <w:p>
            <w:pPr>
              <w:spacing w:after="0"/>
              <w:rPr>
                <w:sz w:val="17"/>
                <w:szCs w:val="17"/>
                <w:color w:val="auto"/>
              </w:rPr>
            </w:pPr>
          </w:p>
        </w:tc>
        <w:tc>
          <w:tcPr>
            <w:tcW w:w="5020" w:type="dxa"/>
            <w:vAlign w:val="bottom"/>
            <w:gridSpan w:val="11"/>
          </w:tcPr>
          <w:p>
            <w:pPr>
              <w:ind w:left="80"/>
              <w:spacing w:after="0" w:line="205" w:lineRule="exact"/>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w:t>
            </w:r>
          </w:p>
        </w:tc>
        <w:tc>
          <w:tcPr>
            <w:tcW w:w="13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13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in the amount of</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6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5)</w:t>
            </w:r>
          </w:p>
        </w:tc>
        <w:tc>
          <w:tcPr>
            <w:tcW w:w="6380" w:type="dxa"/>
            <w:vAlign w:val="bottom"/>
            <w:gridSpan w:val="15"/>
          </w:tcPr>
          <w:p>
            <w:pPr>
              <w:ind w:left="80"/>
              <w:spacing w:after="0" w:line="205" w:lineRule="exact"/>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13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in the amount of</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6380" w:type="dxa"/>
            <w:vAlign w:val="bottom"/>
            <w:gridSpan w:val="15"/>
          </w:tcPr>
          <w:p>
            <w:pPr>
              <w:ind w:left="80"/>
              <w:spacing w:after="0"/>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unchanged</w:t>
            </w:r>
          </w:p>
        </w:tc>
        <w:tc>
          <w:tcPr>
            <w:tcW w:w="0" w:type="dxa"/>
            <w:vAlign w:val="bottom"/>
          </w:tcPr>
          <w:p>
            <w:pPr>
              <w:spacing w:after="0"/>
              <w:rPr>
                <w:sz w:val="1"/>
                <w:szCs w:val="1"/>
                <w:color w:val="auto"/>
              </w:rPr>
            </w:pPr>
          </w:p>
        </w:tc>
      </w:tr>
      <w:tr>
        <w:trPr>
          <w:trHeight w:val="194"/>
        </w:trPr>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120" w:type="dxa"/>
            <w:vAlign w:val="bottom"/>
            <w:gridSpan w:val="6"/>
          </w:tcPr>
          <w:p>
            <w:pPr>
              <w:ind w:left="8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w:t>
            </w:r>
          </w:p>
        </w:tc>
        <w:tc>
          <w:tcPr>
            <w:tcW w:w="2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vMerge w:val="continue"/>
          </w:tcPr>
          <w:p>
            <w:pPr>
              <w:spacing w:after="0"/>
              <w:rPr>
                <w:sz w:val="15"/>
                <w:szCs w:val="15"/>
                <w:color w:val="auto"/>
              </w:rPr>
            </w:pPr>
          </w:p>
        </w:tc>
        <w:tc>
          <w:tcPr>
            <w:tcW w:w="3400" w:type="dxa"/>
            <w:vAlign w:val="bottom"/>
            <w:gridSpan w:val="7"/>
          </w:tcPr>
          <w:p>
            <w:pPr>
              <w:ind w:left="80"/>
              <w:spacing w:after="0" w:line="182" w:lineRule="exact"/>
              <w:rPr>
                <w:sz w:val="20"/>
                <w:szCs w:val="20"/>
                <w:color w:val="auto"/>
              </w:rPr>
            </w:pPr>
            <w:r>
              <w:rPr>
                <w:rFonts w:ascii="Times New Roman" w:cs="Times New Roman" w:eastAsia="Times New Roman" w:hAnsi="Times New Roman"/>
                <w:sz w:val="18"/>
                <w:szCs w:val="18"/>
                <w:color w:val="auto"/>
                <w:w w:val="99"/>
              </w:rPr>
              <w:t>The new Contract Price including this Change</w:t>
            </w:r>
          </w:p>
        </w:tc>
        <w:tc>
          <w:tcPr>
            <w:tcW w:w="2980" w:type="dxa"/>
            <w:vAlign w:val="bottom"/>
            <w:gridSpan w:val="8"/>
          </w:tcPr>
          <w:p>
            <w:pPr>
              <w:jc w:val="right"/>
              <w:ind w:right="660"/>
              <w:spacing w:after="0" w:line="182" w:lineRule="exact"/>
              <w:rPr>
                <w:sz w:val="20"/>
                <w:szCs w:val="20"/>
                <w:color w:val="auto"/>
              </w:rPr>
            </w:pPr>
            <w:r>
              <w:rPr>
                <w:rFonts w:ascii="Times New Roman" w:cs="Times New Roman" w:eastAsia="Times New Roman" w:hAnsi="Times New Roman"/>
                <w:sz w:val="18"/>
                <w:szCs w:val="18"/>
                <w:color w:val="auto"/>
              </w:rPr>
              <w:t>Order will be  $3,158,403,982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right="4520"/>
        <w:spacing w:after="0" w:line="273"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ectPr>
          <w:pgSz w:w="11900" w:h="16838" w:orient="portrait"/>
          <w:cols w:equalWidth="0" w:num="1">
            <w:col w:w="11100"/>
          </w:cols>
          <w:pgMar w:left="460" w:top="833" w:right="339" w:bottom="1440" w:gutter="0" w:footer="0" w:header="0"/>
          <w:type w:val="continuous"/>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54" w:lineRule="exact"/>
        <w:rPr>
          <w:sz w:val="20"/>
          <w:szCs w:val="20"/>
          <w:color w:val="auto"/>
        </w:rPr>
      </w:pPr>
    </w:p>
    <w:p>
      <w:pPr>
        <w:ind w:left="140" w:right="24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3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Impact on Payment Schedule (including, as applicable, Payment Milestones): N/A Impact on Maximum Cumulative</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Payment Schedule: N/A</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on Minimum Acceptance Criteria: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Performance</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N/A</w:t>
      </w:r>
      <w:r>
        <w:rPr>
          <w:rFonts w:ascii="Times New Roman" w:cs="Times New Roman" w:eastAsia="Times New Roman" w:hAnsi="Times New Roman"/>
          <w:sz w:val="18"/>
          <w:szCs w:val="18"/>
          <w:b w:val="1"/>
          <w:bCs w:val="1"/>
          <w:color w:val="auto"/>
        </w:rPr>
        <w:t xml:space="preserve"> Impact on Basis of Design: </w:t>
      </w: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on the Total Reimbursement Amount: </w:t>
      </w:r>
      <w:r>
        <w:rPr>
          <w:rFonts w:ascii="Times New Roman" w:cs="Times New Roman" w:eastAsia="Times New Roman" w:hAnsi="Times New Roman"/>
          <w:sz w:val="18"/>
          <w:szCs w:val="18"/>
          <w:color w:val="auto"/>
        </w:rPr>
        <w:t>N/A</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jc w:val="both"/>
        <w:ind w:left="140" w:right="240" w:hanging="6"/>
        <w:spacing w:after="0" w:line="268" w:lineRule="auto"/>
        <w:tabs>
          <w:tab w:leader="none" w:pos="59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subject to the below: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211" w:lineRule="exact"/>
        <w:rPr>
          <w:rFonts w:ascii="Times New Roman" w:cs="Times New Roman" w:eastAsia="Times New Roman" w:hAnsi="Times New Roman"/>
          <w:sz w:val="18"/>
          <w:szCs w:val="18"/>
          <w:color w:val="auto"/>
        </w:rPr>
      </w:pPr>
    </w:p>
    <w:p>
      <w:pPr>
        <w:jc w:val="both"/>
        <w:ind w:left="140" w:right="220" w:hanging="6"/>
        <w:spacing w:after="0" w:line="259" w:lineRule="auto"/>
        <w:tabs>
          <w:tab w:leader="none" w:pos="64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 xml:space="preserve">Pursuant to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strike w:val="1"/>
        </w:rPr>
        <w:t xml:space="preserve"> of the 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subject to the below:</w:t>
      </w: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-207645</wp:posOffset>
            </wp:positionV>
            <wp:extent cx="14433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14433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-19050</wp:posOffset>
            </wp:positionV>
            <wp:extent cx="1460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-19050</wp:posOffset>
            </wp:positionV>
            <wp:extent cx="1524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14" w:lineRule="exact"/>
        <w:rPr>
          <w:sz w:val="20"/>
          <w:szCs w:val="20"/>
          <w:color w:val="auto"/>
        </w:rPr>
      </w:pPr>
    </w:p>
    <w:p>
      <w:pPr>
        <w:jc w:val="both"/>
        <w:ind w:left="140" w:right="220"/>
        <w:spacing w:after="0" w:line="261"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 Alex Thompson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/s/ Scott Osborne</w:t>
            </w:r>
          </w:p>
        </w:tc>
      </w:tr>
      <w:tr>
        <w:trPr>
          <w:trHeight w:val="232"/>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Owner</w:t>
            </w: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Contractor</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140" w:type="dxa"/>
            <w:vAlign w:val="bottom"/>
          </w:tcPr>
          <w:p>
            <w:pPr>
              <w:spacing w:after="0"/>
              <w:rPr>
                <w:sz w:val="16"/>
                <w:szCs w:val="16"/>
                <w:color w:val="auto"/>
              </w:rPr>
            </w:pPr>
          </w:p>
        </w:tc>
        <w:tc>
          <w:tcPr>
            <w:tcW w:w="13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Alex Thompson</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Scott Osborne</w:t>
            </w:r>
          </w:p>
        </w:tc>
        <w:tc>
          <w:tcPr>
            <w:tcW w:w="940" w:type="dxa"/>
            <w:vAlign w:val="bottom"/>
            <w:gridSpan w:val="3"/>
          </w:tcPr>
          <w:p>
            <w:pPr>
              <w:spacing w:after="0"/>
              <w:rPr>
                <w:sz w:val="16"/>
                <w:szCs w:val="16"/>
                <w:color w:val="auto"/>
              </w:rPr>
            </w:pPr>
          </w:p>
        </w:tc>
      </w:tr>
      <w:tr>
        <w:trPr>
          <w:trHeight w:val="205"/>
        </w:trPr>
        <w:tc>
          <w:tcPr>
            <w:tcW w:w="140" w:type="dxa"/>
            <w:vAlign w:val="bottom"/>
          </w:tcPr>
          <w:p>
            <w:pPr>
              <w:spacing w:after="0"/>
              <w:rPr>
                <w:sz w:val="17"/>
                <w:szCs w:val="17"/>
                <w:color w:val="auto"/>
              </w:rPr>
            </w:pPr>
          </w:p>
        </w:tc>
        <w:tc>
          <w:tcPr>
            <w:tcW w:w="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98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140" w:type="dxa"/>
            <w:vAlign w:val="bottom"/>
          </w:tcPr>
          <w:p>
            <w:pPr>
              <w:spacing w:after="0"/>
              <w:rPr>
                <w:sz w:val="16"/>
                <w:szCs w:val="16"/>
                <w:color w:val="auto"/>
              </w:rPr>
            </w:pPr>
          </w:p>
        </w:tc>
        <w:tc>
          <w:tcPr>
            <w:tcW w:w="14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Authorized Person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6"/>
          </w:tcPr>
          <w:p>
            <w:pPr>
              <w:ind w:left="40"/>
              <w:spacing w:after="0" w:line="194" w:lineRule="exact"/>
              <w:rPr>
                <w:sz w:val="20"/>
                <w:szCs w:val="20"/>
                <w:color w:val="auto"/>
              </w:rPr>
            </w:pPr>
            <w:r>
              <w:rPr>
                <w:rFonts w:ascii="Times New Roman" w:cs="Times New Roman" w:eastAsia="Times New Roman" w:hAnsi="Times New Roman"/>
                <w:sz w:val="18"/>
                <w:szCs w:val="18"/>
                <w:color w:val="auto"/>
              </w:rPr>
              <w:t>Senior Project Manager</w:t>
            </w:r>
          </w:p>
        </w:tc>
      </w:tr>
      <w:tr>
        <w:trPr>
          <w:trHeight w:val="218"/>
        </w:trPr>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9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4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January 30, 2024</w:t>
            </w:r>
          </w:p>
        </w:tc>
        <w:tc>
          <w:tcPr>
            <w:tcW w:w="2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4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January 30, 2024</w:t>
            </w:r>
          </w:p>
        </w:tc>
      </w:tr>
      <w:tr>
        <w:trPr>
          <w:trHeight w:val="20"/>
        </w:trPr>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Date of Signing</w:t>
      </w:r>
      <w:r>
        <w:rPr>
          <w:sz w:val="20"/>
          <w:szCs w:val="20"/>
          <w:color w:val="auto"/>
        </w:rPr>
        <w:tab/>
      </w:r>
      <w:r>
        <w:rPr>
          <w:rFonts w:ascii="Times New Roman" w:cs="Times New Roman" w:eastAsia="Times New Roman" w:hAnsi="Times New Roman"/>
          <w:sz w:val="17"/>
          <w:szCs w:val="17"/>
          <w:color w:val="auto"/>
        </w:rPr>
        <w:t>Date of Signing</w:t>
      </w:r>
    </w:p>
    <w:p>
      <w:pPr>
        <w:sectPr>
          <w:pgSz w:w="11900" w:h="16838" w:orient="portrait"/>
          <w:cols w:equalWidth="0" w:num="1">
            <w:col w:w="11240"/>
          </w:cols>
          <w:pgMar w:left="320" w:top="833"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400" w:top="833"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ectPr>
          <w:pgSz w:w="11900" w:h="16838" w:orient="portrait"/>
          <w:cols w:equalWidth="0" w:num="1">
            <w:col w:w="11160"/>
          </w:cols>
          <w:pgMar w:left="400" w:top="833" w:right="339" w:bottom="1440" w:gutter="0" w:footer="0" w:header="0"/>
        </w:sectPr>
      </w:pPr>
    </w:p>
    <w:p>
      <w:pPr>
        <w:spacing w:after="0" w:line="3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p>
      <w:pPr>
        <w:spacing w:after="0" w:line="117" w:lineRule="exact"/>
        <w:rPr>
          <w:sz w:val="20"/>
          <w:szCs w:val="20"/>
          <w:color w:val="auto"/>
        </w:rPr>
      </w:pPr>
    </w:p>
    <w:p>
      <w:pPr>
        <w:ind w:lef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Agreement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Train 3</w:t>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440055</wp:posOffset>
            </wp:positionV>
            <wp:extent cx="538353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15,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ind w:right="1300"/>
        <w:spacing w:after="0" w:line="260" w:lineRule="auto"/>
        <w:rPr>
          <w:sz w:val="20"/>
          <w:szCs w:val="20"/>
          <w:color w:val="auto"/>
        </w:rPr>
      </w:pPr>
      <w:r>
        <w:rPr>
          <w:rFonts w:ascii="Times New Roman" w:cs="Times New Roman" w:eastAsia="Times New Roman" w:hAnsi="Times New Roman"/>
          <w:sz w:val="18"/>
          <w:szCs w:val="18"/>
          <w:color w:val="auto"/>
        </w:rPr>
        <w:t>Owner EC Number: EC00125 Contractor Change Number SCT3025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0" w:lineRule="exact"/>
        <w:rPr>
          <w:sz w:val="20"/>
          <w:szCs w:val="20"/>
          <w:color w:val="auto"/>
        </w:rPr>
      </w:pPr>
    </w:p>
    <w:p>
      <w:pPr>
        <w:spacing w:after="0" w:line="259"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TITLE: ATTACHMENT G –</w:t>
      </w:r>
    </w:p>
    <w:p>
      <w:pPr>
        <w:spacing w:after="0" w:line="31" w:lineRule="exact"/>
        <w:rPr>
          <w:sz w:val="20"/>
          <w:szCs w:val="20"/>
          <w:color w:val="auto"/>
        </w:rPr>
      </w:pPr>
    </w:p>
    <w:p>
      <w:pPr>
        <w:sectPr>
          <w:pgSz w:w="11900" w:h="16838" w:orient="portrait"/>
          <w:cols w:equalWidth="0" w:num="2">
            <w:col w:w="5660" w:space="620"/>
            <w:col w:w="4880"/>
          </w:cols>
          <w:pgMar w:left="400" w:top="833" w:right="339" w:bottom="1440" w:gutter="0" w:footer="0" w:header="0"/>
          <w:type w:val="continuous"/>
        </w:sectPr>
      </w:pPr>
    </w:p>
    <w:p>
      <w:pPr>
        <w:ind w:left="4380"/>
        <w:spacing w:after="0"/>
        <w:rPr>
          <w:sz w:val="20"/>
          <w:szCs w:val="20"/>
          <w:color w:val="auto"/>
        </w:rPr>
      </w:pPr>
      <w:r>
        <w:rPr>
          <w:rFonts w:ascii="Times New Roman" w:cs="Times New Roman" w:eastAsia="Times New Roman" w:hAnsi="Times New Roman"/>
          <w:sz w:val="18"/>
          <w:szCs w:val="18"/>
          <w:b w:val="1"/>
          <w:bCs w:val="1"/>
          <w:color w:val="auto"/>
        </w:rPr>
        <w:t>UPDATES AND ADDITIONS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56" w:lineRule="exact"/>
        <w:rPr>
          <w:sz w:val="20"/>
          <w:szCs w:val="20"/>
          <w:color w:val="auto"/>
        </w:rPr>
      </w:pPr>
    </w:p>
    <w:p>
      <w:pPr>
        <w:jc w:val="both"/>
        <w:ind w:left="60" w:right="240"/>
        <w:spacing w:after="0" w:line="266" w:lineRule="auto"/>
        <w:rPr>
          <w:sz w:val="20"/>
          <w:szCs w:val="20"/>
          <w:color w:val="auto"/>
        </w:rPr>
      </w:pPr>
      <w:r>
        <w:rPr>
          <w:rFonts w:ascii="Times New Roman" w:cs="Times New Roman" w:eastAsia="Times New Roman" w:hAnsi="Times New Roman"/>
          <w:sz w:val="18"/>
          <w:szCs w:val="18"/>
          <w:color w:val="auto"/>
        </w:rPr>
        <w:t>Pursuant to Section 2.4B. (Subcontracts and Sub-subcontracts) Contractor has notified Owner of requested editorial updates to Subcontractor names and additions of new Subcontractors to Attachment G (Approved Subcontractors and Sub-subcontractors) and Owner has agreed to the edits and additions.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52" w:lineRule="exact"/>
        <w:rPr>
          <w:sz w:val="20"/>
          <w:szCs w:val="20"/>
          <w:color w:val="auto"/>
        </w:rPr>
      </w:pPr>
    </w:p>
    <w:p>
      <w:pPr>
        <w:ind w:left="700" w:right="400" w:hanging="322"/>
        <w:spacing w:after="0" w:line="286" w:lineRule="auto"/>
        <w:tabs>
          <w:tab w:leader="none" w:pos="69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Attachment G (Approved Subcontractors and Sub-Subcontractors)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Attachment G as provided in Attachment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Change Order.</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Attachment 1: Attachment G (Approved Subcontractors and Sub-Subcontractors) as updated by this Change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13335</wp:posOffset>
            </wp:positionV>
            <wp:extent cx="51777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5177790" cy="17145"/>
                    </a:xfrm>
                    <a:prstGeom prst="rect">
                      <a:avLst/>
                    </a:prstGeom>
                    <a:noFill/>
                  </pic:spPr>
                </pic:pic>
              </a:graphicData>
            </a:graphic>
          </wp:anchor>
        </w:drawing>
      </w: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original Contract Price was  $3,042,334,000</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16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w w:val="96"/>
              </w:rPr>
              <w:t>$ 116,069,982</w:t>
            </w:r>
          </w:p>
        </w:tc>
        <w:tc>
          <w:tcPr>
            <w:tcW w:w="220" w:type="dxa"/>
            <w:vAlign w:val="bottom"/>
          </w:tcPr>
          <w:p>
            <w:pPr>
              <w:spacing w:after="0"/>
              <w:rPr>
                <w:sz w:val="22"/>
                <w:szCs w:val="22"/>
                <w:color w:val="auto"/>
              </w:rPr>
            </w:pPr>
          </w:p>
        </w:tc>
      </w:tr>
      <w:tr>
        <w:trPr>
          <w:trHeight w:val="201"/>
        </w:trPr>
        <w:tc>
          <w:tcPr>
            <w:tcW w:w="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3)</w:t>
            </w:r>
          </w:p>
        </w:tc>
        <w:tc>
          <w:tcPr>
            <w:tcW w:w="5420" w:type="dxa"/>
            <w:vAlign w:val="bottom"/>
          </w:tcPr>
          <w:p>
            <w:pPr>
              <w:ind w:left="140"/>
              <w:spacing w:after="0" w:line="201" w:lineRule="exact"/>
              <w:rPr>
                <w:sz w:val="20"/>
                <w:szCs w:val="20"/>
                <w:color w:val="auto"/>
              </w:rPr>
            </w:pPr>
            <w:r>
              <w:rPr>
                <w:rFonts w:ascii="Times New Roman" w:cs="Times New Roman" w:eastAsia="Times New Roman" w:hAnsi="Times New Roman"/>
                <w:sz w:val="18"/>
                <w:szCs w:val="18"/>
                <w:color w:val="auto"/>
              </w:rPr>
              <w:t>The Contract Price prior to this Change Order was  $3,158,403,982</w:t>
            </w: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84"/>
        </w:trPr>
        <w:tc>
          <w:tcPr>
            <w:tcW w:w="1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4)</w:t>
            </w:r>
          </w:p>
        </w:tc>
        <w:tc>
          <w:tcPr>
            <w:tcW w:w="7100" w:type="dxa"/>
            <w:vAlign w:val="bottom"/>
            <w:gridSpan w:val="4"/>
          </w:tcPr>
          <w:p>
            <w:pPr>
              <w:ind w:left="140"/>
              <w:spacing w:after="0" w:line="184" w:lineRule="exact"/>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220" w:type="dxa"/>
            <w:vAlign w:val="bottom"/>
          </w:tcPr>
          <w:p>
            <w:pPr>
              <w:spacing w:after="0"/>
              <w:rPr>
                <w:sz w:val="16"/>
                <w:szCs w:val="16"/>
                <w:color w:val="auto"/>
              </w:rPr>
            </w:pPr>
          </w:p>
        </w:tc>
      </w:tr>
      <w:tr>
        <w:trPr>
          <w:trHeight w:val="234"/>
        </w:trPr>
        <w:tc>
          <w:tcPr>
            <w:tcW w:w="180" w:type="dxa"/>
            <w:vAlign w:val="bottom"/>
          </w:tcPr>
          <w:p>
            <w:pPr>
              <w:spacing w:after="0"/>
              <w:rPr>
                <w:sz w:val="20"/>
                <w:szCs w:val="20"/>
                <w:color w:val="auto"/>
              </w:rPr>
            </w:pPr>
          </w:p>
        </w:tc>
        <w:tc>
          <w:tcPr>
            <w:tcW w:w="5420" w:type="dxa"/>
            <w:vAlign w:val="bottom"/>
          </w:tcPr>
          <w:p>
            <w:pPr>
              <w:ind w:left="60"/>
              <w:spacing w:after="0" w:line="234" w:lineRule="exact"/>
              <w:rPr>
                <w:sz w:val="20"/>
                <w:szCs w:val="20"/>
                <w:color w:val="auto"/>
              </w:rPr>
            </w:pPr>
            <w:r>
              <w:rPr>
                <w:rFonts w:ascii="Times New Roman" w:cs="Times New Roman" w:eastAsia="Times New Roman" w:hAnsi="Times New Roman"/>
                <w:sz w:val="18"/>
                <w:szCs w:val="18"/>
                <w:color w:val="auto"/>
                <w:w w:val="79"/>
              </w:rPr>
              <w:t xml:space="preserve">in the amount of </w:t>
            </w:r>
            <w:r>
              <w:rPr>
                <w:rFonts w:ascii="Times New Roman" w:cs="Times New Roman" w:eastAsia="Times New Roman" w:hAnsi="Times New Roman"/>
                <w:sz w:val="21"/>
                <w:szCs w:val="21"/>
                <w:color w:val="auto"/>
                <w:w w:val="79"/>
              </w:rPr>
              <w:t>.........................................................................................................</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84"/>
        </w:trPr>
        <w:tc>
          <w:tcPr>
            <w:tcW w:w="1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5)</w:t>
            </w:r>
          </w:p>
        </w:tc>
        <w:tc>
          <w:tcPr>
            <w:tcW w:w="7100" w:type="dxa"/>
            <w:vAlign w:val="bottom"/>
            <w:gridSpan w:val="4"/>
          </w:tcPr>
          <w:p>
            <w:pPr>
              <w:ind w:left="140"/>
              <w:spacing w:after="0" w:line="184" w:lineRule="exact"/>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unchanged</w:t>
            </w:r>
            <w:r>
              <w:rPr>
                <w:rFonts w:ascii="Times New Roman" w:cs="Times New Roman" w:eastAsia="Times New Roman" w:hAnsi="Times New Roman"/>
                <w:sz w:val="18"/>
                <w:szCs w:val="18"/>
                <w:color w:val="auto"/>
              </w:rPr>
              <w:t xml:space="preserve"> by this Change Order</w:t>
            </w:r>
          </w:p>
        </w:tc>
        <w:tc>
          <w:tcPr>
            <w:tcW w:w="220" w:type="dxa"/>
            <w:vAlign w:val="bottom"/>
          </w:tcPr>
          <w:p>
            <w:pPr>
              <w:spacing w:after="0"/>
              <w:rPr>
                <w:sz w:val="16"/>
                <w:szCs w:val="16"/>
                <w:color w:val="auto"/>
              </w:rPr>
            </w:pPr>
          </w:p>
        </w:tc>
      </w:tr>
      <w:tr>
        <w:trPr>
          <w:trHeight w:val="248"/>
        </w:trPr>
        <w:tc>
          <w:tcPr>
            <w:tcW w:w="180" w:type="dxa"/>
            <w:vAlign w:val="bottom"/>
          </w:tcPr>
          <w:p>
            <w:pPr>
              <w:spacing w:after="0"/>
              <w:rPr>
                <w:sz w:val="21"/>
                <w:szCs w:val="21"/>
                <w:color w:val="auto"/>
              </w:rPr>
            </w:pPr>
          </w:p>
        </w:tc>
        <w:tc>
          <w:tcPr>
            <w:tcW w:w="5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9"/>
              </w:rPr>
              <w:t xml:space="preserve">in the amount of </w:t>
            </w:r>
            <w:r>
              <w:rPr>
                <w:rFonts w:ascii="Times New Roman" w:cs="Times New Roman" w:eastAsia="Times New Roman" w:hAnsi="Times New Roman"/>
                <w:sz w:val="21"/>
                <w:szCs w:val="21"/>
                <w:color w:val="auto"/>
                <w:w w:val="79"/>
              </w:rPr>
              <w:t>........................................................................................................</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84"/>
        </w:trPr>
        <w:tc>
          <w:tcPr>
            <w:tcW w:w="1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6)</w:t>
            </w:r>
          </w:p>
        </w:tc>
        <w:tc>
          <w:tcPr>
            <w:tcW w:w="7100" w:type="dxa"/>
            <w:vAlign w:val="bottom"/>
            <w:gridSpan w:val="4"/>
          </w:tcPr>
          <w:p>
            <w:pPr>
              <w:ind w:left="140"/>
              <w:spacing w:after="0" w:line="184" w:lineRule="exact"/>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unchanged</w:t>
            </w:r>
          </w:p>
        </w:tc>
        <w:tc>
          <w:tcPr>
            <w:tcW w:w="220" w:type="dxa"/>
            <w:vAlign w:val="bottom"/>
          </w:tcPr>
          <w:p>
            <w:pPr>
              <w:spacing w:after="0"/>
              <w:rPr>
                <w:sz w:val="16"/>
                <w:szCs w:val="16"/>
                <w:color w:val="auto"/>
              </w:rPr>
            </w:pPr>
          </w:p>
        </w:tc>
      </w:tr>
      <w:tr>
        <w:trPr>
          <w:trHeight w:val="238"/>
        </w:trPr>
        <w:tc>
          <w:tcPr>
            <w:tcW w:w="180" w:type="dxa"/>
            <w:vAlign w:val="bottom"/>
          </w:tcPr>
          <w:p>
            <w:pPr>
              <w:spacing w:after="0"/>
              <w:rPr>
                <w:sz w:val="20"/>
                <w:szCs w:val="20"/>
                <w:color w:val="auto"/>
              </w:rPr>
            </w:pPr>
          </w:p>
        </w:tc>
        <w:tc>
          <w:tcPr>
            <w:tcW w:w="5420" w:type="dxa"/>
            <w:vAlign w:val="bottom"/>
          </w:tcPr>
          <w:p>
            <w:pPr>
              <w:ind w:left="60"/>
              <w:spacing w:after="0" w:line="238" w:lineRule="exact"/>
              <w:rPr>
                <w:sz w:val="20"/>
                <w:szCs w:val="20"/>
                <w:color w:val="auto"/>
              </w:rPr>
            </w:pPr>
            <w:r>
              <w:rPr>
                <w:rFonts w:ascii="Times New Roman" w:cs="Times New Roman" w:eastAsia="Times New Roman" w:hAnsi="Times New Roman"/>
                <w:sz w:val="18"/>
                <w:szCs w:val="18"/>
                <w:color w:val="auto"/>
                <w:w w:val="78"/>
              </w:rPr>
              <w:t>by this Change Order in the amount of</w:t>
            </w:r>
            <w:r>
              <w:rPr>
                <w:rFonts w:ascii="Times New Roman" w:cs="Times New Roman" w:eastAsia="Times New Roman" w:hAnsi="Times New Roman"/>
                <w:sz w:val="21"/>
                <w:szCs w:val="21"/>
                <w:color w:val="auto"/>
                <w:w w:val="78"/>
              </w:rPr>
              <w:t>............................................................................</w:t>
            </w: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1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The new Contract Price including this Change Order will be  $3,158,403,982</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-1259840</wp:posOffset>
            </wp:positionV>
            <wp:extent cx="6515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left="60" w:right="4520"/>
        <w:spacing w:after="0" w:line="273"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ectPr>
          <w:pgSz w:w="11900" w:h="16838" w:orient="portrait"/>
          <w:cols w:equalWidth="0" w:num="1">
            <w:col w:w="11160"/>
          </w:cols>
          <w:pgMar w:left="400" w:top="833" w:right="33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400" w:top="833" w:right="339" w:bottom="1440" w:gutter="0" w:footer="0" w:header="0"/>
          <w:type w:val="continuous"/>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32" w:lineRule="exact"/>
        <w:rPr>
          <w:sz w:val="20"/>
          <w:szCs w:val="20"/>
          <w:color w:val="auto"/>
        </w:rPr>
      </w:pPr>
    </w:p>
    <w:p>
      <w:pPr>
        <w:ind w:left="140" w:right="76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3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Impact on Payment Schedule (including, as applicable, Payment Milestones): N/A Impact on Maximum Cumulative</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Payment Schedule: N/A</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Impact on Minimum Acceptance Criteria: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Impact on Performance</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Guarantees: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Impact on Basis of Design: </w:t>
      </w:r>
      <w:r>
        <w:rPr>
          <w:rFonts w:ascii="Times New Roman" w:cs="Times New Roman" w:eastAsia="Times New Roman" w:hAnsi="Times New Roman"/>
          <w:sz w:val="18"/>
          <w:szCs w:val="18"/>
          <w:b w:val="1"/>
          <w:bCs w:val="1"/>
          <w:color w:val="auto"/>
        </w:rPr>
        <w:t>N/A</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Impact on the Total Reimbursement Amount: </w:t>
      </w:r>
      <w:r>
        <w:rPr>
          <w:rFonts w:ascii="Times New Roman" w:cs="Times New Roman" w:eastAsia="Times New Roman" w:hAnsi="Times New Roman"/>
          <w:sz w:val="18"/>
          <w:szCs w:val="18"/>
          <w:b w:val="1"/>
          <w:bCs w:val="1"/>
          <w:color w:val="auto"/>
        </w:rPr>
        <w:t>N/A</w:t>
      </w:r>
    </w:p>
    <w:p>
      <w:pPr>
        <w:spacing w:after="0" w:line="2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66" w:lineRule="exact"/>
        <w:rPr>
          <w:sz w:val="20"/>
          <w:szCs w:val="20"/>
          <w:color w:val="auto"/>
        </w:rPr>
      </w:pPr>
    </w:p>
    <w:p>
      <w:pPr>
        <w:ind w:left="140" w:right="240" w:hanging="5"/>
        <w:spacing w:after="0" w:line="286" w:lineRule="auto"/>
        <w:tabs>
          <w:tab w:leader="none" w:pos="59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99" w:lineRule="exact"/>
        <w:rPr>
          <w:sz w:val="20"/>
          <w:szCs w:val="20"/>
          <w:color w:val="auto"/>
        </w:rPr>
      </w:pPr>
    </w:p>
    <w:p>
      <w:pPr>
        <w:jc w:val="both"/>
        <w:ind w:left="140" w:right="24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auto"/>
          <w:strike w:val="1"/>
        </w:rPr>
        <w:t>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-364490</wp:posOffset>
            </wp:positionV>
            <wp:extent cx="51517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196" w:lineRule="exact"/>
        <w:rPr>
          <w:sz w:val="20"/>
          <w:szCs w:val="20"/>
          <w:color w:val="auto"/>
        </w:rPr>
      </w:pPr>
    </w:p>
    <w:p>
      <w:pPr>
        <w:jc w:val="both"/>
        <w:ind w:left="140" w:right="24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 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 Alex Thompson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8"/>
              </w:rPr>
              <w:t>/s/ Scott Osborne</w:t>
            </w:r>
          </w:p>
        </w:tc>
      </w:tr>
      <w:tr>
        <w:trPr>
          <w:trHeight w:val="232"/>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Owner</w:t>
            </w: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Contractor</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140" w:type="dxa"/>
            <w:vAlign w:val="bottom"/>
          </w:tcPr>
          <w:p>
            <w:pPr>
              <w:spacing w:after="0"/>
              <w:rPr>
                <w:sz w:val="16"/>
                <w:szCs w:val="16"/>
                <w:color w:val="auto"/>
              </w:rPr>
            </w:pPr>
          </w:p>
        </w:tc>
        <w:tc>
          <w:tcPr>
            <w:tcW w:w="13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rPr>
              <w:t>Alex Thompson</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rPr>
              <w:t>Scott Osborne</w:t>
            </w:r>
          </w:p>
        </w:tc>
        <w:tc>
          <w:tcPr>
            <w:tcW w:w="940" w:type="dxa"/>
            <w:vAlign w:val="bottom"/>
            <w:gridSpan w:val="2"/>
          </w:tcPr>
          <w:p>
            <w:pPr>
              <w:spacing w:after="0"/>
              <w:rPr>
                <w:sz w:val="16"/>
                <w:szCs w:val="16"/>
                <w:color w:val="auto"/>
              </w:rPr>
            </w:pPr>
          </w:p>
        </w:tc>
      </w:tr>
      <w:tr>
        <w:trPr>
          <w:trHeight w:val="205"/>
        </w:trPr>
        <w:tc>
          <w:tcPr>
            <w:tcW w:w="140" w:type="dxa"/>
            <w:vAlign w:val="bottom"/>
          </w:tcPr>
          <w:p>
            <w:pPr>
              <w:spacing w:after="0"/>
              <w:rPr>
                <w:sz w:val="17"/>
                <w:szCs w:val="17"/>
                <w:color w:val="auto"/>
              </w:rPr>
            </w:pPr>
          </w:p>
        </w:tc>
        <w:tc>
          <w:tcPr>
            <w:tcW w:w="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98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1620" w:type="dxa"/>
            <w:vAlign w:val="bottom"/>
            <w:gridSpan w:val="5"/>
          </w:tcPr>
          <w:p>
            <w:pPr>
              <w:ind w:left="140"/>
              <w:spacing w:after="0" w:line="194" w:lineRule="exact"/>
              <w:rPr>
                <w:sz w:val="20"/>
                <w:szCs w:val="20"/>
                <w:color w:val="auto"/>
              </w:rPr>
            </w:pPr>
            <w:r>
              <w:rPr>
                <w:rFonts w:ascii="Times New Roman" w:cs="Times New Roman" w:eastAsia="Times New Roman" w:hAnsi="Times New Roman"/>
                <w:sz w:val="18"/>
                <w:szCs w:val="18"/>
                <w:color w:val="auto"/>
              </w:rPr>
              <w:t>Authorized Person</w:t>
            </w:r>
          </w:p>
        </w:tc>
        <w:tc>
          <w:tcPr>
            <w:tcW w:w="40" w:type="dxa"/>
            <w:vAlign w:val="bottom"/>
          </w:tcPr>
          <w:p>
            <w:pPr>
              <w:spacing w:after="0"/>
              <w:rPr>
                <w:sz w:val="16"/>
                <w:szCs w:val="16"/>
                <w:color w:val="auto"/>
              </w:rPr>
            </w:pPr>
          </w:p>
        </w:tc>
        <w:tc>
          <w:tcPr>
            <w:tcW w:w="2140" w:type="dxa"/>
            <w:vAlign w:val="bottom"/>
            <w:gridSpan w:val="6"/>
          </w:tcPr>
          <w:p>
            <w:pPr>
              <w:ind w:left="180"/>
              <w:spacing w:after="0" w:line="194" w:lineRule="exact"/>
              <w:rPr>
                <w:sz w:val="20"/>
                <w:szCs w:val="20"/>
                <w:color w:val="auto"/>
              </w:rPr>
            </w:pPr>
            <w:r>
              <w:rPr>
                <w:rFonts w:ascii="Times New Roman" w:cs="Times New Roman" w:eastAsia="Times New Roman" w:hAnsi="Times New Roman"/>
                <w:sz w:val="18"/>
                <w:szCs w:val="18"/>
                <w:color w:val="auto"/>
              </w:rPr>
              <w:t>Senior Project Manager</w:t>
            </w:r>
          </w:p>
        </w:tc>
      </w:tr>
      <w:tr>
        <w:trPr>
          <w:trHeight w:val="218"/>
        </w:trPr>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9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4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January 30, 2024</w:t>
            </w:r>
          </w:p>
        </w:tc>
        <w:tc>
          <w:tcPr>
            <w:tcW w:w="2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January 30, 2024</w:t>
            </w:r>
          </w:p>
        </w:tc>
      </w:tr>
      <w:tr>
        <w:trPr>
          <w:trHeight w:val="20"/>
        </w:trPr>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Date of Signing</w:t>
      </w:r>
      <w:r>
        <w:rPr>
          <w:sz w:val="20"/>
          <w:szCs w:val="20"/>
          <w:color w:val="auto"/>
        </w:rPr>
        <w:tab/>
      </w:r>
      <w:r>
        <w:rPr>
          <w:rFonts w:ascii="Times New Roman" w:cs="Times New Roman" w:eastAsia="Times New Roman" w:hAnsi="Times New Roman"/>
          <w:sz w:val="17"/>
          <w:szCs w:val="17"/>
          <w:color w:val="auto"/>
        </w:rPr>
        <w:t>Date of Signing</w:t>
      </w:r>
    </w:p>
    <w:p>
      <w:pPr>
        <w:spacing w:after="0" w:line="200" w:lineRule="exact"/>
        <w:rPr>
          <w:sz w:val="20"/>
          <w:szCs w:val="20"/>
          <w:color w:val="auto"/>
        </w:rPr>
      </w:pPr>
    </w:p>
    <w:p>
      <w:pPr>
        <w:spacing w:after="0" w:line="3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33"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CHANGE ORDER</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use when the Parties mutually agree upon and execute the Change Order pursuant to Section 6.1D or 6.2C)</w:t>
      </w:r>
    </w:p>
    <w:p>
      <w:pPr>
        <w:sectPr>
          <w:pgSz w:w="11900" w:h="16838" w:orient="portrait"/>
          <w:cols w:equalWidth="0" w:num="1">
            <w:col w:w="11160"/>
          </w:cols>
          <w:pgMar w:left="400" w:top="833" w:right="339" w:bottom="1440" w:gutter="0" w:footer="0" w:header="0"/>
        </w:sectPr>
      </w:pPr>
    </w:p>
    <w:p>
      <w:pPr>
        <w:spacing w:after="0" w:line="3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PROJECT NAME: </w:t>
      </w:r>
      <w:r>
        <w:rPr>
          <w:rFonts w:ascii="Times New Roman" w:cs="Times New Roman" w:eastAsia="Times New Roman" w:hAnsi="Times New Roman"/>
          <w:sz w:val="18"/>
          <w:szCs w:val="18"/>
          <w:color w:val="auto"/>
        </w:rPr>
        <w:t>Rio Grande Natural Gas Liquefaction Facility</w:t>
      </w:r>
    </w:p>
    <w:p>
      <w:pPr>
        <w:spacing w:after="0" w:line="104" w:lineRule="exact"/>
        <w:rPr>
          <w:sz w:val="20"/>
          <w:szCs w:val="20"/>
          <w:color w:val="auto"/>
        </w:rPr>
      </w:pPr>
    </w:p>
    <w:p>
      <w:pPr>
        <w:ind w:lef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Amended and Restated Fixed Price Turnkey Agreement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Train 3</w:t>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OWNER: </w:t>
      </w:r>
      <w:r>
        <w:rPr>
          <w:rFonts w:ascii="Times New Roman" w:cs="Times New Roman" w:eastAsia="Times New Roman" w:hAnsi="Times New Roman"/>
          <w:sz w:val="18"/>
          <w:szCs w:val="18"/>
          <w:color w:val="auto"/>
        </w:rPr>
        <w:t>Rio Grande LNG, LLC</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Bechtel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448310</wp:posOffset>
            </wp:positionV>
            <wp:extent cx="53746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AGREEMENT: </w:t>
      </w:r>
      <w:r>
        <w:rPr>
          <w:rFonts w:ascii="Times New Roman" w:cs="Times New Roman" w:eastAsia="Times New Roman" w:hAnsi="Times New Roman"/>
          <w:sz w:val="18"/>
          <w:szCs w:val="18"/>
          <w:color w:val="auto"/>
        </w:rPr>
        <w:t>September 15,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ORDER NUMBER:</w:t>
      </w:r>
    </w:p>
    <w:p>
      <w:pPr>
        <w:spacing w:after="0" w:line="31" w:lineRule="exact"/>
        <w:rPr>
          <w:sz w:val="20"/>
          <w:szCs w:val="20"/>
          <w:color w:val="auto"/>
        </w:rPr>
      </w:pPr>
    </w:p>
    <w:p>
      <w:pPr>
        <w:ind w:right="1300"/>
        <w:spacing w:after="0" w:line="260" w:lineRule="auto"/>
        <w:rPr>
          <w:sz w:val="20"/>
          <w:szCs w:val="20"/>
          <w:color w:val="auto"/>
        </w:rPr>
      </w:pPr>
      <w:r>
        <w:rPr>
          <w:rFonts w:ascii="Times New Roman" w:cs="Times New Roman" w:eastAsia="Times New Roman" w:hAnsi="Times New Roman"/>
          <w:sz w:val="18"/>
          <w:szCs w:val="18"/>
          <w:color w:val="auto"/>
        </w:rPr>
        <w:t>Owner EC Number: EC00138 Contractor Change Number SCT3028</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CHANGE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2024</w:t>
      </w:r>
    </w:p>
    <w:p>
      <w:pPr>
        <w:spacing w:after="0" w:line="200" w:lineRule="exact"/>
        <w:rPr>
          <w:sz w:val="20"/>
          <w:szCs w:val="20"/>
          <w:color w:val="auto"/>
        </w:rPr>
      </w:pPr>
    </w:p>
    <w:p>
      <w:pPr>
        <w:spacing w:after="0" w:line="259"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TITLE: HRU SUBSTATION</w:t>
      </w:r>
    </w:p>
    <w:p>
      <w:pPr>
        <w:spacing w:after="0" w:line="31" w:lineRule="exact"/>
        <w:rPr>
          <w:sz w:val="20"/>
          <w:szCs w:val="20"/>
          <w:color w:val="auto"/>
        </w:rPr>
      </w:pPr>
    </w:p>
    <w:p>
      <w:pPr>
        <w:sectPr>
          <w:pgSz w:w="11900" w:h="16838" w:orient="portrait"/>
          <w:cols w:equalWidth="0" w:num="2">
            <w:col w:w="5660" w:space="620"/>
            <w:col w:w="4880"/>
          </w:cols>
          <w:pgMar w:left="400" w:top="833" w:right="339" w:bottom="1440" w:gutter="0" w:footer="0" w:header="0"/>
          <w:type w:val="continuous"/>
        </w:sectPr>
      </w:pPr>
    </w:p>
    <w:p>
      <w:pPr>
        <w:ind w:left="4940"/>
        <w:spacing w:after="0"/>
        <w:rPr>
          <w:sz w:val="20"/>
          <w:szCs w:val="20"/>
          <w:color w:val="auto"/>
        </w:rPr>
      </w:pPr>
      <w:r>
        <w:rPr>
          <w:rFonts w:ascii="Times New Roman" w:cs="Times New Roman" w:eastAsia="Times New Roman" w:hAnsi="Times New Roman"/>
          <w:sz w:val="18"/>
          <w:szCs w:val="18"/>
          <w:b w:val="1"/>
          <w:bCs w:val="1"/>
          <w:color w:val="auto"/>
        </w:rPr>
        <w:t>RELOCATION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The EPC Agreement between the Parties listed above is changed as follows: </w:t>
      </w:r>
      <w:r>
        <w:rPr>
          <w:rFonts w:ascii="Times New Roman" w:cs="Times New Roman" w:eastAsia="Times New Roman" w:hAnsi="Times New Roman"/>
          <w:sz w:val="18"/>
          <w:szCs w:val="18"/>
          <w:i w:val="1"/>
          <w:iCs w:val="1"/>
          <w:color w:val="auto"/>
        </w:rPr>
        <w:t>(attach additional documentation if necessary)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364" w:lineRule="exact"/>
        <w:rPr>
          <w:sz w:val="20"/>
          <w:szCs w:val="20"/>
          <w:color w:val="auto"/>
        </w:rPr>
      </w:pPr>
    </w:p>
    <w:p>
      <w:pPr>
        <w:jc w:val="both"/>
        <w:ind w:left="100" w:right="240"/>
        <w:spacing w:after="0" w:line="261" w:lineRule="auto"/>
        <w:rPr>
          <w:sz w:val="20"/>
          <w:szCs w:val="20"/>
          <w:color w:val="auto"/>
        </w:rPr>
      </w:pPr>
      <w:r>
        <w:rPr>
          <w:rFonts w:ascii="Times New Roman" w:cs="Times New Roman" w:eastAsia="Times New Roman" w:hAnsi="Times New Roman"/>
          <w:sz w:val="18"/>
          <w:szCs w:val="18"/>
          <w:color w:val="auto"/>
        </w:rPr>
        <w:t>Early design development placed the Heat Recovery Unit (HRU) substation in the southeast corner of the Train 1 ISBL and the Train 2 ISBL under the Trains 1 and 2 EPC Agreement. The project teams of both Owner and Contractor reviewed and approved this during the 30% design model reviews on March 20, 2020 and the unit plot plan was subsequently issued for construction on April 15, 2020 which formulated the basis for Train 1 and replicated trains including Train 3.</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231F20"/>
        </w:rPr>
        <w:t>[***]</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CHANGE</w:t>
      </w:r>
    </w:p>
    <w:p>
      <w:pPr>
        <w:spacing w:after="0" w:line="2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Contractor shall perform all Work necessary to incorporate the following design optimizations to support future facility Equipment.</w:t>
      </w:r>
    </w:p>
    <w:p>
      <w:pPr>
        <w:spacing w:after="0" w:line="252" w:lineRule="exact"/>
        <w:rPr>
          <w:sz w:val="20"/>
          <w:szCs w:val="20"/>
          <w:color w:val="auto"/>
        </w:rPr>
      </w:pPr>
    </w:p>
    <w:p>
      <w:pPr>
        <w:ind w:left="440" w:hanging="309"/>
        <w:spacing w:after="0"/>
        <w:tabs>
          <w:tab w:leader="none" w:pos="4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Train 3 HRU Substation (3SS-1752)</w:t>
      </w:r>
    </w:p>
    <w:p>
      <w:pPr>
        <w:spacing w:after="0" w:line="27" w:lineRule="exact"/>
        <w:rPr>
          <w:rFonts w:ascii="Times New Roman" w:cs="Times New Roman" w:eastAsia="Times New Roman" w:hAnsi="Times New Roman"/>
          <w:sz w:val="18"/>
          <w:szCs w:val="18"/>
          <w:color w:val="auto"/>
        </w:rPr>
      </w:pPr>
    </w:p>
    <w:p>
      <w:pPr>
        <w:ind w:left="460" w:right="240" w:firstLine="1"/>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Attachment 1 – Red-Line Mark-Up of DWG RG-BL-100-PIP-PP-00001; Unit Plot Plan LNG Train 1 and Attachment 2 – Red-Line Mark-Up of DWG RG-BL-000-PIP-PP-00016; Unit Plot Plan South Corridor 1. Note, these attachments are representative for Train 3:</w:t>
      </w: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HRU Substation as indicated in Attachment 1 and Attachment 2 to this Change Order.</w:t>
      </w:r>
    </w:p>
    <w:p>
      <w:pPr>
        <w:spacing w:after="0" w:line="9" w:lineRule="exact"/>
        <w:rPr>
          <w:rFonts w:ascii="Times New Roman" w:cs="Times New Roman" w:eastAsia="Times New Roman" w:hAnsi="Times New Roman"/>
          <w:sz w:val="18"/>
          <w:szCs w:val="18"/>
          <w:color w:val="auto"/>
        </w:rPr>
      </w:pPr>
    </w:p>
    <w:p>
      <w:pPr>
        <w:ind w:left="1100" w:right="240" w:hanging="131"/>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space (Approx. 122’ x 183’) in the southeast corner of Train 3 for future EFG/NRU Equipment. Note, the suitability of available space to be determined and the necessary set-back from the road must be maintained.</w:t>
      </w:r>
    </w:p>
    <w:p>
      <w:pPr>
        <w:spacing w:after="0" w:line="163" w:lineRule="exact"/>
        <w:rPr>
          <w:rFonts w:ascii="Times New Roman" w:cs="Times New Roman" w:eastAsia="Times New Roman" w:hAnsi="Times New Roman"/>
          <w:sz w:val="18"/>
          <w:szCs w:val="18"/>
          <w:color w:val="auto"/>
        </w:rPr>
      </w:pPr>
    </w:p>
    <w:p>
      <w:pPr>
        <w:ind w:left="460" w:right="240" w:hanging="326"/>
        <w:spacing w:after="0" w:line="286" w:lineRule="auto"/>
        <w:tabs>
          <w:tab w:leader="none" w:pos="44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Appendix 1 (Contract Price Breakdown)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Appendix 1 (Contract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Breakdown) as provided in Attachment 3 to this Change Order.</w:t>
      </w:r>
    </w:p>
    <w:p>
      <w:pPr>
        <w:spacing w:after="0" w:line="46" w:lineRule="exact"/>
        <w:rPr>
          <w:rFonts w:ascii="Times New Roman" w:cs="Times New Roman" w:eastAsia="Times New Roman" w:hAnsi="Times New Roman"/>
          <w:sz w:val="18"/>
          <w:szCs w:val="18"/>
          <w:color w:val="auto"/>
        </w:rPr>
      </w:pPr>
    </w:p>
    <w:p>
      <w:pPr>
        <w:ind w:left="460" w:right="640" w:hanging="324"/>
        <w:spacing w:after="0" w:line="281" w:lineRule="auto"/>
        <w:tabs>
          <w:tab w:leader="none" w:pos="45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First Amended Attachment C, First Amended Schedule C-2 (Payment Milestones)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updated per the C-2 Payment Milestones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Attachment 4 to this Change Order.</w:t>
      </w:r>
    </w:p>
    <w:p>
      <w:pPr>
        <w:spacing w:after="0" w:line="1" w:lineRule="exact"/>
        <w:rPr>
          <w:rFonts w:ascii="Times New Roman" w:cs="Times New Roman" w:eastAsia="Times New Roman" w:hAnsi="Times New Roman"/>
          <w:sz w:val="18"/>
          <w:szCs w:val="18"/>
          <w:color w:val="auto"/>
        </w:rPr>
      </w:pPr>
    </w:p>
    <w:p>
      <w:pPr>
        <w:ind w:left="460" w:right="2760" w:hanging="324"/>
        <w:spacing w:after="0" w:line="286" w:lineRule="auto"/>
        <w:tabs>
          <w:tab w:leader="none" w:pos="45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First Amended Attachment C, First Amended Schedule C-3 (Maximum Cumulative Payment Schedule) </w:t>
      </w:r>
      <w:r>
        <w:rPr>
          <w:rFonts w:ascii="Times New Roman" w:cs="Times New Roman" w:eastAsia="Times New Roman" w:hAnsi="Times New Roman"/>
          <w:sz w:val="18"/>
          <w:szCs w:val="18"/>
          <w:color w:val="auto"/>
        </w:rPr>
        <w:t>shall be updated per the Schedule C-3 as provided in Attachment 5 to this Change Order.</w:t>
      </w:r>
    </w:p>
    <w:p>
      <w:pPr>
        <w:sectPr>
          <w:pgSz w:w="11900" w:h="16838" w:orient="portrait"/>
          <w:cols w:equalWidth="0" w:num="1">
            <w:col w:w="11160"/>
          </w:cols>
          <w:pgMar w:left="400" w:top="8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160"/>
          </w:cols>
          <w:pgMar w:left="400" w:top="833" w:right="339" w:bottom="1440" w:gutter="0" w:footer="0" w:header="0"/>
          <w:type w:val="continuous"/>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to support this Change Order:</w:t>
      </w:r>
    </w:p>
    <w:p>
      <w:pPr>
        <w:spacing w:after="0" w:line="27" w:lineRule="exact"/>
        <w:rPr>
          <w:sz w:val="20"/>
          <w:szCs w:val="20"/>
          <w:color w:val="auto"/>
        </w:rPr>
      </w:pPr>
    </w:p>
    <w:p>
      <w:pPr>
        <w:ind w:left="620" w:right="1020"/>
        <w:spacing w:after="0" w:line="250" w:lineRule="auto"/>
        <w:rPr>
          <w:sz w:val="20"/>
          <w:szCs w:val="20"/>
          <w:color w:val="auto"/>
        </w:rPr>
      </w:pPr>
      <w:r>
        <w:rPr>
          <w:rFonts w:ascii="Times New Roman" w:cs="Times New Roman" w:eastAsia="Times New Roman" w:hAnsi="Times New Roman"/>
          <w:sz w:val="18"/>
          <w:szCs w:val="18"/>
          <w:color w:val="auto"/>
        </w:rPr>
        <w:t>Attachment 1 – Red-Line Mark-Up of DWG RG-BL-100-PIP-PP-00001; Unit Plot Plan LNG Train 1 (representative for Train 3) Attachment 2 – Red-Line Mark-Up of DWG RG-BL-000-PIP-PP-00016; Unit Plot Plan South Corridor 1 (representative for Train 3) Attachment 3 – First Amended Appendix 1 (Contract Price Breakdown), as updated by this Change Order Attachment 4 – First Amended Schedule C-2 (Payment Milestones), as updated by this Change Order</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Attachment 5 – First Amended Schedule C-3 (Maximum Cumulative Payment Schedule), as updated by this Change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51689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56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Adjustment to Contract Price</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400" w:type="dxa"/>
            <w:vAlign w:val="bottom"/>
            <w:gridSpan w:val="9"/>
          </w:tcPr>
          <w:p>
            <w:pPr>
              <w:ind w:left="120"/>
              <w:spacing w:after="0" w:line="194" w:lineRule="exact"/>
              <w:rPr>
                <w:sz w:val="20"/>
                <w:szCs w:val="20"/>
                <w:color w:val="auto"/>
              </w:rPr>
            </w:pPr>
            <w:r>
              <w:rPr>
                <w:rFonts w:ascii="Times New Roman" w:cs="Times New Roman" w:eastAsia="Times New Roman" w:hAnsi="Times New Roman"/>
                <w:sz w:val="18"/>
                <w:szCs w:val="18"/>
                <w:color w:val="auto"/>
              </w:rPr>
              <w:t>The original Contract Price was  $3,042,334,000</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5400" w:type="dxa"/>
            <w:vAlign w:val="bottom"/>
            <w:gridSpan w:val="9"/>
          </w:tcPr>
          <w:p>
            <w:pPr>
              <w:ind w:left="120"/>
              <w:spacing w:after="0" w:line="196" w:lineRule="exact"/>
              <w:rPr>
                <w:sz w:val="20"/>
                <w:szCs w:val="20"/>
                <w:color w:val="auto"/>
              </w:rPr>
            </w:pPr>
            <w:r>
              <w:rPr>
                <w:rFonts w:ascii="Times New Roman" w:cs="Times New Roman" w:eastAsia="Times New Roman" w:hAnsi="Times New Roman"/>
                <w:sz w:val="18"/>
                <w:szCs w:val="18"/>
                <w:color w:val="auto"/>
              </w:rPr>
              <w:t>Net change by previously authorized Change Orders (See Appendix 1)</w:t>
            </w:r>
          </w:p>
        </w:tc>
        <w:tc>
          <w:tcPr>
            <w:tcW w:w="9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116,069,982</w:t>
            </w:r>
          </w:p>
        </w:tc>
        <w:tc>
          <w:tcPr>
            <w:tcW w:w="0" w:type="dxa"/>
            <w:vAlign w:val="bottom"/>
          </w:tcPr>
          <w:p>
            <w:pPr>
              <w:spacing w:after="0"/>
              <w:rPr>
                <w:sz w:val="1"/>
                <w:szCs w:val="1"/>
                <w:color w:val="auto"/>
              </w:rPr>
            </w:pPr>
          </w:p>
        </w:tc>
      </w:tr>
      <w:tr>
        <w:trPr>
          <w:trHeight w:val="183"/>
        </w:trPr>
        <w:tc>
          <w:tcPr>
            <w:tcW w:w="2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w:t>
            </w:r>
          </w:p>
        </w:tc>
        <w:tc>
          <w:tcPr>
            <w:tcW w:w="5400" w:type="dxa"/>
            <w:vAlign w:val="bottom"/>
            <w:gridSpan w:val="9"/>
          </w:tcPr>
          <w:p>
            <w:pPr>
              <w:ind w:left="120"/>
              <w:spacing w:after="0" w:line="182" w:lineRule="exact"/>
              <w:rPr>
                <w:sz w:val="20"/>
                <w:szCs w:val="20"/>
                <w:color w:val="auto"/>
              </w:rPr>
            </w:pPr>
            <w:r>
              <w:rPr>
                <w:rFonts w:ascii="Times New Roman" w:cs="Times New Roman" w:eastAsia="Times New Roman" w:hAnsi="Times New Roman"/>
                <w:sz w:val="18"/>
                <w:szCs w:val="18"/>
                <w:color w:val="auto"/>
              </w:rPr>
              <w:t xml:space="preserve">The Contract Price prior to this Change Order was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3,158,403,982</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w:t>
            </w:r>
          </w:p>
        </w:tc>
        <w:tc>
          <w:tcPr>
            <w:tcW w:w="30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0" w:type="dxa"/>
            <w:vAlign w:val="bottom"/>
            <w:vMerge w:val="continue"/>
          </w:tcPr>
          <w:p>
            <w:pPr>
              <w:spacing w:after="0"/>
              <w:rPr>
                <w:sz w:val="16"/>
                <w:szCs w:val="16"/>
                <w:color w:val="auto"/>
              </w:rPr>
            </w:pPr>
          </w:p>
        </w:tc>
        <w:tc>
          <w:tcPr>
            <w:tcW w:w="5400" w:type="dxa"/>
            <w:vAlign w:val="bottom"/>
            <w:gridSpan w:val="9"/>
          </w:tcPr>
          <w:p>
            <w:pPr>
              <w:ind w:left="120"/>
              <w:spacing w:after="0" w:line="191" w:lineRule="exact"/>
              <w:rPr>
                <w:sz w:val="20"/>
                <w:szCs w:val="20"/>
                <w:color w:val="auto"/>
              </w:rPr>
            </w:pPr>
            <w:r>
              <w:rPr>
                <w:rFonts w:ascii="Times New Roman" w:cs="Times New Roman" w:eastAsia="Times New Roman" w:hAnsi="Times New Roman"/>
                <w:sz w:val="18"/>
                <w:szCs w:val="18"/>
                <w:color w:val="auto"/>
              </w:rPr>
              <w:t xml:space="preserve">The Aggregate Equipment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the amount of</w:t>
            </w: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38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 xml:space="preserve">The Aggregate Labor and Skills Price will be </w:t>
            </w:r>
            <w:r>
              <w:rPr>
                <w:rFonts w:ascii="Times New Roman" w:cs="Times New Roman" w:eastAsia="Times New Roman" w:hAnsi="Times New Roman"/>
                <w:sz w:val="18"/>
                <w:szCs w:val="18"/>
                <w:b w:val="1"/>
                <w:bCs w:val="1"/>
                <w:color w:val="auto"/>
              </w:rPr>
              <w:t>increased</w:t>
            </w:r>
            <w:r>
              <w:rPr>
                <w:rFonts w:ascii="Times New Roman" w:cs="Times New Roman" w:eastAsia="Times New Roman" w:hAnsi="Times New Roman"/>
                <w:sz w:val="18"/>
                <w:szCs w:val="18"/>
                <w:color w:val="auto"/>
              </w:rPr>
              <w:t xml:space="preserve"> by this Change Order</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the amount of</w:t>
            </w: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6)</w:t>
            </w:r>
          </w:p>
        </w:tc>
        <w:tc>
          <w:tcPr>
            <w:tcW w:w="6380" w:type="dxa"/>
            <w:vAlign w:val="bottom"/>
            <w:gridSpan w:val="11"/>
          </w:tcPr>
          <w:p>
            <w:pPr>
              <w:ind w:left="120"/>
              <w:spacing w:after="0" w:line="193" w:lineRule="exact"/>
              <w:rPr>
                <w:sz w:val="20"/>
                <w:szCs w:val="20"/>
                <w:color w:val="auto"/>
              </w:rPr>
            </w:pPr>
            <w:r>
              <w:rPr>
                <w:rFonts w:ascii="Times New Roman" w:cs="Times New Roman" w:eastAsia="Times New Roman" w:hAnsi="Times New Roman"/>
                <w:sz w:val="18"/>
                <w:szCs w:val="18"/>
                <w:color w:val="auto"/>
              </w:rPr>
              <w:t xml:space="preserve">The total Aggregate Equipment, Labor and Skills Price will be </w:t>
            </w:r>
            <w:r>
              <w:rPr>
                <w:rFonts w:ascii="Times New Roman" w:cs="Times New Roman" w:eastAsia="Times New Roman" w:hAnsi="Times New Roman"/>
                <w:sz w:val="18"/>
                <w:szCs w:val="18"/>
                <w:b w:val="1"/>
                <w:bCs w:val="1"/>
                <w:color w:val="auto"/>
              </w:rPr>
              <w:t>increased</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5400" w:type="dxa"/>
            <w:vAlign w:val="bottom"/>
            <w:gridSpan w:val="9"/>
          </w:tcPr>
          <w:p>
            <w:pPr>
              <w:ind w:left="40"/>
              <w:spacing w:after="0" w:line="194" w:lineRule="exact"/>
              <w:rPr>
                <w:sz w:val="20"/>
                <w:szCs w:val="20"/>
                <w:color w:val="auto"/>
              </w:rPr>
            </w:pPr>
            <w:r>
              <w:rPr>
                <w:rFonts w:ascii="Times New Roman" w:cs="Times New Roman" w:eastAsia="Times New Roman" w:hAnsi="Times New Roman"/>
                <w:sz w:val="18"/>
                <w:szCs w:val="18"/>
                <w:color w:val="auto"/>
              </w:rPr>
              <w:t>by this Change Order in the amount of  $2,161,500</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380" w:type="dxa"/>
            <w:vAlign w:val="bottom"/>
            <w:gridSpan w:val="11"/>
          </w:tcPr>
          <w:p>
            <w:pPr>
              <w:ind w:left="120"/>
              <w:spacing w:after="0" w:line="196" w:lineRule="exact"/>
              <w:rPr>
                <w:sz w:val="20"/>
                <w:szCs w:val="20"/>
                <w:color w:val="auto"/>
              </w:rPr>
            </w:pPr>
            <w:r>
              <w:rPr>
                <w:rFonts w:ascii="Times New Roman" w:cs="Times New Roman" w:eastAsia="Times New Roman" w:hAnsi="Times New Roman"/>
                <w:sz w:val="18"/>
                <w:szCs w:val="18"/>
                <w:color w:val="auto"/>
              </w:rPr>
              <w:t>The new Contract Price including this Change Order will be  $3,160,565,482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Adjustment to Key Dates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following Key Dates are modified </w:t>
      </w:r>
      <w:r>
        <w:rPr>
          <w:rFonts w:ascii="Times New Roman" w:cs="Times New Roman" w:eastAsia="Times New Roman" w:hAnsi="Times New Roman"/>
          <w:sz w:val="18"/>
          <w:szCs w:val="18"/>
          <w:i w:val="1"/>
          <w:iCs w:val="1"/>
          <w:color w:val="auto"/>
        </w:rPr>
        <w:t>(list all Key Dates modified; insert N/A if no Key Dates modified)</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Key Date for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jc w:val="both"/>
        <w:ind w:left="140" w:right="4520"/>
        <w:spacing w:after="0" w:line="290" w:lineRule="auto"/>
        <w:rPr>
          <w:sz w:val="20"/>
          <w:szCs w:val="20"/>
          <w:color w:val="auto"/>
        </w:rPr>
      </w:pPr>
      <w:r>
        <w:rPr>
          <w:rFonts w:ascii="Times New Roman" w:cs="Times New Roman" w:eastAsia="Times New Roman" w:hAnsi="Times New Roman"/>
          <w:sz w:val="17"/>
          <w:szCs w:val="17"/>
          <w:color w:val="auto"/>
        </w:rPr>
        <w:t xml:space="preserve">The Key Date for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as of the date of this Change Order therefore is </w:t>
      </w:r>
      <w:r>
        <w:rPr>
          <w:rFonts w:ascii="Times New Roman" w:cs="Times New Roman" w:eastAsia="Times New Roman" w:hAnsi="Times New Roman"/>
          <w:sz w:val="17"/>
          <w:szCs w:val="17"/>
          <w:b w:val="1"/>
          <w:bCs w:val="1"/>
          <w:color w:val="auto"/>
        </w:rPr>
        <w:t>N/A</w:t>
      </w:r>
      <w:r>
        <w:rPr>
          <w:rFonts w:ascii="Times New Roman" w:cs="Times New Roman" w:eastAsia="Times New Roman" w:hAnsi="Times New Roman"/>
          <w:sz w:val="17"/>
          <w:szCs w:val="17"/>
          <w:color w:val="auto"/>
        </w:rPr>
        <w:t xml:space="preserve"> Days after NTP. </w:t>
      </w:r>
      <w:r>
        <w:rPr>
          <w:rFonts w:ascii="Times New Roman" w:cs="Times New Roman" w:eastAsia="Times New Roman" w:hAnsi="Times New Roman"/>
          <w:sz w:val="17"/>
          <w:szCs w:val="17"/>
          <w:i w:val="1"/>
          <w:iCs w:val="1"/>
          <w:color w:val="auto"/>
        </w:rPr>
        <w:t>(list all Key Dates that are modified by this Change Order using the format set forth above)</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will be (increased)(decreased) by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The Guaranteed Date of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as of the effective date of this Change Order therefore is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xml:space="preserve"> Days after NTP.</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(list all Guaranteed Dates that are modified by this Change Order using the format set forth above)</w:t>
      </w:r>
    </w:p>
    <w:p>
      <w:pPr>
        <w:spacing w:after="0" w:line="247" w:lineRule="exact"/>
        <w:rPr>
          <w:sz w:val="20"/>
          <w:szCs w:val="20"/>
          <w:color w:val="auto"/>
        </w:rPr>
      </w:pPr>
    </w:p>
    <w:p>
      <w:pPr>
        <w:ind w:left="140" w:right="760"/>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Change Order is an updated Schedule E-1 which shall reflect and highlight any adjustment(s) to the Key Dates agreed to in this Change Order. </w:t>
      </w:r>
      <w:r>
        <w:rPr>
          <w:rFonts w:ascii="Times New Roman" w:cs="Times New Roman" w:eastAsia="Times New Roman" w:hAnsi="Times New Roman"/>
          <w:sz w:val="18"/>
          <w:szCs w:val="18"/>
          <w:b w:val="1"/>
          <w:bCs w:val="1"/>
          <w:color w:val="auto"/>
        </w:rPr>
        <w:t>N/A</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to other Changed Criteria </w:t>
      </w:r>
      <w:r>
        <w:rPr>
          <w:rFonts w:ascii="Times New Roman" w:cs="Times New Roman" w:eastAsia="Times New Roman" w:hAnsi="Times New Roman"/>
          <w:sz w:val="18"/>
          <w:szCs w:val="18"/>
          <w:i w:val="1"/>
          <w:iCs w:val="1"/>
          <w:color w:val="auto"/>
        </w:rPr>
        <w:t>(insert N/A if no changes or impact; attach additional documentation if necessary)</w:t>
      </w:r>
    </w:p>
    <w:p>
      <w:pPr>
        <w:spacing w:after="0" w:line="3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Impact on Payment Schedule (including, as applicable, Payment Milestones): </w:t>
      </w:r>
      <w:r>
        <w:rPr>
          <w:rFonts w:ascii="Times New Roman" w:cs="Times New Roman" w:eastAsia="Times New Roman" w:hAnsi="Times New Roman"/>
          <w:sz w:val="18"/>
          <w:szCs w:val="18"/>
          <w:color w:val="auto"/>
        </w:rPr>
        <w:t>The Schedule C-2 (Payment</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Milestones) is updated as provided in Attachment 4. </w:t>
      </w:r>
      <w:r>
        <w:rPr>
          <w:rFonts w:ascii="Times New Roman" w:cs="Times New Roman" w:eastAsia="Times New Roman" w:hAnsi="Times New Roman"/>
          <w:sz w:val="18"/>
          <w:szCs w:val="18"/>
          <w:b w:val="1"/>
          <w:bCs w:val="1"/>
          <w:color w:val="auto"/>
        </w:rPr>
        <w:t>Impact on Maximum Cumulative Payment Schedule:</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Schedule C-3 (Maximum Cumulative Payment Schedule) is updated as provided in Attachment 5. Impact on Minimum Acceptance</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Criteria: </w:t>
      </w:r>
      <w:r>
        <w:rPr>
          <w:rFonts w:ascii="Times New Roman" w:cs="Times New Roman" w:eastAsia="Times New Roman" w:hAnsi="Times New Roman"/>
          <w:sz w:val="18"/>
          <w:szCs w:val="18"/>
          <w:b w:val="1"/>
          <w:bCs w:val="1"/>
          <w:color w:val="auto"/>
        </w:rPr>
        <w:t>N/A</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Impact on Performance Guarantees: </w:t>
      </w:r>
      <w:r>
        <w:rPr>
          <w:rFonts w:ascii="Times New Roman" w:cs="Times New Roman" w:eastAsia="Times New Roman" w:hAnsi="Times New Roman"/>
          <w:sz w:val="18"/>
          <w:szCs w:val="18"/>
          <w:b w:val="1"/>
          <w:bCs w:val="1"/>
          <w:color w:val="auto"/>
        </w:rPr>
        <w:t>N/A</w:t>
      </w:r>
    </w:p>
    <w:p>
      <w:pPr>
        <w:spacing w:after="0" w:line="2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Impact on Basis of Design: </w:t>
      </w:r>
      <w:r>
        <w:rPr>
          <w:rFonts w:ascii="Times New Roman" w:cs="Times New Roman" w:eastAsia="Times New Roman" w:hAnsi="Times New Roman"/>
          <w:sz w:val="18"/>
          <w:szCs w:val="18"/>
          <w:b w:val="1"/>
          <w:bCs w:val="1"/>
          <w:color w:val="auto"/>
        </w:rPr>
        <w:t>N/A</w:t>
      </w:r>
    </w:p>
    <w:p>
      <w:pPr>
        <w:sectPr>
          <w:pgSz w:w="11900" w:h="16838" w:orient="portrait"/>
          <w:cols w:equalWidth="0" w:num="1">
            <w:col w:w="11240"/>
          </w:cols>
          <w:pgMar w:left="320" w:top="833" w:right="339" w:bottom="1440" w:gutter="0" w:footer="0" w:header="0"/>
        </w:sectPr>
      </w:pPr>
    </w:p>
    <w:p>
      <w:pPr>
        <w:spacing w:after="0" w:line="387" w:lineRule="exact"/>
        <w:rPr>
          <w:sz w:val="20"/>
          <w:szCs w:val="20"/>
          <w:color w:val="auto"/>
        </w:rPr>
      </w:pPr>
    </w:p>
    <w:p>
      <w:pPr>
        <w:ind w:left="8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833" w:right="339" w:bottom="1440" w:gutter="0" w:footer="0" w:header="0"/>
          <w:type w:val="continuous"/>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Impact on the Total Reimbursement Amount: </w:t>
      </w:r>
      <w:r>
        <w:rPr>
          <w:rFonts w:ascii="Times New Roman" w:cs="Times New Roman" w:eastAsia="Times New Roman" w:hAnsi="Times New Roman"/>
          <w:sz w:val="18"/>
          <w:szCs w:val="18"/>
          <w:b w:val="1"/>
          <w:bCs w:val="1"/>
          <w:color w:val="auto"/>
        </w:rPr>
        <w:t>N/A</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Any other impacts to obligation or potential liability of Contractor or Owner under the EPC Agreement: </w:t>
      </w:r>
      <w:r>
        <w:rPr>
          <w:rFonts w:ascii="Times New Roman" w:cs="Times New Roman" w:eastAsia="Times New Roman" w:hAnsi="Times New Roman"/>
          <w:sz w:val="18"/>
          <w:szCs w:val="18"/>
          <w:b w:val="1"/>
          <w:bCs w:val="1"/>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60"/>
          </w:cols>
          <w:pgMar w:left="400" w:top="833"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74" w:lineRule="exact"/>
        <w:rPr>
          <w:sz w:val="20"/>
          <w:szCs w:val="20"/>
          <w:color w:val="auto"/>
        </w:rPr>
      </w:pPr>
    </w:p>
    <w:p>
      <w:pPr>
        <w:ind w:left="140" w:right="240" w:hanging="7"/>
        <w:spacing w:after="0" w:line="286" w:lineRule="auto"/>
        <w:tabs>
          <w:tab w:leader="none" w:pos="59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Change Order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constitute a full and final settlement and accord and satisfaction of all effects of the changes reflected in this Change Order upon the Change Criteria and </w:t>
      </w:r>
      <w:r>
        <w:rPr>
          <w:rFonts w:ascii="Times New Roman" w:cs="Times New Roman" w:eastAsia="Times New Roman" w:hAnsi="Times New Roman"/>
          <w:sz w:val="18"/>
          <w:szCs w:val="18"/>
          <w:b w:val="1"/>
          <w:bCs w:val="1"/>
          <w:color w:val="auto"/>
        </w:rPr>
        <w:t>shall</w:t>
      </w:r>
      <w:r>
        <w:rPr>
          <w:rFonts w:ascii="Times New Roman" w:cs="Times New Roman" w:eastAsia="Times New Roman" w:hAnsi="Times New Roman"/>
          <w:sz w:val="18"/>
          <w:szCs w:val="18"/>
          <w:color w:val="auto"/>
        </w:rPr>
        <w:t xml:space="preserve"> be deemed to compensate Contractor fully for such change. Initials: </w:t>
      </w:r>
      <w:r>
        <w:rPr>
          <w:rFonts w:ascii="Times New Roman" w:cs="Times New Roman" w:eastAsia="Times New Roman" w:hAnsi="Times New Roman"/>
          <w:sz w:val="18"/>
          <w:szCs w:val="18"/>
          <w:u w:val="single" w:color="auto"/>
          <w:color w:val="auto"/>
        </w:rPr>
        <w:t>SFO</w:t>
      </w:r>
      <w:r>
        <w:rPr>
          <w:rFonts w:ascii="Times New Roman" w:cs="Times New Roman" w:eastAsia="Times New Roman" w:hAnsi="Times New Roman"/>
          <w:sz w:val="18"/>
          <w:szCs w:val="18"/>
          <w:color w:val="auto"/>
        </w:rPr>
        <w:t xml:space="preserve"> Contractor </w:t>
      </w:r>
      <w:r>
        <w:rPr>
          <w:rFonts w:ascii="Times New Roman" w:cs="Times New Roman" w:eastAsia="Times New Roman" w:hAnsi="Times New Roman"/>
          <w:sz w:val="18"/>
          <w:szCs w:val="18"/>
          <w:u w:val="single" w:color="auto"/>
          <w:color w:val="auto"/>
        </w:rPr>
        <w:t>AT</w:t>
      </w:r>
      <w:r>
        <w:rPr>
          <w:rFonts w:ascii="Times New Roman" w:cs="Times New Roman" w:eastAsia="Times New Roman" w:hAnsi="Times New Roman"/>
          <w:sz w:val="18"/>
          <w:szCs w:val="18"/>
          <w:color w:val="auto"/>
        </w:rPr>
        <w:t xml:space="preserve"> Owner</w:t>
      </w:r>
    </w:p>
    <w:p>
      <w:pPr>
        <w:spacing w:after="0" w:line="199" w:lineRule="exact"/>
        <w:rPr>
          <w:sz w:val="20"/>
          <w:szCs w:val="20"/>
          <w:color w:val="auto"/>
        </w:rPr>
      </w:pPr>
    </w:p>
    <w:p>
      <w:pPr>
        <w:jc w:val="both"/>
        <w:ind w:left="140" w:right="24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auto"/>
          <w:strike w:val="1"/>
        </w:rPr>
        <w:t>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strike w:val="1"/>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Agreement, this Change Order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constitute a full and final settlement and accord and satisfaction of all effects of the change reflected in this Change Order upon the Change Criteria and </w:t>
      </w:r>
      <w:r>
        <w:rPr>
          <w:rFonts w:ascii="Times New Roman" w:cs="Times New Roman" w:eastAsia="Times New Roman" w:hAnsi="Times New Roman"/>
          <w:sz w:val="18"/>
          <w:szCs w:val="18"/>
          <w:b w:val="1"/>
          <w:bCs w:val="1"/>
          <w:color w:val="auto"/>
          <w:strike w:val="1"/>
        </w:rPr>
        <w:t>shall not</w:t>
      </w:r>
      <w:r>
        <w:rPr>
          <w:rFonts w:ascii="Times New Roman" w:cs="Times New Roman" w:eastAsia="Times New Roman" w:hAnsi="Times New Roman"/>
          <w:sz w:val="18"/>
          <w:szCs w:val="18"/>
          <w:color w:val="auto"/>
          <w:strike w:val="1"/>
        </w:rPr>
        <w:t xml:space="preserve"> be deemed to compensate Contractor fully for such change. Initials: Contractor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-364490</wp:posOffset>
            </wp:positionV>
            <wp:extent cx="51517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183" w:lineRule="exact"/>
        <w:rPr>
          <w:sz w:val="20"/>
          <w:szCs w:val="20"/>
          <w:color w:val="auto"/>
        </w:rPr>
      </w:pPr>
    </w:p>
    <w:p>
      <w:pPr>
        <w:jc w:val="both"/>
        <w:ind w:left="140" w:right="240"/>
        <w:spacing w:after="0" w:line="258" w:lineRule="auto"/>
        <w:rPr>
          <w:sz w:val="20"/>
          <w:szCs w:val="20"/>
          <w:color w:val="auto"/>
        </w:rPr>
      </w:pPr>
      <w:r>
        <w:rPr>
          <w:rFonts w:ascii="Times New Roman" w:cs="Times New Roman" w:eastAsia="Times New Roman" w:hAnsi="Times New Roman"/>
          <w:sz w:val="18"/>
          <w:szCs w:val="18"/>
          <w:color w:val="auto"/>
        </w:rPr>
        <w:t>Upon execution of this Change Order by Owner and Contractor, the above-referenced change shall become a valid and binding part of the Amended and Restated EPC Agreement without exception or qualification. Except as modified by this and any previously issued Change Orders or any amendments to the EPC Agreement, all other terms and conditions of the EPC Agreement shall remain in full force and effect. This Change Order is executed by each of the Parties’ duly authorized representatives. This Change Order represents full and final consideration and/or adjustments for the above change, except as set out above.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 Alex Thompson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w w:val="98"/>
              </w:rPr>
              <w:t>/s/ Scott Osborne</w:t>
            </w:r>
          </w:p>
        </w:tc>
      </w:tr>
      <w:tr>
        <w:trPr>
          <w:trHeight w:val="218"/>
        </w:trPr>
        <w:tc>
          <w:tcPr>
            <w:tcW w:w="1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Owner</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Contractor</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40" w:type="dxa"/>
            <w:vAlign w:val="bottom"/>
          </w:tcPr>
          <w:p>
            <w:pPr>
              <w:spacing w:after="0"/>
              <w:rPr>
                <w:sz w:val="16"/>
                <w:szCs w:val="16"/>
                <w:color w:val="auto"/>
              </w:rPr>
            </w:pPr>
          </w:p>
        </w:tc>
        <w:tc>
          <w:tcPr>
            <w:tcW w:w="14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Alex Thompson</w:t>
            </w:r>
          </w:p>
        </w:tc>
        <w:tc>
          <w:tcPr>
            <w:tcW w:w="40" w:type="dxa"/>
            <w:vAlign w:val="bottom"/>
          </w:tcPr>
          <w:p>
            <w:pPr>
              <w:spacing w:after="0"/>
              <w:rPr>
                <w:sz w:val="16"/>
                <w:szCs w:val="16"/>
                <w:color w:val="auto"/>
              </w:rPr>
            </w:pPr>
          </w:p>
        </w:tc>
        <w:tc>
          <w:tcPr>
            <w:tcW w:w="21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Scott Osborne</w:t>
            </w:r>
          </w:p>
        </w:tc>
      </w:tr>
      <w:tr>
        <w:trPr>
          <w:trHeight w:val="205"/>
        </w:trPr>
        <w:tc>
          <w:tcPr>
            <w:tcW w:w="140" w:type="dxa"/>
            <w:vAlign w:val="bottom"/>
          </w:tcPr>
          <w:p>
            <w:pPr>
              <w:spacing w:after="0"/>
              <w:rPr>
                <w:sz w:val="17"/>
                <w:szCs w:val="17"/>
                <w:color w:val="auto"/>
              </w:rPr>
            </w:pPr>
          </w:p>
        </w:tc>
        <w:tc>
          <w:tcPr>
            <w:tcW w:w="5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88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140" w:type="dxa"/>
            <w:vAlign w:val="bottom"/>
          </w:tcPr>
          <w:p>
            <w:pPr>
              <w:spacing w:after="0"/>
              <w:rPr>
                <w:sz w:val="16"/>
                <w:szCs w:val="16"/>
                <w:color w:val="auto"/>
              </w:rPr>
            </w:pPr>
          </w:p>
        </w:tc>
        <w:tc>
          <w:tcPr>
            <w:tcW w:w="14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Authorized Person</w:t>
            </w:r>
          </w:p>
        </w:tc>
        <w:tc>
          <w:tcPr>
            <w:tcW w:w="40" w:type="dxa"/>
            <w:vAlign w:val="bottom"/>
          </w:tcPr>
          <w:p>
            <w:pPr>
              <w:spacing w:after="0"/>
              <w:rPr>
                <w:sz w:val="16"/>
                <w:szCs w:val="16"/>
                <w:color w:val="auto"/>
              </w:rPr>
            </w:pPr>
          </w:p>
        </w:tc>
        <w:tc>
          <w:tcPr>
            <w:tcW w:w="2140" w:type="dxa"/>
            <w:vAlign w:val="bottom"/>
            <w:gridSpan w:val="6"/>
          </w:tcPr>
          <w:p>
            <w:pPr>
              <w:ind w:left="180"/>
              <w:spacing w:after="0" w:line="194" w:lineRule="exact"/>
              <w:rPr>
                <w:sz w:val="20"/>
                <w:szCs w:val="20"/>
                <w:color w:val="auto"/>
              </w:rPr>
            </w:pPr>
            <w:r>
              <w:rPr>
                <w:rFonts w:ascii="Times New Roman" w:cs="Times New Roman" w:eastAsia="Times New Roman" w:hAnsi="Times New Roman"/>
                <w:sz w:val="18"/>
                <w:szCs w:val="18"/>
                <w:color w:val="auto"/>
              </w:rPr>
              <w:t>Senior Project Manager</w:t>
            </w:r>
          </w:p>
        </w:tc>
      </w:tr>
      <w:tr>
        <w:trPr>
          <w:trHeight w:val="218"/>
        </w:trPr>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March 26, 2024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March 26, 2024</w:t>
            </w:r>
          </w:p>
        </w:tc>
      </w:tr>
      <w:tr>
        <w:trPr>
          <w:trHeight w:val="20"/>
        </w:trPr>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Date of Signing</w:t>
      </w:r>
      <w:r>
        <w:rPr>
          <w:sz w:val="20"/>
          <w:szCs w:val="20"/>
          <w:color w:val="auto"/>
        </w:rPr>
        <w:tab/>
      </w:r>
      <w:r>
        <w:rPr>
          <w:rFonts w:ascii="Times New Roman" w:cs="Times New Roman" w:eastAsia="Times New Roman" w:hAnsi="Times New Roman"/>
          <w:sz w:val="17"/>
          <w:szCs w:val="17"/>
          <w:color w:val="auto"/>
        </w:rPr>
        <w:t>Date of Signing</w:t>
      </w:r>
    </w:p>
    <w:p>
      <w:pPr>
        <w:spacing w:after="0" w:line="3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833"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774065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CREDIT AND GUARANTY AGREEMENT</w:t>
      </w:r>
    </w:p>
    <w:p>
      <w:pPr>
        <w:spacing w:after="0" w:line="26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22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NEXTDECADE LNG, LLC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Borrower</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CERTAIN SUBSIDIARIES OF THE BORROWER</w:t>
      </w:r>
    </w:p>
    <w:p>
      <w:pPr>
        <w:spacing w:after="0" w:line="23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as Subsidiary Guarantors</w:t>
      </w:r>
    </w:p>
    <w:p>
      <w:pPr>
        <w:spacing w:after="0" w:line="22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MUFG BANK, LTD.</w:t>
      </w:r>
    </w:p>
    <w:p>
      <w:pPr>
        <w:spacing w:after="0" w:line="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9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Collateral Agent</w:t>
      </w: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MUFG BANK, LTD.</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Coordinating Lead Arranger and Bookrunner</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THE FINANCIAL INSTITUTIONS</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party hereto as Lenders from time to time</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Each other Person that may become party hereto from time to time</w:t>
      </w:r>
    </w:p>
    <w:p>
      <w:pPr>
        <w:spacing w:after="0" w:line="24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Dated as of January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370840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5"/>
              </w:rPr>
              <w:t>ARTICLE 1.</w:t>
            </w:r>
          </w:p>
        </w:tc>
        <w:tc>
          <w:tcPr>
            <w:tcW w:w="768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8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DEFINITIONS AND PRINCIPLES OF CONSTRUCTION</w:t>
            </w:r>
          </w:p>
        </w:tc>
        <w:tc>
          <w:tcPr>
            <w:tcW w:w="2400" w:type="dxa"/>
            <w:vAlign w:val="bottom"/>
          </w:tcPr>
          <w:p>
            <w:pPr>
              <w:spacing w:after="0"/>
              <w:rPr>
                <w:sz w:val="23"/>
                <w:szCs w:val="23"/>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Defined Terms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5"/>
              </w:rPr>
              <w:t>ARTICLE 2.</w:t>
            </w:r>
          </w:p>
        </w:tc>
        <w:tc>
          <w:tcPr>
            <w:tcW w:w="7680" w:type="dxa"/>
            <w:vAlign w:val="bottom"/>
          </w:tcPr>
          <w:p>
            <w:pPr>
              <w:spacing w:after="0"/>
              <w:rPr>
                <w:sz w:val="18"/>
                <w:szCs w:val="18"/>
                <w:color w:val="auto"/>
              </w:rPr>
            </w:pPr>
          </w:p>
        </w:tc>
        <w:tc>
          <w:tcPr>
            <w:tcW w:w="24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w:t>
            </w:r>
          </w:p>
        </w:tc>
      </w:tr>
      <w:tr>
        <w:trPr>
          <w:trHeight w:val="270"/>
        </w:trPr>
        <w:tc>
          <w:tcPr>
            <w:tcW w:w="88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FUNDING MATTERS</w:t>
            </w:r>
          </w:p>
        </w:tc>
        <w:tc>
          <w:tcPr>
            <w:tcW w:w="2400" w:type="dxa"/>
            <w:vAlign w:val="bottom"/>
          </w:tcPr>
          <w:p>
            <w:pPr>
              <w:spacing w:after="0"/>
              <w:rPr>
                <w:sz w:val="23"/>
                <w:szCs w:val="23"/>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w:t>
            </w:r>
          </w:p>
        </w:tc>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Availability and Borrowings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2.2</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Funding of Borrowing</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2.3</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Interest Elections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2.4</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Mechanics for Requesting Borrowings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2.5</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Fees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2.6</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Repayment of Loans; Evidence of Debt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2.7</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Interest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2.8</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2.9</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 Rata Treatment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2.10</w:t>
            </w: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Presumptions of Payment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88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2.11  Sharing of Payments,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2.12</w:t>
            </w: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Benchmark Replacement Setting</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5"/>
              </w:rPr>
              <w:t>ARTICLE 3.</w:t>
            </w:r>
          </w:p>
        </w:tc>
        <w:tc>
          <w:tcPr>
            <w:tcW w:w="7680" w:type="dxa"/>
            <w:vAlign w:val="bottom"/>
          </w:tcPr>
          <w:p>
            <w:pPr>
              <w:spacing w:after="0"/>
              <w:rPr>
                <w:sz w:val="18"/>
                <w:szCs w:val="18"/>
                <w:color w:val="auto"/>
              </w:rPr>
            </w:pPr>
          </w:p>
        </w:tc>
        <w:tc>
          <w:tcPr>
            <w:tcW w:w="24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11</w:t>
            </w:r>
          </w:p>
        </w:tc>
      </w:tr>
      <w:tr>
        <w:trPr>
          <w:trHeight w:val="270"/>
        </w:trPr>
        <w:tc>
          <w:tcPr>
            <w:tcW w:w="88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CONDITIONS PRECEDENT</w:t>
            </w:r>
          </w:p>
        </w:tc>
        <w:tc>
          <w:tcPr>
            <w:tcW w:w="2400" w:type="dxa"/>
            <w:vAlign w:val="bottom"/>
          </w:tcPr>
          <w:p>
            <w:pPr>
              <w:spacing w:after="0"/>
              <w:rPr>
                <w:sz w:val="23"/>
                <w:szCs w:val="23"/>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Conditions Precedent to Financial Close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Conditions Precedent to Each Revolving Loan Borrowing Date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3.3</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Conditions Precedent to Each Interest Loan Borrowing Date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5"/>
              </w:rPr>
              <w:t>ARTICLE 4.</w:t>
            </w:r>
          </w:p>
        </w:tc>
        <w:tc>
          <w:tcPr>
            <w:tcW w:w="7680" w:type="dxa"/>
            <w:vAlign w:val="bottom"/>
          </w:tcPr>
          <w:p>
            <w:pPr>
              <w:spacing w:after="0"/>
              <w:rPr>
                <w:sz w:val="18"/>
                <w:szCs w:val="18"/>
                <w:color w:val="auto"/>
              </w:rPr>
            </w:pPr>
          </w:p>
        </w:tc>
        <w:tc>
          <w:tcPr>
            <w:tcW w:w="24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16</w:t>
            </w:r>
          </w:p>
        </w:tc>
      </w:tr>
      <w:tr>
        <w:trPr>
          <w:trHeight w:val="270"/>
        </w:trPr>
        <w:tc>
          <w:tcPr>
            <w:tcW w:w="88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2400" w:type="dxa"/>
            <w:vAlign w:val="bottom"/>
          </w:tcPr>
          <w:p>
            <w:pPr>
              <w:spacing w:after="0"/>
              <w:rPr>
                <w:sz w:val="23"/>
                <w:szCs w:val="23"/>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Corporate Status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Corporate Power and Authority</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4.3</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Government Approval</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4.4</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Compliance with Applicable Government Rules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4.5</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Legality and Enforceability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4.6</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Environmental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4.7</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Security</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4.8</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Event of Default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4.9</w:t>
            </w:r>
          </w:p>
        </w:tc>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 Breach</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4.10</w:t>
            </w: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Ownership</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4.11</w:t>
            </w: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Litigation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4.12</w:t>
            </w: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Permitted Business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4.13</w:t>
            </w: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Accuracy of Disclosure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88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4.14  Tax Status; Payments of 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4.15</w:t>
            </w: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Financial Statements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4.16</w:t>
            </w: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Sanctions.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82"/>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4.17</w:t>
            </w: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Investment Company Act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pacing w:after="0" w:line="200" w:lineRule="exact"/>
        <w:rPr>
          <w:sz w:val="20"/>
          <w:szCs w:val="20"/>
          <w:color w:val="auto"/>
        </w:rPr>
      </w:pPr>
    </w:p>
    <w:p>
      <w:pPr>
        <w:sectPr>
          <w:pgSz w:w="11900" w:h="16838" w:orient="portrait"/>
          <w:cols w:equalWidth="0" w:num="1">
            <w:col w:w="11200"/>
          </w:cols>
          <w:pgMar w:left="34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0" w:hanging="232"/>
        <w:spacing w:after="0"/>
        <w:tabs>
          <w:tab w:leader="none" w:pos="40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Credit and Guaranty Agreement (NextDecade LNG)</w:t>
      </w:r>
    </w:p>
    <w:p>
      <w:pPr>
        <w:sectPr>
          <w:pgSz w:w="11900" w:h="16838" w:orient="portrait"/>
          <w:cols w:equalWidth="0" w:num="1">
            <w:col w:w="11200"/>
          </w:cols>
          <w:pgMar w:left="340" w:top="122" w:right="359" w:bottom="1440" w:gutter="0" w:footer="0" w:header="0"/>
          <w:type w:val="continuous"/>
        </w:sectPr>
      </w:pPr>
    </w:p>
    <w:bookmarkStart w:id="217" w:name="page218"/>
    <w:bookmarkEnd w:id="217"/>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4.18</w:t>
            </w:r>
          </w:p>
        </w:tc>
        <w:tc>
          <w:tcPr>
            <w:tcW w:w="8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Margin Regulations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4.19</w:t>
            </w:r>
          </w:p>
        </w:tc>
        <w:tc>
          <w:tcPr>
            <w:tcW w:w="8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Solvency</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4.20</w:t>
            </w:r>
          </w:p>
        </w:tc>
        <w:tc>
          <w:tcPr>
            <w:tcW w:w="8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ERISA/Employee Matters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4.21</w:t>
            </w:r>
          </w:p>
        </w:tc>
        <w:tc>
          <w:tcPr>
            <w:tcW w:w="8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Ranking</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4.22  AML Laws, Anti-Terrorism Laws, and Anti-Corruption Laws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4.23</w:t>
            </w:r>
          </w:p>
        </w:tc>
        <w:tc>
          <w:tcPr>
            <w:tcW w:w="8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4.24  No Material Adverse Effect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5"/>
              </w:rPr>
              <w:t>ARTICLE 5.</w:t>
            </w:r>
          </w:p>
        </w:tc>
        <w:tc>
          <w:tcPr>
            <w:tcW w:w="8820" w:type="dxa"/>
            <w:vAlign w:val="bottom"/>
          </w:tcPr>
          <w:p>
            <w:pPr>
              <w:spacing w:after="0"/>
              <w:rPr>
                <w:sz w:val="18"/>
                <w:szCs w:val="18"/>
                <w:color w:val="auto"/>
              </w:rPr>
            </w:pPr>
          </w:p>
        </w:tc>
        <w:tc>
          <w:tcPr>
            <w:tcW w:w="12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21</w:t>
            </w:r>
          </w:p>
        </w:tc>
      </w:tr>
      <w:tr>
        <w:trPr>
          <w:trHeight w:val="270"/>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AFFIRMATIVE COVENANTS</w:t>
            </w:r>
          </w:p>
        </w:tc>
        <w:tc>
          <w:tcPr>
            <w:tcW w:w="1260" w:type="dxa"/>
            <w:vAlign w:val="bottom"/>
          </w:tcPr>
          <w:p>
            <w:pPr>
              <w:spacing w:after="0"/>
              <w:rPr>
                <w:sz w:val="23"/>
                <w:szCs w:val="23"/>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Information and Related Covenants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Legal Existence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5.3</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Further Assurances in Respect of Collateral</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5.4</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Books, Records and Inspections; Accounting and Audit Matters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5.5</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Compliance with Applicable Government Rule; Taxes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5.6</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Use of Proceeds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5.7</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Distributions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5.8</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Subsidiaries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5.9</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ERISA</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5.10  Compliance with P1 Financing Documents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5"/>
              </w:rPr>
              <w:t>ARTICLE 6.</w:t>
            </w:r>
          </w:p>
        </w:tc>
        <w:tc>
          <w:tcPr>
            <w:tcW w:w="8820" w:type="dxa"/>
            <w:vAlign w:val="bottom"/>
          </w:tcPr>
          <w:p>
            <w:pPr>
              <w:spacing w:after="0"/>
              <w:rPr>
                <w:sz w:val="18"/>
                <w:szCs w:val="18"/>
                <w:color w:val="auto"/>
              </w:rPr>
            </w:pPr>
          </w:p>
        </w:tc>
        <w:tc>
          <w:tcPr>
            <w:tcW w:w="12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26</w:t>
            </w:r>
          </w:p>
        </w:tc>
      </w:tr>
      <w:tr>
        <w:trPr>
          <w:trHeight w:val="270"/>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NEGATIVE COVENANTS</w:t>
            </w:r>
          </w:p>
        </w:tc>
        <w:tc>
          <w:tcPr>
            <w:tcW w:w="1260" w:type="dxa"/>
            <w:vAlign w:val="bottom"/>
          </w:tcPr>
          <w:p>
            <w:pPr>
              <w:spacing w:after="0"/>
              <w:rPr>
                <w:sz w:val="23"/>
                <w:szCs w:val="23"/>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Business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Indebtedness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6.3</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Liens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6.4</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Disposal of Certain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6.5</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Consolidation; Merger; Fundamental Changes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6.6</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Investments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6.7</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Subsidiaries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6.8</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6.9</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 Issuance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6.10</w:t>
            </w:r>
          </w:p>
        </w:tc>
        <w:tc>
          <w:tcPr>
            <w:tcW w:w="8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Distributions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6.11  Sale and Lease Backs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6.12</w:t>
            </w:r>
          </w:p>
        </w:tc>
        <w:tc>
          <w:tcPr>
            <w:tcW w:w="8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Accounting Changes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6.13</w:t>
            </w:r>
          </w:p>
        </w:tc>
        <w:tc>
          <w:tcPr>
            <w:tcW w:w="8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 Status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6.14  P1 Financing Documents; Payments by P1 Project Company; RG Intermediate Holdings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6.15</w:t>
            </w:r>
          </w:p>
        </w:tc>
        <w:tc>
          <w:tcPr>
            <w:tcW w:w="8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Sanctions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5"/>
              </w:rPr>
              <w:t>ARTICLE 7.</w:t>
            </w:r>
          </w:p>
        </w:tc>
        <w:tc>
          <w:tcPr>
            <w:tcW w:w="8820" w:type="dxa"/>
            <w:vAlign w:val="bottom"/>
          </w:tcPr>
          <w:p>
            <w:pPr>
              <w:spacing w:after="0"/>
              <w:rPr>
                <w:sz w:val="18"/>
                <w:szCs w:val="18"/>
                <w:color w:val="auto"/>
              </w:rPr>
            </w:pPr>
          </w:p>
        </w:tc>
        <w:tc>
          <w:tcPr>
            <w:tcW w:w="12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36</w:t>
            </w:r>
          </w:p>
        </w:tc>
      </w:tr>
      <w:tr>
        <w:trPr>
          <w:trHeight w:val="270"/>
        </w:trPr>
        <w:tc>
          <w:tcPr>
            <w:tcW w:w="99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EVENTS OF DEFAULT</w:t>
            </w:r>
          </w:p>
        </w:tc>
        <w:tc>
          <w:tcPr>
            <w:tcW w:w="1260" w:type="dxa"/>
            <w:vAlign w:val="bottom"/>
          </w:tcPr>
          <w:p>
            <w:pPr>
              <w:spacing w:after="0"/>
              <w:rPr>
                <w:sz w:val="23"/>
                <w:szCs w:val="23"/>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Events of Default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82"/>
        </w:trPr>
        <w:tc>
          <w:tcPr>
            <w:tcW w:w="11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7.2</w:t>
            </w:r>
          </w:p>
        </w:tc>
        <w:tc>
          <w:tcPr>
            <w:tcW w:w="8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Remedies</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bl>
    <w:p>
      <w:pPr>
        <w:spacing w:after="0" w:line="200" w:lineRule="exact"/>
        <w:rPr>
          <w:sz w:val="20"/>
          <w:szCs w:val="20"/>
          <w:color w:val="auto"/>
        </w:rPr>
      </w:pPr>
    </w:p>
    <w:p>
      <w:pPr>
        <w:sectPr>
          <w:pgSz w:w="11900" w:h="16838" w:orient="portrait"/>
          <w:cols w:equalWidth="0" w:num="1">
            <w:col w:w="11200"/>
          </w:cols>
          <w:pgMar w:left="34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0" w:hanging="336"/>
        <w:spacing w:after="0"/>
        <w:tabs>
          <w:tab w:leader="none" w:pos="54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Credit and Guaranty Agreement (NextDecade LNG)</w:t>
      </w:r>
    </w:p>
    <w:p>
      <w:pPr>
        <w:sectPr>
          <w:pgSz w:w="11900" w:h="16838" w:orient="portrait"/>
          <w:cols w:equalWidth="0" w:num="1">
            <w:col w:w="11200"/>
          </w:cols>
          <w:pgMar w:left="340" w:top="122" w:right="359" w:bottom="1440" w:gutter="0" w:footer="0" w:header="0"/>
          <w:type w:val="continuous"/>
        </w:sectPr>
      </w:pPr>
    </w:p>
    <w:bookmarkStart w:id="218" w:name="page219"/>
    <w:bookmarkEnd w:id="218"/>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ARTICLE 8.</w:t>
            </w:r>
          </w:p>
        </w:tc>
        <w:tc>
          <w:tcPr>
            <w:tcW w:w="81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PREPAYMENTS; COMMITMENT REDUCTIONS</w:t>
            </w:r>
          </w:p>
        </w:tc>
        <w:tc>
          <w:tcPr>
            <w:tcW w:w="190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w:t>
            </w:r>
          </w:p>
        </w:tc>
        <w:tc>
          <w:tcPr>
            <w:tcW w:w="60" w:type="dxa"/>
            <w:vAlign w:val="bottom"/>
          </w:tcPr>
          <w:p>
            <w:pPr>
              <w:spacing w:after="0"/>
              <w:rPr>
                <w:sz w:val="23"/>
                <w:szCs w:val="23"/>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Mandatory Prepayments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8.2</w:t>
            </w:r>
          </w:p>
        </w:tc>
        <w:tc>
          <w:tcPr>
            <w:tcW w:w="60" w:type="dxa"/>
            <w:vAlign w:val="bottom"/>
          </w:tcPr>
          <w:p>
            <w:pPr>
              <w:spacing w:after="0"/>
              <w:rPr>
                <w:sz w:val="23"/>
                <w:szCs w:val="23"/>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Voluntary Prepayments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8.3</w:t>
            </w:r>
          </w:p>
        </w:tc>
        <w:tc>
          <w:tcPr>
            <w:tcW w:w="60" w:type="dxa"/>
            <w:vAlign w:val="bottom"/>
          </w:tcPr>
          <w:p>
            <w:pPr>
              <w:spacing w:after="0"/>
              <w:rPr>
                <w:sz w:val="23"/>
                <w:szCs w:val="23"/>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Notice of Prepayment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8.4</w:t>
            </w:r>
          </w:p>
        </w:tc>
        <w:tc>
          <w:tcPr>
            <w:tcW w:w="60" w:type="dxa"/>
            <w:vAlign w:val="bottom"/>
          </w:tcPr>
          <w:p>
            <w:pPr>
              <w:spacing w:after="0"/>
              <w:rPr>
                <w:sz w:val="23"/>
                <w:szCs w:val="23"/>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Reduction of Commitments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16"/>
        </w:trPr>
        <w:tc>
          <w:tcPr>
            <w:tcW w:w="1140" w:type="dxa"/>
            <w:vAlign w:val="bottom"/>
            <w:gridSpan w:val="2"/>
          </w:tcPr>
          <w:p>
            <w:pPr>
              <w:spacing w:after="0" w:line="217" w:lineRule="exact"/>
              <w:rPr>
                <w:sz w:val="20"/>
                <w:szCs w:val="20"/>
                <w:color w:val="auto"/>
              </w:rPr>
            </w:pPr>
            <w:r>
              <w:rPr>
                <w:rFonts w:ascii="Times New Roman" w:cs="Times New Roman" w:eastAsia="Times New Roman" w:hAnsi="Times New Roman"/>
                <w:sz w:val="22"/>
                <w:szCs w:val="22"/>
                <w:color w:val="auto"/>
                <w:w w:val="97"/>
              </w:rPr>
              <w:t>ARTICLE 9.</w:t>
            </w:r>
          </w:p>
        </w:tc>
        <w:tc>
          <w:tcPr>
            <w:tcW w:w="8160" w:type="dxa"/>
            <w:vAlign w:val="bottom"/>
          </w:tcPr>
          <w:p>
            <w:pPr>
              <w:spacing w:after="0"/>
              <w:rPr>
                <w:sz w:val="18"/>
                <w:szCs w:val="18"/>
                <w:color w:val="auto"/>
              </w:rPr>
            </w:pPr>
          </w:p>
        </w:tc>
        <w:tc>
          <w:tcPr>
            <w:tcW w:w="19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40</w:t>
            </w: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NET PAYMENTS; ILLEGALITY; MITIGATION</w:t>
            </w:r>
          </w:p>
        </w:tc>
        <w:tc>
          <w:tcPr>
            <w:tcW w:w="190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9.1</w:t>
            </w:r>
          </w:p>
        </w:tc>
        <w:tc>
          <w:tcPr>
            <w:tcW w:w="60" w:type="dxa"/>
            <w:vAlign w:val="bottom"/>
          </w:tcPr>
          <w:p>
            <w:pPr>
              <w:spacing w:after="0"/>
              <w:rPr>
                <w:sz w:val="23"/>
                <w:szCs w:val="23"/>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Taxes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9.2</w:t>
            </w:r>
          </w:p>
        </w:tc>
        <w:tc>
          <w:tcPr>
            <w:tcW w:w="60" w:type="dxa"/>
            <w:vAlign w:val="bottom"/>
          </w:tcPr>
          <w:p>
            <w:pPr>
              <w:spacing w:after="0"/>
              <w:rPr>
                <w:sz w:val="23"/>
                <w:szCs w:val="23"/>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Increased Costs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9.3</w:t>
            </w:r>
          </w:p>
        </w:tc>
        <w:tc>
          <w:tcPr>
            <w:tcW w:w="60" w:type="dxa"/>
            <w:vAlign w:val="bottom"/>
          </w:tcPr>
          <w:p>
            <w:pPr>
              <w:spacing w:after="0"/>
              <w:rPr>
                <w:sz w:val="23"/>
                <w:szCs w:val="23"/>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Break Funding Payments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9.4</w:t>
            </w:r>
          </w:p>
        </w:tc>
        <w:tc>
          <w:tcPr>
            <w:tcW w:w="60" w:type="dxa"/>
            <w:vAlign w:val="bottom"/>
          </w:tcPr>
          <w:p>
            <w:pPr>
              <w:spacing w:after="0"/>
              <w:rPr>
                <w:sz w:val="23"/>
                <w:szCs w:val="23"/>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Mitigation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9.5</w:t>
            </w:r>
          </w:p>
        </w:tc>
        <w:tc>
          <w:tcPr>
            <w:tcW w:w="60" w:type="dxa"/>
            <w:vAlign w:val="bottom"/>
          </w:tcPr>
          <w:p>
            <w:pPr>
              <w:spacing w:after="0"/>
              <w:rPr>
                <w:sz w:val="23"/>
                <w:szCs w:val="23"/>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Replacement of Lenders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9.6</w:t>
            </w:r>
          </w:p>
        </w:tc>
        <w:tc>
          <w:tcPr>
            <w:tcW w:w="60" w:type="dxa"/>
            <w:vAlign w:val="bottom"/>
          </w:tcPr>
          <w:p>
            <w:pPr>
              <w:spacing w:after="0"/>
              <w:rPr>
                <w:sz w:val="23"/>
                <w:szCs w:val="23"/>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Defaulting Lenders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9.7</w:t>
            </w:r>
          </w:p>
        </w:tc>
        <w:tc>
          <w:tcPr>
            <w:tcW w:w="8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Acknowledgment and Consent to Bail-In of Affected Financial Institutions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9.8</w:t>
            </w:r>
          </w:p>
        </w:tc>
        <w:tc>
          <w:tcPr>
            <w:tcW w:w="60" w:type="dxa"/>
            <w:vAlign w:val="bottom"/>
          </w:tcPr>
          <w:p>
            <w:pPr>
              <w:spacing w:after="0"/>
              <w:rPr>
                <w:sz w:val="23"/>
                <w:szCs w:val="23"/>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Illegality</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9.9</w:t>
            </w:r>
          </w:p>
        </w:tc>
        <w:tc>
          <w:tcPr>
            <w:tcW w:w="82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Inability to Determine Rates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16"/>
        </w:trPr>
        <w:tc>
          <w:tcPr>
            <w:tcW w:w="9300" w:type="dxa"/>
            <w:vAlign w:val="bottom"/>
            <w:gridSpan w:val="3"/>
          </w:tcPr>
          <w:p>
            <w:pPr>
              <w:spacing w:after="0" w:line="217" w:lineRule="exact"/>
              <w:rPr>
                <w:sz w:val="20"/>
                <w:szCs w:val="20"/>
                <w:color w:val="auto"/>
              </w:rPr>
            </w:pPr>
            <w:r>
              <w:rPr>
                <w:rFonts w:ascii="Times New Roman" w:cs="Times New Roman" w:eastAsia="Times New Roman" w:hAnsi="Times New Roman"/>
                <w:sz w:val="22"/>
                <w:szCs w:val="22"/>
                <w:color w:val="auto"/>
              </w:rPr>
              <w:t>ARTICLE 10.</w:t>
            </w:r>
          </w:p>
        </w:tc>
        <w:tc>
          <w:tcPr>
            <w:tcW w:w="19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52</w:t>
            </w: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GUARANTY</w:t>
            </w:r>
          </w:p>
        </w:tc>
        <w:tc>
          <w:tcPr>
            <w:tcW w:w="1900" w:type="dxa"/>
            <w:vAlign w:val="bottom"/>
          </w:tcPr>
          <w:p>
            <w:pPr>
              <w:spacing w:after="0"/>
              <w:rPr>
                <w:sz w:val="23"/>
                <w:szCs w:val="23"/>
                <w:color w:val="auto"/>
              </w:rPr>
            </w:pP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10.1  Guaranty of the Obligations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10.2</w:t>
            </w:r>
          </w:p>
        </w:tc>
        <w:tc>
          <w:tcPr>
            <w:tcW w:w="8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Contribution by Guarantors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10.3</w:t>
            </w:r>
          </w:p>
        </w:tc>
        <w:tc>
          <w:tcPr>
            <w:tcW w:w="8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Payment by Guarantors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10.4  Liability of Guarantors Absolute</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10.5</w:t>
            </w:r>
          </w:p>
        </w:tc>
        <w:tc>
          <w:tcPr>
            <w:tcW w:w="8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Waivers by Guarantors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10.6  Guarantors’ Rights of Subrogation, Contribution, Etc.</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10.7  Subordination of Other Obligations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10.8</w:t>
            </w:r>
          </w:p>
        </w:tc>
        <w:tc>
          <w:tcPr>
            <w:tcW w:w="8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Continuing Guaranty</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10.9  Authority of Guarantors or Borrower</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10.10  Financial Condition of Borrower</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10.11</w:t>
            </w:r>
          </w:p>
        </w:tc>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Bankruptcy, Etc.</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10.12  Discharge of Guaranty Upon Sale or Release of Guarantor</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16"/>
        </w:trPr>
        <w:tc>
          <w:tcPr>
            <w:tcW w:w="9300" w:type="dxa"/>
            <w:vAlign w:val="bottom"/>
            <w:gridSpan w:val="3"/>
          </w:tcPr>
          <w:p>
            <w:pPr>
              <w:spacing w:after="0" w:line="217" w:lineRule="exact"/>
              <w:rPr>
                <w:sz w:val="20"/>
                <w:szCs w:val="20"/>
                <w:color w:val="auto"/>
              </w:rPr>
            </w:pPr>
            <w:r>
              <w:rPr>
                <w:rFonts w:ascii="Times New Roman" w:cs="Times New Roman" w:eastAsia="Times New Roman" w:hAnsi="Times New Roman"/>
                <w:sz w:val="22"/>
                <w:szCs w:val="22"/>
                <w:color w:val="auto"/>
              </w:rPr>
              <w:t>ARTICLE 11.</w:t>
            </w:r>
          </w:p>
        </w:tc>
        <w:tc>
          <w:tcPr>
            <w:tcW w:w="19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59</w:t>
            </w: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ADMINISTRATIVE AGENT; AGENT INDEMNIFICATION</w:t>
            </w:r>
          </w:p>
        </w:tc>
        <w:tc>
          <w:tcPr>
            <w:tcW w:w="1900" w:type="dxa"/>
            <w:vAlign w:val="bottom"/>
          </w:tcPr>
          <w:p>
            <w:pPr>
              <w:spacing w:after="0"/>
              <w:rPr>
                <w:sz w:val="23"/>
                <w:szCs w:val="23"/>
                <w:color w:val="auto"/>
              </w:rPr>
            </w:pP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11.1  Appointment of Administrative Agent</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11.2</w:t>
            </w:r>
          </w:p>
        </w:tc>
        <w:tc>
          <w:tcPr>
            <w:tcW w:w="60" w:type="dxa"/>
            <w:vAlign w:val="bottom"/>
          </w:tcPr>
          <w:p>
            <w:pPr>
              <w:spacing w:after="0"/>
              <w:rPr>
                <w:sz w:val="23"/>
                <w:szCs w:val="23"/>
                <w:color w:val="auto"/>
              </w:rPr>
            </w:pPr>
          </w:p>
        </w:tc>
        <w:tc>
          <w:tcPr>
            <w:tcW w:w="8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Duties and Responsibilities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11.3</w:t>
            </w:r>
          </w:p>
        </w:tc>
        <w:tc>
          <w:tcPr>
            <w:tcW w:w="60" w:type="dxa"/>
            <w:vAlign w:val="bottom"/>
          </w:tcPr>
          <w:p>
            <w:pPr>
              <w:spacing w:after="0"/>
              <w:rPr>
                <w:sz w:val="23"/>
                <w:szCs w:val="23"/>
                <w:color w:val="auto"/>
              </w:rPr>
            </w:pPr>
          </w:p>
        </w:tc>
        <w:tc>
          <w:tcPr>
            <w:tcW w:w="8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Rights and Obligations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11.4  No Responsibility for Certain Conduct</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11.5</w:t>
            </w:r>
          </w:p>
        </w:tc>
        <w:tc>
          <w:tcPr>
            <w:tcW w:w="60" w:type="dxa"/>
            <w:vAlign w:val="bottom"/>
          </w:tcPr>
          <w:p>
            <w:pPr>
              <w:spacing w:after="0"/>
              <w:rPr>
                <w:sz w:val="23"/>
                <w:szCs w:val="23"/>
                <w:color w:val="auto"/>
              </w:rPr>
            </w:pPr>
          </w:p>
        </w:tc>
        <w:tc>
          <w:tcPr>
            <w:tcW w:w="8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Defaults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11.6</w:t>
            </w:r>
          </w:p>
        </w:tc>
        <w:tc>
          <w:tcPr>
            <w:tcW w:w="60" w:type="dxa"/>
            <w:vAlign w:val="bottom"/>
          </w:tcPr>
          <w:p>
            <w:pPr>
              <w:spacing w:after="0"/>
              <w:rPr>
                <w:sz w:val="23"/>
                <w:szCs w:val="23"/>
                <w:color w:val="auto"/>
              </w:rPr>
            </w:pPr>
          </w:p>
        </w:tc>
        <w:tc>
          <w:tcPr>
            <w:tcW w:w="8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Liability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82"/>
        </w:trPr>
        <w:tc>
          <w:tcPr>
            <w:tcW w:w="93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11.7  Indemnification of Agent by Borrower</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bl>
    <w:p>
      <w:pPr>
        <w:spacing w:after="0" w:line="200" w:lineRule="exact"/>
        <w:rPr>
          <w:sz w:val="20"/>
          <w:szCs w:val="20"/>
          <w:color w:val="auto"/>
        </w:rPr>
      </w:pPr>
    </w:p>
    <w:p>
      <w:pPr>
        <w:sectPr>
          <w:pgSz w:w="11900" w:h="16838" w:orient="portrait"/>
          <w:cols w:equalWidth="0" w:num="1">
            <w:col w:w="11200"/>
          </w:cols>
          <w:pgMar w:left="34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0" w:hanging="396"/>
        <w:spacing w:after="0"/>
        <w:tabs>
          <w:tab w:leader="none" w:pos="60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Credit and Guaranty Agreement (NextDecade LNG)</w:t>
      </w:r>
    </w:p>
    <w:p>
      <w:pPr>
        <w:sectPr>
          <w:pgSz w:w="11900" w:h="16838" w:orient="portrait"/>
          <w:cols w:equalWidth="0" w:num="1">
            <w:col w:w="11200"/>
          </w:cols>
          <w:pgMar w:left="340" w:top="122" w:right="359" w:bottom="1440" w:gutter="0" w:footer="0" w:header="0"/>
          <w:type w:val="continuous"/>
        </w:sectPr>
      </w:pPr>
    </w:p>
    <w:bookmarkStart w:id="219" w:name="page220"/>
    <w:bookmarkEnd w:id="219"/>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11.8</w:t>
            </w:r>
          </w:p>
        </w:tc>
        <w:tc>
          <w:tcPr>
            <w:tcW w:w="40" w:type="dxa"/>
            <w:vAlign w:val="bottom"/>
          </w:tcPr>
          <w:p>
            <w:pPr>
              <w:spacing w:after="0"/>
              <w:rPr>
                <w:sz w:val="23"/>
                <w:szCs w:val="23"/>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Resignation and Removal</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11.9</w:t>
            </w:r>
          </w:p>
        </w:tc>
        <w:tc>
          <w:tcPr>
            <w:tcW w:w="40" w:type="dxa"/>
            <w:vAlign w:val="bottom"/>
          </w:tcPr>
          <w:p>
            <w:pPr>
              <w:spacing w:after="0"/>
              <w:rPr>
                <w:sz w:val="23"/>
                <w:szCs w:val="23"/>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Successor Administrative Agent</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11.10</w:t>
            </w:r>
          </w:p>
        </w:tc>
        <w:tc>
          <w:tcPr>
            <w:tcW w:w="40" w:type="dxa"/>
            <w:vAlign w:val="bottom"/>
          </w:tcPr>
          <w:p>
            <w:pPr>
              <w:spacing w:after="0"/>
              <w:rPr>
                <w:sz w:val="23"/>
                <w:szCs w:val="23"/>
                <w:color w:val="auto"/>
              </w:rPr>
            </w:pPr>
          </w:p>
        </w:tc>
        <w:tc>
          <w:tcPr>
            <w:tcW w:w="8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Authorization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93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11.11  Administrative Agent as Lender</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93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11.12  Reliance by Administrative Agent</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11.13</w:t>
            </w:r>
          </w:p>
        </w:tc>
        <w:tc>
          <w:tcPr>
            <w:tcW w:w="40" w:type="dxa"/>
            <w:vAlign w:val="bottom"/>
          </w:tcPr>
          <w:p>
            <w:pPr>
              <w:spacing w:after="0"/>
              <w:rPr>
                <w:sz w:val="23"/>
                <w:szCs w:val="23"/>
                <w:color w:val="auto"/>
              </w:rPr>
            </w:pPr>
          </w:p>
        </w:tc>
        <w:tc>
          <w:tcPr>
            <w:tcW w:w="8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Delegation of Duties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11.14</w:t>
            </w:r>
          </w:p>
        </w:tc>
        <w:tc>
          <w:tcPr>
            <w:tcW w:w="40" w:type="dxa"/>
            <w:vAlign w:val="bottom"/>
          </w:tcPr>
          <w:p>
            <w:pPr>
              <w:spacing w:after="0"/>
              <w:rPr>
                <w:sz w:val="23"/>
                <w:szCs w:val="23"/>
                <w:color w:val="auto"/>
              </w:rPr>
            </w:pPr>
          </w:p>
        </w:tc>
        <w:tc>
          <w:tcPr>
            <w:tcW w:w="8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Erroneous Payments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16"/>
        </w:trPr>
        <w:tc>
          <w:tcPr>
            <w:tcW w:w="1240" w:type="dxa"/>
            <w:vAlign w:val="bottom"/>
            <w:gridSpan w:val="2"/>
          </w:tcPr>
          <w:p>
            <w:pPr>
              <w:spacing w:after="0" w:line="217" w:lineRule="exact"/>
              <w:rPr>
                <w:sz w:val="20"/>
                <w:szCs w:val="20"/>
                <w:color w:val="auto"/>
              </w:rPr>
            </w:pPr>
            <w:r>
              <w:rPr>
                <w:rFonts w:ascii="Times New Roman" w:cs="Times New Roman" w:eastAsia="Times New Roman" w:hAnsi="Times New Roman"/>
                <w:sz w:val="22"/>
                <w:szCs w:val="22"/>
                <w:color w:val="auto"/>
                <w:w w:val="96"/>
              </w:rPr>
              <w:t>ARTICLE 12.</w:t>
            </w:r>
          </w:p>
        </w:tc>
        <w:tc>
          <w:tcPr>
            <w:tcW w:w="8080" w:type="dxa"/>
            <w:vAlign w:val="bottom"/>
          </w:tcPr>
          <w:p>
            <w:pPr>
              <w:spacing w:after="0"/>
              <w:rPr>
                <w:sz w:val="18"/>
                <w:szCs w:val="18"/>
                <w:color w:val="auto"/>
              </w:rPr>
            </w:pPr>
          </w:p>
        </w:tc>
        <w:tc>
          <w:tcPr>
            <w:tcW w:w="18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71</w:t>
            </w:r>
          </w:p>
        </w:tc>
      </w:tr>
      <w:tr>
        <w:trPr>
          <w:trHeight w:val="270"/>
        </w:trPr>
        <w:tc>
          <w:tcPr>
            <w:tcW w:w="93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MISCELLANEOUS</w:t>
            </w:r>
          </w:p>
        </w:tc>
        <w:tc>
          <w:tcPr>
            <w:tcW w:w="1880" w:type="dxa"/>
            <w:vAlign w:val="bottom"/>
          </w:tcPr>
          <w:p>
            <w:pPr>
              <w:spacing w:after="0"/>
              <w:rPr>
                <w:sz w:val="23"/>
                <w:szCs w:val="23"/>
                <w:color w:val="auto"/>
              </w:rPr>
            </w:pP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w:t>
            </w:r>
          </w:p>
        </w:tc>
        <w:tc>
          <w:tcPr>
            <w:tcW w:w="8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Payment of Expenses, Etc.; Indemnification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12.2</w:t>
            </w:r>
          </w:p>
        </w:tc>
        <w:tc>
          <w:tcPr>
            <w:tcW w:w="40" w:type="dxa"/>
            <w:vAlign w:val="bottom"/>
          </w:tcPr>
          <w:p>
            <w:pPr>
              <w:spacing w:after="0"/>
              <w:rPr>
                <w:sz w:val="23"/>
                <w:szCs w:val="23"/>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Right of Setoff</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12.3</w:t>
            </w:r>
          </w:p>
        </w:tc>
        <w:tc>
          <w:tcPr>
            <w:tcW w:w="40" w:type="dxa"/>
            <w:vAlign w:val="bottom"/>
          </w:tcPr>
          <w:p>
            <w:pPr>
              <w:spacing w:after="0"/>
              <w:rPr>
                <w:sz w:val="23"/>
                <w:szCs w:val="23"/>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Notices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12.4</w:t>
            </w:r>
          </w:p>
        </w:tc>
        <w:tc>
          <w:tcPr>
            <w:tcW w:w="40" w:type="dxa"/>
            <w:vAlign w:val="bottom"/>
          </w:tcPr>
          <w:p>
            <w:pPr>
              <w:spacing w:after="0"/>
              <w:rPr>
                <w:sz w:val="23"/>
                <w:szCs w:val="23"/>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No Third-Party Beneficiaries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12.5</w:t>
            </w:r>
          </w:p>
        </w:tc>
        <w:tc>
          <w:tcPr>
            <w:tcW w:w="8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 Waiver; Remedies Cumulative</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12.6</w:t>
            </w:r>
          </w:p>
        </w:tc>
        <w:tc>
          <w:tcPr>
            <w:tcW w:w="40" w:type="dxa"/>
            <w:vAlign w:val="bottom"/>
          </w:tcPr>
          <w:p>
            <w:pPr>
              <w:spacing w:after="0"/>
              <w:rPr>
                <w:sz w:val="23"/>
                <w:szCs w:val="23"/>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Severability</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12.7</w:t>
            </w:r>
          </w:p>
        </w:tc>
        <w:tc>
          <w:tcPr>
            <w:tcW w:w="40" w:type="dxa"/>
            <w:vAlign w:val="bottom"/>
          </w:tcPr>
          <w:p>
            <w:pPr>
              <w:spacing w:after="0"/>
              <w:rPr>
                <w:sz w:val="23"/>
                <w:szCs w:val="23"/>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Amendments, Etc.</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12.8</w:t>
            </w:r>
          </w:p>
        </w:tc>
        <w:tc>
          <w:tcPr>
            <w:tcW w:w="40" w:type="dxa"/>
            <w:vAlign w:val="bottom"/>
          </w:tcPr>
          <w:p>
            <w:pPr>
              <w:spacing w:after="0"/>
              <w:rPr>
                <w:sz w:val="23"/>
                <w:szCs w:val="23"/>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Counterparts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12.9</w:t>
            </w:r>
          </w:p>
        </w:tc>
        <w:tc>
          <w:tcPr>
            <w:tcW w:w="40" w:type="dxa"/>
            <w:vAlign w:val="bottom"/>
          </w:tcPr>
          <w:p>
            <w:pPr>
              <w:spacing w:after="0"/>
              <w:rPr>
                <w:sz w:val="23"/>
                <w:szCs w:val="23"/>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Effectiveness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2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12.10</w:t>
            </w:r>
          </w:p>
        </w:tc>
        <w:tc>
          <w:tcPr>
            <w:tcW w:w="8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Survival</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12.11</w:t>
            </w:r>
          </w:p>
        </w:tc>
        <w:tc>
          <w:tcPr>
            <w:tcW w:w="40" w:type="dxa"/>
            <w:vAlign w:val="bottom"/>
          </w:tcPr>
          <w:p>
            <w:pPr>
              <w:spacing w:after="0"/>
              <w:rPr>
                <w:sz w:val="23"/>
                <w:szCs w:val="23"/>
                <w:color w:val="auto"/>
              </w:rPr>
            </w:pPr>
          </w:p>
        </w:tc>
        <w:tc>
          <w:tcPr>
            <w:tcW w:w="8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Headings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2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12.12</w:t>
            </w:r>
          </w:p>
        </w:tc>
        <w:tc>
          <w:tcPr>
            <w:tcW w:w="8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Entire Agreement</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2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12.13</w:t>
            </w:r>
          </w:p>
        </w:tc>
        <w:tc>
          <w:tcPr>
            <w:tcW w:w="8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Reinstatement</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93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12.14  Governing Law; Submission to Jurisdiction; Venue; Waiver of Jury Trial</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2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12.15</w:t>
            </w:r>
          </w:p>
        </w:tc>
        <w:tc>
          <w:tcPr>
            <w:tcW w:w="8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Successors and Assigns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70"/>
        </w:trPr>
        <w:tc>
          <w:tcPr>
            <w:tcW w:w="12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12.16</w:t>
            </w:r>
          </w:p>
        </w:tc>
        <w:tc>
          <w:tcPr>
            <w:tcW w:w="8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PATRIOT Act</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12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12.17</w:t>
            </w:r>
          </w:p>
        </w:tc>
        <w:tc>
          <w:tcPr>
            <w:tcW w:w="8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Limited Recourse</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93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12.18  Treatment of Certain Information; Confidentiality</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2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12.19</w:t>
            </w:r>
          </w:p>
        </w:tc>
        <w:tc>
          <w:tcPr>
            <w:tcW w:w="8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Coordinating Lead Arranger</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12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12.20</w:t>
            </w:r>
          </w:p>
        </w:tc>
        <w:tc>
          <w:tcPr>
            <w:tcW w:w="8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Restricted Lenders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932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12.21  Acknowledgment Regarding Any Supported QFCs</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Schedule I</w:t>
            </w:r>
          </w:p>
        </w:tc>
        <w:tc>
          <w:tcPr>
            <w:tcW w:w="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80" w:hanging="376"/>
        <w:spacing w:after="0"/>
        <w:tabs>
          <w:tab w:leader="none" w:pos="58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00"/>
          </w:cols>
          <w:pgMar w:left="340" w:top="122" w:right="3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b w:val="1"/>
          <w:bCs w:val="1"/>
          <w:u w:val="single" w:color="auto"/>
          <w:color w:val="auto"/>
        </w:rPr>
        <w:t>SCHEDULES</w:t>
      </w:r>
    </w:p>
    <w:p>
      <w:pPr>
        <w:spacing w:after="0" w:line="224" w:lineRule="exact"/>
        <w:rPr>
          <w:sz w:val="20"/>
          <w:szCs w:val="20"/>
          <w:color w:val="auto"/>
        </w:rPr>
      </w:pPr>
    </w:p>
    <w:p>
      <w:pPr>
        <w:ind w:left="300" w:hanging="292"/>
        <w:spacing w:after="0"/>
        <w:tabs>
          <w:tab w:leader="none" w:pos="30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74" w:lineRule="exact"/>
        <w:rPr>
          <w:sz w:val="20"/>
          <w:szCs w:val="20"/>
          <w:color w:val="auto"/>
        </w:rPr>
      </w:pPr>
    </w:p>
    <w:p>
      <w:pPr>
        <w:jc w:val="both"/>
        <w:ind w:right="8740" w:firstLine="8"/>
        <w:spacing w:after="0" w:line="266" w:lineRule="auto"/>
        <w:tabs>
          <w:tab w:leader="none" w:pos="432"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Knowledge 4.6 Environmental Matters</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4.11  Litigation</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4.23  Transactions with Affiliates</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11.3  Addresses for Notices</w:t>
      </w:r>
    </w:p>
    <w:p>
      <w:pPr>
        <w:spacing w:after="0" w:line="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12.15(i)  Disqualified Institutions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EXHIBITS</w:t>
      </w:r>
    </w:p>
    <w:p>
      <w:pPr>
        <w:spacing w:after="0" w:line="22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Form of Compliance Certificate</w:t>
      </w:r>
    </w:p>
    <w:p>
      <w:pPr>
        <w:spacing w:after="0" w:line="28" w:lineRule="exact"/>
        <w:rPr>
          <w:sz w:val="20"/>
          <w:szCs w:val="20"/>
          <w:color w:val="auto"/>
        </w:rPr>
      </w:pPr>
    </w:p>
    <w:p>
      <w:pPr>
        <w:ind w:right="7620" w:firstLine="8"/>
        <w:spacing w:after="0" w:line="254" w:lineRule="auto"/>
        <w:tabs>
          <w:tab w:leader="none" w:pos="36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Assignment and Assumption C Form of Closing Certificate</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Form of Notice of Borrowing</w:t>
      </w:r>
    </w:p>
    <w:p>
      <w:pPr>
        <w:spacing w:after="0" w:line="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  Form of Interest Election Request</w:t>
      </w:r>
    </w:p>
    <w:p>
      <w:pPr>
        <w:spacing w:after="0" w:line="15" w:lineRule="exact"/>
        <w:rPr>
          <w:rFonts w:ascii="Times New Roman" w:cs="Times New Roman" w:eastAsia="Times New Roman" w:hAnsi="Times New Roman"/>
          <w:sz w:val="21"/>
          <w:szCs w:val="21"/>
          <w:color w:val="auto"/>
        </w:rPr>
      </w:pPr>
    </w:p>
    <w:p>
      <w:pPr>
        <w:ind w:left="1300" w:hanging="1296"/>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F-1 Form of U.S. Tax Compliance Certificate (for Foreign Lenders that are not Partnerships for U.S. Federal Income Tax purposes)</w:t>
      </w:r>
    </w:p>
    <w:p>
      <w:pPr>
        <w:ind w:left="1300" w:hanging="1296"/>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F-2 Form of U.S. Tax Compliance Certificate (for Foreign Participants that are not Partnerships for U.S. Federal Income Tax purposes)</w:t>
      </w:r>
    </w:p>
    <w:p>
      <w:pPr>
        <w:ind w:left="1300" w:hanging="1296"/>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F-3 Form of U.S. Tax Compliance Certificate (for Foreign Participants that are Partnerships for U.S. Federal Income Tax purposes)</w:t>
      </w:r>
    </w:p>
    <w:p>
      <w:pPr>
        <w:spacing w:after="0" w:line="1" w:lineRule="exact"/>
        <w:rPr>
          <w:rFonts w:ascii="Times New Roman" w:cs="Times New Roman" w:eastAsia="Times New Roman" w:hAnsi="Times New Roman"/>
          <w:sz w:val="21"/>
          <w:szCs w:val="21"/>
          <w:color w:val="auto"/>
        </w:rPr>
      </w:pPr>
    </w:p>
    <w:p>
      <w:pPr>
        <w:ind w:right="6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F-4 Form of U.S. Tax Compliance Certificate (for Foreign Lenders that are Partnerships for U.S. Federal Income Tax purposes) G Form of Joinder to Credit Agreement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  Closing Date Financial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hanging="272"/>
        <w:spacing w:after="0"/>
        <w:tabs>
          <w:tab w:leader="none" w:pos="4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18" w:right="339" w:bottom="1440" w:gutter="0" w:footer="0" w:header="0"/>
        </w:sectPr>
      </w:pPr>
    </w:p>
    <w:bookmarkStart w:id="221" w:name="page222"/>
    <w:bookmarkEnd w:id="221"/>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CREDIT AND GUARANTY AGREEMENT, dated as of January 4, 2024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NEXTDECADE LNG, LLC, a limited liability company formed and existing under the laws of the State of Delaware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CERTAIN SUBSIDIARIES OF THE BORROWER, as Subsidiary Guarantors, MUFG BANK, LTD., acting as Administrative Agent on behalf of the Lenders; WILMINGTON TRUST, NATIONAL ASSOCIATION, as Collateral Agent on behalf of the Secured Parties; the Lenders signatory hereto or who subsequently become party hereto pursuant to the terms hereof; and each other Person that may become party hereto from time to time.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 :</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Rio Grande LNG, LLC, a limited liability company incorporated under the laws of the State of Texas (the “</w:t>
      </w:r>
      <w:r>
        <w:rPr>
          <w:rFonts w:ascii="Times New Roman" w:cs="Times New Roman" w:eastAsia="Times New Roman" w:hAnsi="Times New Roman"/>
          <w:sz w:val="22"/>
          <w:szCs w:val="22"/>
          <w:u w:val="single" w:color="auto"/>
          <w:color w:val="auto"/>
        </w:rPr>
        <w:t>P1 Project Company</w:t>
      </w:r>
      <w:r>
        <w:rPr>
          <w:rFonts w:ascii="Times New Roman" w:cs="Times New Roman" w:eastAsia="Times New Roman" w:hAnsi="Times New Roman"/>
          <w:sz w:val="22"/>
          <w:szCs w:val="22"/>
          <w:color w:val="auto"/>
        </w:rPr>
        <w:t>”) is designing, engineering, developing, procuring, constructing, and installing the first, second, and third natural gas liquefaction production trains at the Rio Grande Facility to be located in Brownsville, Texas (the “</w:t>
      </w:r>
      <w:r>
        <w:rPr>
          <w:rFonts w:ascii="Times New Roman" w:cs="Times New Roman" w:eastAsia="Times New Roman" w:hAnsi="Times New Roman"/>
          <w:sz w:val="22"/>
          <w:szCs w:val="22"/>
          <w:u w:val="single" w:color="auto"/>
          <w:color w:val="auto"/>
        </w:rPr>
        <w:t>P1 Project</w:t>
      </w:r>
      <w:r>
        <w:rPr>
          <w:rFonts w:ascii="Times New Roman" w:cs="Times New Roman" w:eastAsia="Times New Roman" w:hAnsi="Times New Roman"/>
          <w:sz w:val="22"/>
          <w:szCs w:val="22"/>
          <w:color w:val="auto"/>
        </w:rPr>
        <w:t>”) and will, upon the design, engineering, development, procurement, construction, installation, testing and completion thereof, own the P1 Project;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P1 Project Company is separately designing, engineering, developing, procuring, constructing, and installing certain common facilities associated with the Rio Grande Facility (the “</w:t>
      </w:r>
      <w:r>
        <w:rPr>
          <w:rFonts w:ascii="Times New Roman" w:cs="Times New Roman" w:eastAsia="Times New Roman" w:hAnsi="Times New Roman"/>
          <w:sz w:val="22"/>
          <w:szCs w:val="22"/>
          <w:u w:val="single" w:color="auto"/>
          <w:color w:val="auto"/>
        </w:rPr>
        <w:t>P1 Common Facilities</w:t>
      </w:r>
      <w:r>
        <w:rPr>
          <w:rFonts w:ascii="Times New Roman" w:cs="Times New Roman" w:eastAsia="Times New Roman" w:hAnsi="Times New Roman"/>
          <w:sz w:val="22"/>
          <w:szCs w:val="22"/>
          <w:color w:val="auto"/>
        </w:rPr>
        <w:t>”), which will, upon the design, engineering, development, procurement, construction, installation, testing and completion thereof be owned by Rio Grande LNG Common Facilities LLC (“</w:t>
      </w:r>
      <w:r>
        <w:rPr>
          <w:rFonts w:ascii="Times New Roman" w:cs="Times New Roman" w:eastAsia="Times New Roman" w:hAnsi="Times New Roman"/>
          <w:sz w:val="22"/>
          <w:szCs w:val="22"/>
          <w:u w:val="single" w:color="auto"/>
          <w:color w:val="auto"/>
        </w:rPr>
        <w:t>CFCo</w:t>
      </w:r>
      <w:r>
        <w:rPr>
          <w:rFonts w:ascii="Times New Roman" w:cs="Times New Roman" w:eastAsia="Times New Roman" w:hAnsi="Times New Roman"/>
          <w:sz w:val="22"/>
          <w:szCs w:val="22"/>
          <w:color w:val="auto"/>
        </w:rPr>
        <w:t>”), a Subsidiary of P1 Project Company;</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upon the design, engineering, development, procurement, construction, installation and testing thereof, the Borrower will operate and maintain the P1 Project and the P1 Common Facilities;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the P1 Project Company has entered into certain P1 Financing Documents, and may from time to time enter into, additional P1 Financing Documents;</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WHEREAS, the Borrower has requested that the Lenders establish a credit facility, pursuant to which the Lenders will make available and provide, upon the terms and conditions set forth herein, (a) the revolving loans described herein to finance general corporate purposes and working capital requirements of the Borrower and its Subsidiaries, including development costs, transaction fees and expenses and development expenses related to the T4 Expansion, and certain other expenditures, and (b) the interest loans described herein to finance Interest Obligations, fees, and expenses due and payable under the Finance Documents; and</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Borrower (a) is the indirect owner of certain Equity Interests in the P1 Project Company and (b) intends to (individually or with one or more third-parties) develop the T4 Expansion through one or more subsidiaries.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other good and valid consideration, the receipt and adequacy of which are hereby expressly acknowledged, the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hanging="272"/>
        <w:spacing w:after="0"/>
        <w:tabs>
          <w:tab w:leader="none" w:pos="4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PRINCIPLES OF CONSTRUCTION</w:t>
      </w:r>
    </w:p>
    <w:p>
      <w:pPr>
        <w:spacing w:after="0" w:line="196"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For all purposes of this Agreement, (i) capitalized terms not otherwise defined herein shall have the meanings set forth in Schedule I and (ii) the principles of construction set forth in Schedule I shall apply.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FUNDING MATTERS</w:t>
      </w:r>
    </w:p>
    <w:p>
      <w:pPr>
        <w:spacing w:after="0" w:line="19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Availability and Borrowings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1760" w:hanging="456"/>
        <w:spacing w:after="0"/>
        <w:tabs>
          <w:tab w:leader="none" w:pos="176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387"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each Lender severally agrees to make to the Borrower on each Borrowing Date a Revolving Loan or an Interest Loan, in an aggregate principal amount not to exceed such Lender’s Revolving Loan Commitment or Interest Loan Commitment, respectively. The aggregate principal amount of all Revolving Loans made by the Lenders outstanding at any time shall not exceed the Aggregate Revolving Loan Commitment. The aggregate principal amount of all Interest Loans made by the Lenders outstanding at any time shall not exceed the Aggregate Interest Loan Commitment.</w:t>
      </w:r>
    </w:p>
    <w:p>
      <w:pPr>
        <w:spacing w:after="0" w:line="200"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21"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prepaid or repaid in respect of Loans may be re-borrowed at any time and from time to time until the expiration of the Availability Period. Any Revolving Loan Commitment or Interest Loan Commitment outstanding on the last Business Day of the Availability Period shall expire as of such date.</w:t>
      </w:r>
    </w:p>
    <w:p>
      <w:pPr>
        <w:spacing w:after="0" w:line="168" w:lineRule="exact"/>
        <w:rPr>
          <w:rFonts w:ascii="Times New Roman" w:cs="Times New Roman" w:eastAsia="Times New Roman" w:hAnsi="Times New Roman"/>
          <w:sz w:val="22"/>
          <w:szCs w:val="22"/>
          <w:color w:val="auto"/>
        </w:rPr>
      </w:pPr>
    </w:p>
    <w:p>
      <w:pPr>
        <w:jc w:val="both"/>
        <w:ind w:left="660" w:firstLine="644"/>
        <w:spacing w:after="0" w:line="254" w:lineRule="auto"/>
        <w:tabs>
          <w:tab w:leader="none" w:pos="181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Obligations of Lenders</w:t>
      </w:r>
      <w:r>
        <w:rPr>
          <w:rFonts w:ascii="Times New Roman" w:cs="Times New Roman" w:eastAsia="Times New Roman" w:hAnsi="Times New Roman"/>
          <w:sz w:val="22"/>
          <w:szCs w:val="22"/>
          <w:color w:val="auto"/>
        </w:rPr>
        <w:t>. The Loans shall be made as part of the Borrowing consisting of Loans of the same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Type made by the applicable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Commitments of the Lenders are several and no Lender shall be responsible for any other Lender’s failure to make Loans as required.</w:t>
      </w:r>
    </w:p>
    <w:p>
      <w:pPr>
        <w:spacing w:after="0" w:line="173" w:lineRule="exact"/>
        <w:rPr>
          <w:rFonts w:ascii="Times New Roman" w:cs="Times New Roman" w:eastAsia="Times New Roman" w:hAnsi="Times New Roman"/>
          <w:sz w:val="22"/>
          <w:szCs w:val="22"/>
          <w:color w:val="auto"/>
        </w:rPr>
      </w:pPr>
    </w:p>
    <w:p>
      <w:pPr>
        <w:ind w:left="660" w:right="20" w:firstLine="644"/>
        <w:spacing w:after="0" w:line="275" w:lineRule="auto"/>
        <w:tabs>
          <w:tab w:leader="none" w:pos="176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Type of Loans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each Borrowing shall be comprised entirely of ABR Loans or of SOFR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as the Borrower may request in accordance herewith.</w:t>
      </w:r>
    </w:p>
    <w:p>
      <w:pPr>
        <w:spacing w:after="0" w:line="162"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3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Amounts; Limitation on Number of Borrowings</w:t>
      </w:r>
      <w:r>
        <w:rPr>
          <w:rFonts w:ascii="Times New Roman" w:cs="Times New Roman" w:eastAsia="Times New Roman" w:hAnsi="Times New Roman"/>
          <w:sz w:val="22"/>
          <w:szCs w:val="22"/>
          <w:color w:val="auto"/>
        </w:rPr>
        <w:t>. Each SOFR Borrowing shall be in an aggregate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 of $500,000 or an integral multiple of $100,000;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SOFR Borrowing may be in an aggregate amount that is equal to the entire unused balance of the Commitments. Each ABR Borrowing shall be in an aggregate amount equal to $500,000 or an integral multiple of $100,000;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 ABR Borrowing may be in an aggregate amount that is equal to the entire unused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hanging="272"/>
        <w:spacing w:after="0"/>
        <w:tabs>
          <w:tab w:leader="none" w:pos="4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18" w:right="339" w:bottom="1440" w:gutter="0" w:footer="0" w:header="0"/>
        </w:sectPr>
      </w:pPr>
    </w:p>
    <w:bookmarkStart w:id="223" w:name="page224"/>
    <w:bookmarkEnd w:id="223"/>
    <w:p>
      <w:pPr>
        <w:ind w:left="472"/>
        <w:spacing w:after="0" w:line="271" w:lineRule="auto"/>
        <w:rPr>
          <w:sz w:val="20"/>
          <w:szCs w:val="20"/>
          <w:color w:val="auto"/>
        </w:rPr>
      </w:pPr>
      <w:r>
        <w:rPr>
          <w:rFonts w:ascii="Times New Roman" w:cs="Times New Roman" w:eastAsia="Times New Roman" w:hAnsi="Times New Roman"/>
          <w:sz w:val="22"/>
          <w:szCs w:val="22"/>
          <w:color w:val="auto"/>
        </w:rPr>
        <w:t xml:space="preserve">balance of the Commitments. Borrowings of more than one Type may be outstanding at the same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there shall not be more than a total of five SOFR Borrowings outstanding at any time.</w:t>
      </w:r>
    </w:p>
    <w:p>
      <w:pPr>
        <w:spacing w:after="0" w:line="158" w:lineRule="exact"/>
        <w:rPr>
          <w:sz w:val="20"/>
          <w:szCs w:val="20"/>
          <w:color w:val="auto"/>
        </w:rPr>
      </w:pPr>
    </w:p>
    <w:p>
      <w:pPr>
        <w:ind w:left="472"/>
        <w:spacing w:after="0"/>
        <w:tabs>
          <w:tab w:leader="none" w:pos="932"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Funding of Borrowing</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left="472" w:firstLine="644"/>
        <w:spacing w:after="0" w:line="252" w:lineRule="auto"/>
        <w:tabs>
          <w:tab w:leader="none" w:pos="1589"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Funding by Lenders</w:t>
      </w:r>
      <w:r>
        <w:rPr>
          <w:rFonts w:ascii="Times New Roman" w:cs="Times New Roman" w:eastAsia="Times New Roman" w:hAnsi="Times New Roman"/>
          <w:sz w:val="22"/>
          <w:szCs w:val="22"/>
          <w:color w:val="auto"/>
        </w:rPr>
        <w:t>. Each Lender shall make each Loan to be made by it hereunder on a Borrowing Date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wire transfer of immediately available funds by 12:00 noon, New York City time, to the account of the Administrative Agent most recently designated by it for such purpose by notice to the Lenders. The Administrative Agent will make the Loans available to the Borrower by promptly crediting the amounts so received, in like funds, for deposit into such accounts as are specified in the funds flow direction letter signed by an Authorized Officer of the Borrower and delivered to the Administrative Agent.</w:t>
      </w:r>
    </w:p>
    <w:p>
      <w:pPr>
        <w:spacing w:after="0" w:line="174" w:lineRule="exact"/>
        <w:rPr>
          <w:rFonts w:ascii="Times New Roman" w:cs="Times New Roman" w:eastAsia="Times New Roman" w:hAnsi="Times New Roman"/>
          <w:sz w:val="22"/>
          <w:szCs w:val="22"/>
          <w:color w:val="auto"/>
        </w:rPr>
      </w:pPr>
    </w:p>
    <w:p>
      <w:pPr>
        <w:jc w:val="both"/>
        <w:ind w:left="472" w:firstLine="644"/>
        <w:spacing w:after="0" w:line="260" w:lineRule="auto"/>
        <w:tabs>
          <w:tab w:leader="none" w:pos="1588"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Presumption by the Administrative Agent</w:t>
      </w:r>
      <w:r>
        <w:rPr>
          <w:rFonts w:ascii="Times New Roman" w:cs="Times New Roman" w:eastAsia="Times New Roman" w:hAnsi="Times New Roman"/>
          <w:sz w:val="21"/>
          <w:szCs w:val="21"/>
          <w:color w:val="auto"/>
        </w:rPr>
        <w:t>. Unless the Administrative Agent shall have received notice from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Lender prior to the proposed Borrowing Date that such Lender will not make available to the Administrative Agent such Lender’s share of the Borrowing, the Administrative Agent may assume that such Lender has made such share available on such date in accordance with </w:t>
      </w:r>
      <w:r>
        <w:rPr>
          <w:rFonts w:ascii="Times New Roman" w:cs="Times New Roman" w:eastAsia="Times New Roman" w:hAnsi="Times New Roman"/>
          <w:sz w:val="21"/>
          <w:szCs w:val="21"/>
          <w:u w:val="single" w:color="auto"/>
          <w:color w:val="auto"/>
        </w:rPr>
        <w:t>paragraph (a)</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If the Borrower and such Lender shall pay such interest to the Administrative Agent for the same or an overlapping period, the Administrative Agent shall promptly remit to the Borrower the amount of such interest paid by the Borrower for such period. Any payment by the Borrower shall be without prejudice to any claim the Borrower may have against a Lender that shall have failed to make such payment to the Administrative Agent as and when required hereunder.</w:t>
      </w:r>
    </w:p>
    <w:p>
      <w:pPr>
        <w:spacing w:after="0" w:line="184" w:lineRule="exact"/>
        <w:rPr>
          <w:sz w:val="20"/>
          <w:szCs w:val="20"/>
          <w:color w:val="auto"/>
        </w:rPr>
      </w:pPr>
    </w:p>
    <w:p>
      <w:pPr>
        <w:ind w:left="472"/>
        <w:spacing w:after="0"/>
        <w:tabs>
          <w:tab w:leader="none" w:pos="932"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Interest Elections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left="472" w:firstLine="644"/>
        <w:spacing w:after="0" w:line="252" w:lineRule="auto"/>
        <w:tabs>
          <w:tab w:leader="none" w:pos="171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Elections by the Borrower</w:t>
      </w:r>
      <w:r>
        <w:rPr>
          <w:rFonts w:ascii="Times New Roman" w:cs="Times New Roman" w:eastAsia="Times New Roman" w:hAnsi="Times New Roman"/>
          <w:sz w:val="22"/>
          <w:szCs w:val="22"/>
          <w:color w:val="auto"/>
        </w:rPr>
        <w:t>. Except as otherwise expressly provided herein, the Loans constituting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Borrowing initially shall be of the Type specified in the Notice of Borrowing and, in the case of a SOFR Borrowing, shall have the Interest Period specified in the Notice of Borrowing or as otherwise provided herein. Thereafter, the Borrower may elect to convert such Borrowing to a Borrowing of a different Type or to continue such Borrowing as a Borrowing of the same Type and, in the case of a SOFR Borrowing, may elect the Interest Period therefor, all as provided in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2" w:hanging="272"/>
        <w:spacing w:after="0"/>
        <w:tabs>
          <w:tab w:leader="none" w:pos="27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24" w:name="page225"/>
    <w:bookmarkEnd w:id="224"/>
    <w:p>
      <w:pPr>
        <w:jc w:val="both"/>
        <w:ind w:left="472"/>
        <w:spacing w:after="0" w:line="256" w:lineRule="auto"/>
        <w:rPr>
          <w:sz w:val="20"/>
          <w:szCs w:val="20"/>
          <w:color w:val="auto"/>
        </w:rPr>
      </w:pPr>
      <w:r>
        <w:rPr>
          <w:rFonts w:ascii="Times New Roman" w:cs="Times New Roman" w:eastAsia="Times New Roman" w:hAnsi="Times New Roman"/>
          <w:sz w:val="22"/>
          <w:szCs w:val="22"/>
          <w:color w:val="auto"/>
        </w:rPr>
        <w:t>Borrower may elect different options with respect to different portions of the Borrowing, in which case each such portion shall be allocated ratably among the Lenders holding the Loans comprising such Borrowing, and the Loans comprising each such portion shall be considered a separate Borrowing. Any Interest Period that would otherwise end after the Final Maturity Date shall end on the Final Maturity Date.</w:t>
      </w:r>
    </w:p>
    <w:p>
      <w:pPr>
        <w:spacing w:after="0" w:line="172" w:lineRule="exact"/>
        <w:rPr>
          <w:sz w:val="20"/>
          <w:szCs w:val="20"/>
          <w:color w:val="auto"/>
        </w:rPr>
      </w:pPr>
    </w:p>
    <w:p>
      <w:pPr>
        <w:jc w:val="both"/>
        <w:ind w:left="472" w:firstLine="644"/>
        <w:spacing w:after="0" w:line="252" w:lineRule="auto"/>
        <w:tabs>
          <w:tab w:leader="none" w:pos="16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Elections</w:t>
      </w:r>
      <w:r>
        <w:rPr>
          <w:rFonts w:ascii="Times New Roman" w:cs="Times New Roman" w:eastAsia="Times New Roman" w:hAnsi="Times New Roman"/>
          <w:sz w:val="22"/>
          <w:szCs w:val="22"/>
          <w:color w:val="auto"/>
        </w:rPr>
        <w:t>. Each such election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made upon the Borrower’s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irrevocable notice to the Administrative Agent. Each such notice shall be in the form of a written Interest Election Request, appropriately completed and signed by a Authorized Officer of the Borrower and must be received by the Administrative Agent not later than the time that a Notice of Borrowing would be required under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if the Borrower were requesting a Borrowing of the Type resulting from such election to be made on the effective date of such election.</w:t>
      </w:r>
    </w:p>
    <w:p>
      <w:pPr>
        <w:spacing w:after="0" w:line="174" w:lineRule="exact"/>
        <w:rPr>
          <w:rFonts w:ascii="Times New Roman" w:cs="Times New Roman" w:eastAsia="Times New Roman" w:hAnsi="Times New Roman"/>
          <w:sz w:val="22"/>
          <w:szCs w:val="22"/>
          <w:color w:val="auto"/>
        </w:rPr>
      </w:pPr>
    </w:p>
    <w:p>
      <w:pPr>
        <w:ind w:left="472" w:firstLine="644"/>
        <w:spacing w:after="0" w:line="275" w:lineRule="auto"/>
        <w:tabs>
          <w:tab w:leader="none" w:pos="175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Content of Interest Election Requests</w:t>
      </w:r>
      <w:r>
        <w:rPr>
          <w:rFonts w:ascii="Times New Roman" w:cs="Times New Roman" w:eastAsia="Times New Roman" w:hAnsi="Times New Roman"/>
          <w:sz w:val="22"/>
          <w:szCs w:val="22"/>
          <w:color w:val="auto"/>
        </w:rPr>
        <w:t>. Each written and electronically communicated Interest Election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Request shall specify the following information:</w:t>
      </w:r>
    </w:p>
    <w:p>
      <w:pPr>
        <w:spacing w:after="0" w:line="153" w:lineRule="exact"/>
        <w:rPr>
          <w:rFonts w:ascii="Times New Roman" w:cs="Times New Roman" w:eastAsia="Times New Roman" w:hAnsi="Times New Roman"/>
          <w:sz w:val="22"/>
          <w:szCs w:val="22"/>
          <w:color w:val="auto"/>
        </w:rPr>
      </w:pPr>
    </w:p>
    <w:p>
      <w:pPr>
        <w:jc w:val="both"/>
        <w:ind w:left="1112" w:firstLine="652"/>
        <w:spacing w:after="0" w:line="256" w:lineRule="auto"/>
        <w:tabs>
          <w:tab w:leader="none" w:pos="2297"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in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below shall be specified for each resulting Borrowing);</w:t>
      </w:r>
    </w:p>
    <w:p>
      <w:pPr>
        <w:spacing w:after="0" w:line="176" w:lineRule="exact"/>
        <w:rPr>
          <w:rFonts w:ascii="Times New Roman" w:cs="Times New Roman" w:eastAsia="Times New Roman" w:hAnsi="Times New Roman"/>
          <w:sz w:val="22"/>
          <w:szCs w:val="22"/>
          <w:color w:val="auto"/>
        </w:rPr>
      </w:pPr>
    </w:p>
    <w:p>
      <w:pPr>
        <w:ind w:left="1112" w:firstLine="652"/>
        <w:spacing w:after="0" w:line="271" w:lineRule="auto"/>
        <w:tabs>
          <w:tab w:leader="none" w:pos="2302"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 Business Day;</w:t>
      </w:r>
    </w:p>
    <w:p>
      <w:pPr>
        <w:spacing w:after="0" w:line="157" w:lineRule="exact"/>
        <w:rPr>
          <w:rFonts w:ascii="Times New Roman" w:cs="Times New Roman" w:eastAsia="Times New Roman" w:hAnsi="Times New Roman"/>
          <w:sz w:val="22"/>
          <w:szCs w:val="22"/>
          <w:color w:val="auto"/>
        </w:rPr>
      </w:pPr>
    </w:p>
    <w:p>
      <w:pPr>
        <w:ind w:left="2312" w:hanging="548"/>
        <w:spacing w:after="0"/>
        <w:tabs>
          <w:tab w:leader="none" w:pos="2312"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an ABR Borrowing or a SOFR Borrowing; and</w:t>
      </w:r>
    </w:p>
    <w:p>
      <w:pPr>
        <w:spacing w:after="0" w:line="233" w:lineRule="exact"/>
        <w:rPr>
          <w:rFonts w:ascii="Times New Roman" w:cs="Times New Roman" w:eastAsia="Times New Roman" w:hAnsi="Times New Roman"/>
          <w:sz w:val="22"/>
          <w:szCs w:val="22"/>
          <w:color w:val="auto"/>
        </w:rPr>
      </w:pPr>
    </w:p>
    <w:p>
      <w:pPr>
        <w:ind w:left="1112" w:firstLine="652"/>
        <w:spacing w:after="0" w:line="271" w:lineRule="auto"/>
        <w:tabs>
          <w:tab w:leader="none" w:pos="2356"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SOFR Borrowing, the Interest Period therefor after giving effect to such election, which shall be a period contemplated by the definition of the term “Interest Period”.</w:t>
      </w:r>
    </w:p>
    <w:p>
      <w:pPr>
        <w:spacing w:after="0" w:line="153" w:lineRule="exact"/>
        <w:rPr>
          <w:rFonts w:ascii="Times New Roman" w:cs="Times New Roman" w:eastAsia="Times New Roman" w:hAnsi="Times New Roman"/>
          <w:sz w:val="22"/>
          <w:szCs w:val="22"/>
          <w:color w:val="auto"/>
        </w:rPr>
      </w:pPr>
    </w:p>
    <w:p>
      <w:pPr>
        <w:jc w:val="both"/>
        <w:ind w:left="472" w:firstLine="644"/>
        <w:spacing w:after="0" w:line="259" w:lineRule="auto"/>
        <w:tabs>
          <w:tab w:leader="none" w:pos="1655"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by the Administrative Agent to the Lenders</w:t>
      </w:r>
      <w:r>
        <w:rPr>
          <w:rFonts w:ascii="Times New Roman" w:cs="Times New Roman" w:eastAsia="Times New Roman" w:hAnsi="Times New Roman"/>
          <w:sz w:val="22"/>
          <w:szCs w:val="22"/>
          <w:color w:val="auto"/>
        </w:rPr>
        <w:t>. The Administrative Agent shall advise each applicable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 of the details of an Interest Election Request and such Lender’s portion of such resulting Borrowing no less than one Business Day before the effective date of the election made pursuant to such Interest Election Request.</w:t>
      </w:r>
    </w:p>
    <w:p>
      <w:pPr>
        <w:spacing w:after="0" w:line="179" w:lineRule="exact"/>
        <w:rPr>
          <w:rFonts w:ascii="Times New Roman" w:cs="Times New Roman" w:eastAsia="Times New Roman" w:hAnsi="Times New Roman"/>
          <w:sz w:val="22"/>
          <w:szCs w:val="22"/>
          <w:color w:val="auto"/>
        </w:rPr>
      </w:pPr>
    </w:p>
    <w:p>
      <w:pPr>
        <w:jc w:val="both"/>
        <w:ind w:left="472" w:firstLine="644"/>
        <w:spacing w:after="0" w:line="249" w:lineRule="auto"/>
        <w:tabs>
          <w:tab w:leader="none" w:pos="1589"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Failure to Make an Interest Election Request; Events of Default</w:t>
      </w:r>
      <w:r>
        <w:rPr>
          <w:rFonts w:ascii="Times New Roman" w:cs="Times New Roman" w:eastAsia="Times New Roman" w:hAnsi="Times New Roman"/>
          <w:sz w:val="22"/>
          <w:szCs w:val="22"/>
          <w:color w:val="auto"/>
        </w:rPr>
        <w:t>. If the Borrower fails to deliver a timely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complete Interest Election Request with respect to a SOFR Borrowing prior to the end of the Interest Period therefor, then, unless such SOFR Borrowing is repaid as provided herein, the Borrower shall be deemed to have selected that such SOFR Borrowing shall automatically be continued as a SOFR Borrowing with an Interest Period of one month at the end of such Interest Period. Notwithstanding any contrary provision hereof, if an Event of Default has occurred and is continuing and the Administrative Agent, at the request of the Majority Lenders,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2" w:hanging="272"/>
        <w:spacing w:after="0"/>
        <w:tabs>
          <w:tab w:leader="none" w:pos="27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25" w:name="page226"/>
    <w:bookmarkEnd w:id="225"/>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notifies the Borrower, then, so long as such Event of Default is continuing (i) no outstanding Borrowing may be converted to or continued as a SOFR Borrowing and (ii) unless repaid as provided herein, each SOFR Borrowing shall automatically be converted to an ABR Borrowing at the end of the Interest Period therefor.</w:t>
      </w:r>
    </w:p>
    <w:p>
      <w:pPr>
        <w:spacing w:after="0" w:line="1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Mechanics for Requesting Borrowings</w:t>
      </w:r>
      <w:r>
        <w:rPr>
          <w:rFonts w:ascii="Times New Roman" w:cs="Times New Roman" w:eastAsia="Times New Roman" w:hAnsi="Times New Roman"/>
          <w:sz w:val="21"/>
          <w:szCs w:val="21"/>
          <w:color w:val="auto"/>
        </w:rPr>
        <w:t xml:space="preserve">. (a) To request the Borrowing of the Loans under this Agreement, the Borrower shall deliver to the Administrative Agent an irrevocable written notice of borrowing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 Borrowing</w:t>
      </w:r>
      <w:r>
        <w:rPr>
          <w:rFonts w:ascii="Times New Roman" w:cs="Times New Roman" w:eastAsia="Times New Roman" w:hAnsi="Times New Roman"/>
          <w:sz w:val="21"/>
          <w:szCs w:val="21"/>
          <w:color w:val="auto"/>
        </w:rPr>
        <w:t>”) signed by an Authorized Officer of the Borrower (x) in the case of a SOFR Borrowing, not later than 11:00 a.m., New York City time, three U.S. Government Securities Business Days prior to the date of the requested Borrowing Date and</w:t>
      </w:r>
    </w:p>
    <w:p>
      <w:pPr>
        <w:spacing w:after="0" w:line="4" w:lineRule="exact"/>
        <w:rPr>
          <w:sz w:val="20"/>
          <w:szCs w:val="20"/>
          <w:color w:val="auto"/>
        </w:rPr>
      </w:pPr>
    </w:p>
    <w:p>
      <w:pPr>
        <w:ind w:firstLine="8"/>
        <w:spacing w:after="0" w:line="261" w:lineRule="auto"/>
        <w:tabs>
          <w:tab w:leader="none" w:pos="323"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ABR Borrowing, not later than 11:00 a.m., New York City time, one Business Day before the date of the requested Borrowing Date. The Notice of Borrowing shall specify the following information:</w:t>
      </w:r>
    </w:p>
    <w:p>
      <w:pPr>
        <w:spacing w:after="0" w:line="168" w:lineRule="exact"/>
        <w:rPr>
          <w:rFonts w:ascii="Times New Roman" w:cs="Times New Roman" w:eastAsia="Times New Roman" w:hAnsi="Times New Roman"/>
          <w:sz w:val="22"/>
          <w:szCs w:val="22"/>
          <w:color w:val="auto"/>
        </w:rPr>
      </w:pPr>
    </w:p>
    <w:p>
      <w:pPr>
        <w:ind w:left="1300" w:firstLine="652"/>
        <w:spacing w:after="0" w:line="271" w:lineRule="auto"/>
        <w:tabs>
          <w:tab w:leader="none" w:pos="2449"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Borrowing of Loans requested by the Borrower, which shall be in the minimum amount and increments required by this Agreement;</w:t>
      </w:r>
    </w:p>
    <w:p>
      <w:pPr>
        <w:spacing w:after="0" w:line="157"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Borrowing which is comprised of Revolving Loans and Interest Loans;</w:t>
      </w:r>
    </w:p>
    <w:p>
      <w:pPr>
        <w:spacing w:after="0" w:line="219"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Date, which shall be a Business Day during the Availability Period;</w:t>
      </w:r>
    </w:p>
    <w:p>
      <w:pPr>
        <w:spacing w:after="0" w:line="219"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Borrowing of Loans is to be an ABR Borrowing or a SOFR Borrowing; and</w:t>
      </w:r>
    </w:p>
    <w:p>
      <w:pPr>
        <w:spacing w:after="0" w:line="233" w:lineRule="exact"/>
        <w:rPr>
          <w:rFonts w:ascii="Times New Roman" w:cs="Times New Roman" w:eastAsia="Times New Roman" w:hAnsi="Times New Roman"/>
          <w:sz w:val="22"/>
          <w:szCs w:val="22"/>
          <w:color w:val="auto"/>
        </w:rPr>
      </w:pPr>
    </w:p>
    <w:p>
      <w:pPr>
        <w:ind w:left="1300" w:firstLine="652"/>
        <w:spacing w:after="0" w:line="271" w:lineRule="auto"/>
        <w:tabs>
          <w:tab w:leader="none" w:pos="2454"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SOFR Borrowing, the Interest Period therefor, which shall be a period contemplated by the definition of “Interest Period”.</w:t>
      </w:r>
    </w:p>
    <w:p>
      <w:pPr>
        <w:spacing w:after="0" w:line="15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The Notice of Borrowing shall include as attachments all certificates and documentation required thereby, and shall be delivered in accordance with the time periods required by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5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both"/>
        <w:ind w:left="660" w:firstLine="644"/>
        <w:spacing w:after="0" w:line="259" w:lineRule="auto"/>
        <w:tabs>
          <w:tab w:leader="none" w:pos="187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Fees</w:t>
      </w:r>
      <w:r>
        <w:rPr>
          <w:rFonts w:ascii="Times New Roman" w:cs="Times New Roman" w:eastAsia="Times New Roman" w:hAnsi="Times New Roman"/>
          <w:sz w:val="22"/>
          <w:szCs w:val="22"/>
          <w:color w:val="auto"/>
        </w:rPr>
        <w:t>. The Borrower shall pay to each Agent and the Coordinating Lead Arranger the fees and expenses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payable in the amounts and at times pursuant to a Fee Letter between the Borrower and such Person together with the expenses of such Agents and/or Coordinating Lead Arranger specified in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jc w:val="both"/>
        <w:ind w:left="660" w:firstLine="644"/>
        <w:spacing w:after="0" w:line="254" w:lineRule="auto"/>
        <w:tabs>
          <w:tab w:leader="none" w:pos="188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Commitment Fees</w:t>
      </w:r>
      <w:r>
        <w:rPr>
          <w:rFonts w:ascii="Times New Roman" w:cs="Times New Roman" w:eastAsia="Times New Roman" w:hAnsi="Times New Roman"/>
          <w:sz w:val="22"/>
          <w:szCs w:val="22"/>
          <w:color w:val="auto"/>
        </w:rPr>
        <w:t>. From and including the date of Financial Close and until the end of the Availability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 the Borrower agrees to pay to the Administrative Agent, for the account of the Lenders, on each Quarterly Payment Date, a commitment fee at a rate per annum equal to 30% of the Applicable Margin for SOFR Loans on the average daily unutilized portion of the Commitments (as they may be reduced from time to time) calculated on a 365-day year and the actual number of days elapsed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hanging="272"/>
        <w:spacing w:after="0"/>
        <w:tabs>
          <w:tab w:leader="none" w:pos="4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26" w:name="page227"/>
    <w:bookmarkEnd w:id="226"/>
    <w:p>
      <w:pPr>
        <w:ind w:left="472"/>
        <w:spacing w:after="0" w:line="271" w:lineRule="auto"/>
        <w:rPr>
          <w:sz w:val="20"/>
          <w:szCs w:val="20"/>
          <w:color w:val="auto"/>
        </w:rPr>
      </w:pPr>
      <w:r>
        <w:rPr>
          <w:rFonts w:ascii="Times New Roman" w:cs="Times New Roman" w:eastAsia="Times New Roman" w:hAnsi="Times New Roman"/>
          <w:sz w:val="22"/>
          <w:szCs w:val="22"/>
          <w:color w:val="auto"/>
        </w:rPr>
        <w:t>period from the immediately preceding Quarterly Payment Date (or from the date hereof in the case of the first Quarterly Payment Date) until the end of the Availability Period.</w:t>
      </w:r>
    </w:p>
    <w:p>
      <w:pPr>
        <w:spacing w:after="0" w:line="154" w:lineRule="exact"/>
        <w:rPr>
          <w:sz w:val="20"/>
          <w:szCs w:val="20"/>
          <w:color w:val="auto"/>
        </w:rPr>
      </w:pPr>
    </w:p>
    <w:p>
      <w:pPr>
        <w:jc w:val="both"/>
        <w:ind w:left="472" w:firstLine="644"/>
        <w:spacing w:after="0" w:line="258" w:lineRule="auto"/>
        <w:tabs>
          <w:tab w:leader="none" w:pos="164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Duration Fee</w:t>
      </w:r>
      <w:r>
        <w:rPr>
          <w:rFonts w:ascii="Times New Roman" w:cs="Times New Roman" w:eastAsia="Times New Roman" w:hAnsi="Times New Roman"/>
          <w:sz w:val="22"/>
          <w:szCs w:val="22"/>
          <w:color w:val="auto"/>
        </w:rPr>
        <w:t>. If the Borrower exercises the extension option pursuant to the definition of “Final Maturity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then the Borrower shall on the date that is the earlier of (i) the Discharge Date and (ii) the Final Maturity Date, pay to the Administrative Agent for the account of the Lenders a duration fee equal to 1.50% of the aggregate amount of all outstanding Loans and undrawn Commitments as of the date the extension option is exercised.</w:t>
      </w:r>
    </w:p>
    <w:p>
      <w:pPr>
        <w:spacing w:after="0" w:line="167" w:lineRule="exact"/>
        <w:rPr>
          <w:rFonts w:ascii="Times New Roman" w:cs="Times New Roman" w:eastAsia="Times New Roman" w:hAnsi="Times New Roman"/>
          <w:sz w:val="22"/>
          <w:szCs w:val="22"/>
          <w:color w:val="auto"/>
        </w:rPr>
      </w:pPr>
    </w:p>
    <w:p>
      <w:pPr>
        <w:jc w:val="both"/>
        <w:ind w:left="472" w:right="20" w:firstLine="644"/>
        <w:spacing w:after="0" w:line="265" w:lineRule="auto"/>
        <w:tabs>
          <w:tab w:leader="none" w:pos="168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Fees</w:t>
      </w:r>
      <w:r>
        <w:rPr>
          <w:rFonts w:ascii="Times New Roman" w:cs="Times New Roman" w:eastAsia="Times New Roman" w:hAnsi="Times New Roman"/>
          <w:sz w:val="22"/>
          <w:szCs w:val="22"/>
          <w:color w:val="auto"/>
        </w:rPr>
        <w:t>. All fees payable hereunder shall be paid on the dates due, in Dollars and immediately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available funds, to the Administrative Agent (for distribution to the Lenders entitled thereto). Fees paid shall not be refundable under any circumstances absent manifest error.</w:t>
      </w:r>
    </w:p>
    <w:p>
      <w:pPr>
        <w:spacing w:after="0" w:line="165" w:lineRule="exact"/>
        <w:rPr>
          <w:sz w:val="20"/>
          <w:szCs w:val="20"/>
          <w:color w:val="auto"/>
        </w:rPr>
      </w:pPr>
    </w:p>
    <w:p>
      <w:pPr>
        <w:ind w:left="472"/>
        <w:spacing w:after="0"/>
        <w:tabs>
          <w:tab w:leader="none" w:pos="932"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Repayment of Loans; Evidence of Debt</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472" w:firstLine="644"/>
        <w:spacing w:after="0" w:line="275" w:lineRule="auto"/>
        <w:tabs>
          <w:tab w:leader="none" w:pos="171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Repayment</w:t>
      </w:r>
      <w:r>
        <w:rPr>
          <w:rFonts w:ascii="Times New Roman" w:cs="Times New Roman" w:eastAsia="Times New Roman" w:hAnsi="Times New Roman"/>
          <w:sz w:val="22"/>
          <w:szCs w:val="22"/>
          <w:color w:val="auto"/>
        </w:rPr>
        <w:t>. The Borrower hereby unconditionally promises to pay to the Administrative Agent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of the Lenders the aggregate principal amount of the Loans on the Final Maturity Date.</w:t>
      </w:r>
    </w:p>
    <w:p>
      <w:pPr>
        <w:spacing w:after="0" w:line="149" w:lineRule="exact"/>
        <w:rPr>
          <w:rFonts w:ascii="Times New Roman" w:cs="Times New Roman" w:eastAsia="Times New Roman" w:hAnsi="Times New Roman"/>
          <w:sz w:val="22"/>
          <w:szCs w:val="22"/>
          <w:color w:val="auto"/>
        </w:rPr>
      </w:pPr>
    </w:p>
    <w:p>
      <w:pPr>
        <w:jc w:val="both"/>
        <w:ind w:left="472" w:firstLine="644"/>
        <w:spacing w:after="0" w:line="250" w:lineRule="auto"/>
        <w:tabs>
          <w:tab w:leader="none" w:pos="164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Evidence of Debt</w:t>
      </w:r>
      <w:r>
        <w:rPr>
          <w:rFonts w:ascii="Times New Roman" w:cs="Times New Roman" w:eastAsia="Times New Roman" w:hAnsi="Times New Roman"/>
          <w:sz w:val="22"/>
          <w:szCs w:val="22"/>
          <w:color w:val="auto"/>
        </w:rPr>
        <w:t>. Each Lender may maintain in accordance with its usual practice an account or accounts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evidencing the Indebtedness of the Borrower to such Lender resulting from each Loan made by such Lender, including the amounts of principal and interest payable and paid to such Lender from time to time hereunder. Such account or accounts shall, to the extent not inconsistent with the notations made by the Administrative Agent in the Register, be </w:t>
      </w:r>
      <w:r>
        <w:rPr>
          <w:rFonts w:ascii="Times New Roman" w:cs="Times New Roman" w:eastAsia="Times New Roman" w:hAnsi="Times New Roman"/>
          <w:sz w:val="22"/>
          <w:szCs w:val="22"/>
          <w:i w:val="1"/>
          <w:iCs w:val="1"/>
          <w:color w:val="auto"/>
        </w:rPr>
        <w:t xml:space="preserve">prima facie </w:t>
      </w:r>
      <w:r>
        <w:rPr>
          <w:rFonts w:ascii="Times New Roman" w:cs="Times New Roman" w:eastAsia="Times New Roman" w:hAnsi="Times New Roman"/>
          <w:sz w:val="22"/>
          <w:szCs w:val="22"/>
          <w:color w:val="auto"/>
        </w:rPr>
        <w:t>evidence of such Indebtedness of the Borrower absent manifest error;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failure of any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maintain such account or accounts or any error in any such account shall not limit or otherwise affect any repayment obligations of the Borrower hereunder.</w:t>
      </w:r>
    </w:p>
    <w:p>
      <w:pPr>
        <w:spacing w:after="0" w:line="198" w:lineRule="exact"/>
        <w:rPr>
          <w:sz w:val="20"/>
          <w:szCs w:val="20"/>
          <w:color w:val="auto"/>
        </w:rPr>
      </w:pPr>
    </w:p>
    <w:p>
      <w:pPr>
        <w:ind w:left="472"/>
        <w:spacing w:after="0"/>
        <w:tabs>
          <w:tab w:leader="none" w:pos="932"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left="472" w:firstLine="644"/>
        <w:spacing w:after="0" w:line="259" w:lineRule="auto"/>
        <w:tabs>
          <w:tab w:leader="none" w:pos="161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 Rates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2.7(b)</w:t>
      </w:r>
      <w:r>
        <w:rPr>
          <w:rFonts w:ascii="Times New Roman" w:cs="Times New Roman" w:eastAsia="Times New Roman" w:hAnsi="Times New Roman"/>
          <w:sz w:val="22"/>
          <w:szCs w:val="22"/>
          <w:color w:val="auto"/>
        </w:rPr>
        <w:t>, (i) each ABR Loan shall bear interest at a rate per annum equal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ABR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for such Loan; and (ii) each SOFR Loan shall bear interest at a rate per annum equal to the Term SOFR for the Interest Period therefor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 for such Loan.</w:t>
      </w:r>
    </w:p>
    <w:p>
      <w:pPr>
        <w:spacing w:after="0" w:line="166" w:lineRule="exact"/>
        <w:rPr>
          <w:rFonts w:ascii="Times New Roman" w:cs="Times New Roman" w:eastAsia="Times New Roman" w:hAnsi="Times New Roman"/>
          <w:sz w:val="22"/>
          <w:szCs w:val="22"/>
          <w:color w:val="auto"/>
        </w:rPr>
      </w:pPr>
    </w:p>
    <w:p>
      <w:pPr>
        <w:jc w:val="both"/>
        <w:ind w:left="472" w:firstLine="644"/>
        <w:spacing w:after="0" w:line="258" w:lineRule="auto"/>
        <w:tabs>
          <w:tab w:leader="none" w:pos="1723"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 Interest</w:t>
      </w:r>
      <w:r>
        <w:rPr>
          <w:rFonts w:ascii="Times New Roman" w:cs="Times New Roman" w:eastAsia="Times New Roman" w:hAnsi="Times New Roman"/>
          <w:sz w:val="22"/>
          <w:szCs w:val="22"/>
          <w:color w:val="auto"/>
        </w:rPr>
        <w:t>. Notwithstanding the foregoing, if an Event of Default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occurred and be continuing, any principal of or interest on any Loan or any fee or other amount payable by the Borrower hereunder that is overdue shall bear interest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2.00%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rate that would otherwise be applicable to such amount pursuant to this Agreement.</w:t>
      </w:r>
    </w:p>
    <w:p>
      <w:pPr>
        <w:spacing w:after="0" w:line="167" w:lineRule="exact"/>
        <w:rPr>
          <w:rFonts w:ascii="Times New Roman" w:cs="Times New Roman" w:eastAsia="Times New Roman" w:hAnsi="Times New Roman"/>
          <w:sz w:val="22"/>
          <w:szCs w:val="22"/>
          <w:color w:val="auto"/>
        </w:rPr>
      </w:pPr>
    </w:p>
    <w:p>
      <w:pPr>
        <w:ind w:left="472" w:firstLine="644"/>
        <w:spacing w:after="0" w:line="275" w:lineRule="auto"/>
        <w:tabs>
          <w:tab w:leader="none" w:pos="157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Interest</w:t>
      </w:r>
      <w:r>
        <w:rPr>
          <w:rFonts w:ascii="Times New Roman" w:cs="Times New Roman" w:eastAsia="Times New Roman" w:hAnsi="Times New Roman"/>
          <w:sz w:val="22"/>
          <w:szCs w:val="22"/>
          <w:color w:val="auto"/>
        </w:rPr>
        <w:t>. Accrued interest on each Loan shall be payable in arrears on each Interest Payment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for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interest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72" w:hanging="272"/>
        <w:spacing w:after="0"/>
        <w:tabs>
          <w:tab w:leader="none" w:pos="27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27" w:name="page228"/>
    <w:bookmarkEnd w:id="227"/>
    <w:p>
      <w:pPr>
        <w:jc w:val="both"/>
        <w:ind w:left="472"/>
        <w:spacing w:after="0" w:line="258"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Default Interest</w:t>
      </w:r>
      <w:r>
        <w:rPr>
          <w:rFonts w:ascii="Times New Roman" w:cs="Times New Roman" w:eastAsia="Times New Roman" w:hAnsi="Times New Roman"/>
          <w:sz w:val="22"/>
          <w:szCs w:val="22"/>
          <w:color w:val="auto"/>
        </w:rPr>
        <w:t>) above shall be payable on demand, (ii) in the event of any repayment or prepayment of any Loan, accrued interest on the principal amount repaid or prepaid shall be payable on the date of such repayment or prepayment and (iii) in the event of any conversion of a SOFR Loan prior to the end of the current Interest Period therefor, accrued interest on such Loan shall be payable on the effective date of such conversion.</w:t>
      </w:r>
    </w:p>
    <w:p>
      <w:pPr>
        <w:spacing w:after="0" w:line="168" w:lineRule="exact"/>
        <w:rPr>
          <w:sz w:val="20"/>
          <w:szCs w:val="20"/>
          <w:color w:val="auto"/>
        </w:rPr>
      </w:pPr>
    </w:p>
    <w:p>
      <w:pPr>
        <w:jc w:val="both"/>
        <w:ind w:left="472" w:firstLine="644"/>
        <w:spacing w:after="0" w:line="250" w:lineRule="auto"/>
        <w:tabs>
          <w:tab w:leader="none" w:pos="1615"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 Computation</w:t>
      </w:r>
      <w:r>
        <w:rPr>
          <w:rFonts w:ascii="Times New Roman" w:cs="Times New Roman" w:eastAsia="Times New Roman" w:hAnsi="Times New Roman"/>
          <w:sz w:val="22"/>
          <w:szCs w:val="22"/>
          <w:color w:val="auto"/>
        </w:rPr>
        <w:t>. All interest hereunder shall be computed on the basis of a year of 360 days (or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case of interest computed by reference to the ABR at times when the ABR is based on the Prime Rate, such interest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ABR or Term SOFR shall be determined by the Administrative Agent, and such determination shall be conclusive absent manifest error.</w:t>
      </w:r>
    </w:p>
    <w:p>
      <w:pPr>
        <w:spacing w:after="0" w:line="180" w:lineRule="exact"/>
        <w:rPr>
          <w:rFonts w:ascii="Times New Roman" w:cs="Times New Roman" w:eastAsia="Times New Roman" w:hAnsi="Times New Roman"/>
          <w:sz w:val="22"/>
          <w:szCs w:val="22"/>
          <w:color w:val="auto"/>
        </w:rPr>
      </w:pPr>
    </w:p>
    <w:p>
      <w:pPr>
        <w:jc w:val="both"/>
        <w:ind w:left="472" w:firstLine="644"/>
        <w:spacing w:after="0" w:line="252" w:lineRule="auto"/>
        <w:tabs>
          <w:tab w:leader="none" w:pos="1778"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 SOFR Conforming Changes</w:t>
      </w:r>
      <w:r>
        <w:rPr>
          <w:rFonts w:ascii="Times New Roman" w:cs="Times New Roman" w:eastAsia="Times New Roman" w:hAnsi="Times New Roman"/>
          <w:sz w:val="22"/>
          <w:szCs w:val="22"/>
          <w:color w:val="auto"/>
        </w:rPr>
        <w:t>. In connection with the use or administration of Term SOFR,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will have the right to make Conforming Changes from time to time and, notwithstanding anything to the contrary herein or in any other Finance Document, any amendments implementing such Conforming Changes will become effective without any further action or consent of any other party to this Agreement or any other Finance Document. The Administrative Agent will promptly notify the Borrower and the Lenders of the effectiveness of any Conforming Changes in connection with the use or administration of Term SOFR.</w:t>
      </w:r>
    </w:p>
    <w:p>
      <w:pPr>
        <w:spacing w:after="0" w:line="179" w:lineRule="exact"/>
        <w:rPr>
          <w:sz w:val="20"/>
          <w:szCs w:val="20"/>
          <w:color w:val="auto"/>
        </w:rPr>
      </w:pPr>
    </w:p>
    <w:p>
      <w:pPr>
        <w:ind w:left="472"/>
        <w:spacing w:after="0"/>
        <w:tabs>
          <w:tab w:leader="none" w:pos="932"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472" w:firstLine="644"/>
        <w:spacing w:after="0" w:line="248" w:lineRule="auto"/>
        <w:tabs>
          <w:tab w:leader="none" w:pos="168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specified, the Borrower shall make each payment required to be made by it hereunder (whether of principal, interest, or fees, or under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or otherwise) or under any other Finance Document (except to the extent otherwise provided therein)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1221 Avenue of the Americas, New York, NY 10020, Attn: Lawrence Blat, except as otherwise expressly provided in the relevant Finance Document and except payments pursuant to </w:t>
      </w:r>
      <w:r>
        <w:rPr>
          <w:rFonts w:ascii="Times New Roman" w:cs="Times New Roman" w:eastAsia="Times New Roman" w:hAnsi="Times New Roman"/>
          <w:sz w:val="22"/>
          <w:szCs w:val="22"/>
          <w:u w:val="single" w:color="auto"/>
          <w:color w:val="auto"/>
        </w:rPr>
        <w:t>Sections 9.1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2" w:hanging="272"/>
        <w:spacing w:after="0"/>
        <w:tabs>
          <w:tab w:leader="none" w:pos="27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18" w:right="339" w:bottom="1440" w:gutter="0" w:footer="0" w:header="0"/>
        </w:sectPr>
      </w:pPr>
    </w:p>
    <w:bookmarkStart w:id="228" w:name="page229"/>
    <w:bookmarkEnd w:id="228"/>
    <w:p>
      <w:pPr>
        <w:ind w:left="660"/>
        <w:spacing w:after="0" w:line="271" w:lineRule="auto"/>
        <w:rPr>
          <w:sz w:val="20"/>
          <w:szCs w:val="20"/>
          <w:color w:val="auto"/>
        </w:rPr>
      </w:pPr>
      <w:r>
        <w:rPr>
          <w:rFonts w:ascii="Times New Roman" w:cs="Times New Roman" w:eastAsia="Times New Roman" w:hAnsi="Times New Roman"/>
          <w:sz w:val="22"/>
          <w:szCs w:val="22"/>
          <w:color w:val="auto"/>
        </w:rPr>
        <w:t>interest thereon shall be payable for the period of such extension. All amounts owing under this Agreement or under any other Finance Document are payable in Dollars.</w:t>
      </w:r>
    </w:p>
    <w:p>
      <w:pPr>
        <w:spacing w:after="0" w:line="158" w:lineRule="exact"/>
        <w:rPr>
          <w:sz w:val="20"/>
          <w:szCs w:val="20"/>
          <w:color w:val="auto"/>
        </w:rPr>
      </w:pPr>
    </w:p>
    <w:p>
      <w:pPr>
        <w:jc w:val="both"/>
        <w:ind w:left="660" w:firstLine="644"/>
        <w:spacing w:after="0" w:line="263" w:lineRule="auto"/>
        <w:tabs>
          <w:tab w:leader="none" w:pos="181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received by the Administrative Agent under this Agreement for account of a Lender shall be paid by the Administrative Agent promptly to such Lender, in immediately available funds, for the account of such Lender at such Lender’s applicable lending office.</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Pro Rata Treatment</w:t>
      </w:r>
      <w:r>
        <w:rPr>
          <w:rFonts w:ascii="Times New Roman" w:cs="Times New Roman" w:eastAsia="Times New Roman" w:hAnsi="Times New Roman"/>
          <w:sz w:val="22"/>
          <w:szCs w:val="22"/>
          <w:color w:val="auto"/>
        </w:rPr>
        <w:t xml:space="preserve">. Except as otherwise provided in this Agreement, (a) each Borrowing shall be made from the relevant Lenders and each termination or reduction of the amount of the Commitments shall be applied to the respective Commitments of the relevant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among the relevant Lenders according to the amounts of their respective Commitments, (b) each payment or prepayment of principal of Loans by the Borrower shall be made for account of the relevant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respective unpaid principal amounts of the Loans held by them, and (c) each payment of interest on Loans by the Borrower shall be made for account of the relevant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amounts of interest on such Loans then due and payable to the respective Lenders.</w:t>
      </w:r>
    </w:p>
    <w:p>
      <w:pPr>
        <w:spacing w:after="0" w:line="18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Presumptions of Payment</w:t>
      </w:r>
    </w:p>
    <w:p>
      <w:pPr>
        <w:spacing w:after="0" w:line="220" w:lineRule="exact"/>
        <w:rPr>
          <w:sz w:val="20"/>
          <w:szCs w:val="20"/>
          <w:color w:val="auto"/>
        </w:rPr>
      </w:pPr>
    </w:p>
    <w:p>
      <w:pPr>
        <w:jc w:val="both"/>
        <w:ind w:firstLine="8"/>
        <w:spacing w:after="0" w:line="250" w:lineRule="auto"/>
        <w:tabs>
          <w:tab w:leader="none" w:pos="10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Borrower prior to the date on which any payment is due to the Administrative Agent for account of any Lender hereunder that the Borrower will not make such payment, the Administrative Agent may assume that the Borrower has made such payment on such date in accordance herewith and may, in reliance upon such assumption, distribute to such Lender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Sharing of Payments, Etc</w:t>
      </w:r>
      <w:r>
        <w:rPr>
          <w:rFonts w:ascii="Times New Roman" w:cs="Times New Roman" w:eastAsia="Times New Roman" w:hAnsi="Times New Roman"/>
          <w:sz w:val="22"/>
          <w:szCs w:val="22"/>
          <w:color w:val="auto"/>
        </w:rPr>
        <w:t xml:space="preserve">. 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then due than the proportion received by any other Lender, then the Lender receiving such greater proportion shall purchase (for cash at face value) participations in the Loans of other Lenders to the extent necessary so that the benefit of all such payments shall be shared by the Lenders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aggregate amount of principal of and accrued interest on their respective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 w:hanging="272"/>
        <w:spacing w:after="0"/>
        <w:tabs>
          <w:tab w:leader="none" w:pos="4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29" w:name="page230"/>
    <w:bookmarkEnd w:id="229"/>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than to the Borrower or any Affiliate thereof (as to which the provisions of this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shall apply). The Borrower consents to the foregoing and agrees, to the extent it may effectively do so under applicable Government Rule,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Benchmark Replacement Setting</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left="660" w:firstLine="644"/>
        <w:spacing w:after="0" w:line="249" w:lineRule="auto"/>
        <w:tabs>
          <w:tab w:leader="none" w:pos="2007"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Notwithstanding anything to the contrary herein or in any other Finance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Business Day after the Administrative Agent has posted such proposed amendment to all affected Lenders and the Borrower so long as the Administrative Agent has not received, by such time, written notice of objection to such amendment from Lenders comprising the Majority Lenders. No replacement of a Benchmark with a Benchmark Replacement pursuant to this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 xml:space="preserve"> will occur prior to the applicable Benchmark Transition Start Date.</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4" w:lineRule="auto"/>
        <w:tabs>
          <w:tab w:leader="none" w:pos="1924"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Replacement Conforming Changes</w:t>
      </w:r>
      <w:r>
        <w:rPr>
          <w:rFonts w:ascii="Times New Roman" w:cs="Times New Roman" w:eastAsia="Times New Roman" w:hAnsi="Times New Roman"/>
          <w:sz w:val="22"/>
          <w:szCs w:val="22"/>
          <w:color w:val="auto"/>
        </w:rPr>
        <w:t>. In connection with the use, administration, adoption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implementation of a Benchmark Replacement, the Administrative Agent will have the right to make Conforming Changes from time to time and, notwithstanding anything to the contrary herein or in any other Finance Document, any amendments implementing such Conforming Changes will become effective without any further action or consent of any other party to this Agreement or any other Finance Document.</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45"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22"/>
          <w:szCs w:val="22"/>
          <w:u w:val="single" w:color="auto"/>
          <w:color w:val="auto"/>
        </w:rPr>
        <w:t>Section 2.12(d)</w:t>
      </w:r>
      <w:r>
        <w:rPr>
          <w:rFonts w:ascii="Times New Roman" w:cs="Times New Roman" w:eastAsia="Times New Roman" w:hAnsi="Times New Roman"/>
          <w:sz w:val="22"/>
          <w:szCs w:val="22"/>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Finance Document, except, in each case, as expressly required pursuant to this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60" w:hanging="272"/>
        <w:spacing w:after="0"/>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30" w:name="page231"/>
    <w:bookmarkEnd w:id="230"/>
    <w:p>
      <w:pPr>
        <w:jc w:val="both"/>
        <w:ind w:left="472" w:firstLine="644"/>
        <w:spacing w:after="0" w:line="260" w:lineRule="auto"/>
        <w:tabs>
          <w:tab w:leader="none" w:pos="1709"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Unavailability of Tenor of Benchmark</w:t>
      </w:r>
      <w:r>
        <w:rPr>
          <w:rFonts w:ascii="Times New Roman" w:cs="Times New Roman" w:eastAsia="Times New Roman" w:hAnsi="Times New Roman"/>
          <w:sz w:val="21"/>
          <w:szCs w:val="21"/>
          <w:color w:val="auto"/>
        </w:rPr>
        <w:t>. Notwithstanding anything to the contrary herein or in any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Finance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76" w:lineRule="exact"/>
        <w:rPr>
          <w:rFonts w:ascii="Times New Roman" w:cs="Times New Roman" w:eastAsia="Times New Roman" w:hAnsi="Times New Roman"/>
          <w:sz w:val="21"/>
          <w:szCs w:val="21"/>
          <w:color w:val="auto"/>
        </w:rPr>
      </w:pPr>
    </w:p>
    <w:p>
      <w:pPr>
        <w:jc w:val="both"/>
        <w:ind w:left="472" w:firstLine="644"/>
        <w:spacing w:after="0" w:line="252" w:lineRule="auto"/>
        <w:tabs>
          <w:tab w:leader="none" w:pos="175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Upon the Borrower’s receipt of notice of the commencement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83" w:lineRule="exact"/>
        <w:rPr>
          <w:rFonts w:ascii="Times New Roman" w:cs="Times New Roman" w:eastAsia="Times New Roman" w:hAnsi="Times New Roman"/>
          <w:sz w:val="22"/>
          <w:szCs w:val="22"/>
          <w:color w:val="auto"/>
        </w:rPr>
      </w:pPr>
    </w:p>
    <w:p>
      <w:pPr>
        <w:jc w:val="both"/>
        <w:ind w:left="472" w:firstLine="644"/>
        <w:spacing w:after="0" w:line="248" w:lineRule="auto"/>
        <w:tabs>
          <w:tab w:leader="none" w:pos="1583"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does not warrant or accept responsibility for, and shall not have any liability with respect to (i) the continuation of, administration of, submission of, calculation of or any other matter related to ABR,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Term SOFR or any other Benchmark prior to its discontinuance or unavailability or (ii) the effect, implementation or composition of any Conforming Changes. The Administrative Agent and its Affiliates or other related entities may engage in transactions that affect the calculation of ABR,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2" w:hanging="352"/>
        <w:spacing w:after="0"/>
        <w:tabs>
          <w:tab w:leader="none" w:pos="35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18" w:right="339" w:bottom="1440" w:gutter="0" w:footer="0" w:header="0"/>
        </w:sectPr>
      </w:pPr>
    </w:p>
    <w:bookmarkStart w:id="231" w:name="page232"/>
    <w:bookmarkEnd w:id="231"/>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discretion to ascertain ABR,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Conditions Precedent to Financial Close</w:t>
      </w:r>
      <w:r>
        <w:rPr>
          <w:rFonts w:ascii="Times New Roman" w:cs="Times New Roman" w:eastAsia="Times New Roman" w:hAnsi="Times New Roman"/>
          <w:sz w:val="22"/>
          <w:szCs w:val="22"/>
          <w:color w:val="auto"/>
        </w:rPr>
        <w:t xml:space="preserve">. The effectiveness of this Agreement and the occurrence of Financial Close are subject to satisfaction of the conditions precedent set forth below, each of which shall be reasonably satisfactory in form and substance to the Administrative Agent and each Lender (unless otherwise specified below) (unless waived in accordance with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660" w:right="20" w:firstLine="644"/>
        <w:spacing w:after="0" w:line="275" w:lineRule="auto"/>
        <w:tabs>
          <w:tab w:leader="none" w:pos="1899"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Corporate Documents. </w:t>
      </w:r>
      <w:r>
        <w:rPr>
          <w:rFonts w:ascii="Times New Roman" w:cs="Times New Roman" w:eastAsia="Times New Roman" w:hAnsi="Times New Roman"/>
          <w:sz w:val="22"/>
          <w:szCs w:val="22"/>
          <w:color w:val="auto"/>
        </w:rPr>
        <w:t>The Administrative Agent shall have received an officer’s certificate from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Credit Party, signed by an Authorized Officer of such Credit Party, dated on or around Financial Close, certifying:</w:t>
      </w:r>
    </w:p>
    <w:p>
      <w:pPr>
        <w:spacing w:after="0" w:line="153"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394"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attached to such certificate is, as applicable, a true and complete copy of one or more certificates of the Secretary of State (or its jurisdictional equivalent, as applicable) of the jurisdiction of formation of such Person, dated reasonably near Financial Close certifying (A) as to a true and correct copy of the certificate of formation of such Credit Party and each amendment thereto on file in such Secretary of State’s office (or its jurisdictional equivalent, as applicable) and (B) that (1) such amendments are the only amendments to such Credit Party’s Organic Documents on file in such Secretary of State’s office (or its jurisdictional equivalent, as applicable) and (2) such Credit Party is duly incorporated or formed, as applicable, and in good standing or presently subsisting under the laws of the applicable jurisdiction of formation;</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43"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attached to such certificate is a true and complete copy of the Organic Documents of such Credit Party including, as applicable, evidence of registration thereof in the public registry corresponding to the corporate domicile of such Credit Party;</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93"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attached to such certificate is a true and complete copy of the valid resolutions from the board of directors, managers, shareholders or members, and any other necessary corporate or other applicable authorizations and consents duly authorizing or ratifying: (A) the financing contemplated by this Agreement,</w:t>
      </w:r>
    </w:p>
    <w:p>
      <w:pPr>
        <w:spacing w:after="0" w:line="2" w:lineRule="exact"/>
        <w:rPr>
          <w:rFonts w:ascii="Times New Roman" w:cs="Times New Roman" w:eastAsia="Times New Roman" w:hAnsi="Times New Roman"/>
          <w:sz w:val="22"/>
          <w:szCs w:val="22"/>
          <w:color w:val="auto"/>
        </w:rPr>
      </w:pPr>
    </w:p>
    <w:p>
      <w:pPr>
        <w:jc w:val="both"/>
        <w:ind w:left="130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to the extent applicable, the granting of Liens by it in connection therewith in accordance with the Security Documents, and (C) its execution of, delivery of and performance under each Finance Document to which it is or is to be party and each other document required to be executed and delivered by it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0" w:hanging="352"/>
        <w:spacing w:after="0"/>
        <w:tabs>
          <w:tab w:leader="none" w:pos="5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32" w:name="page233"/>
    <w:bookmarkEnd w:id="232"/>
    <w:p>
      <w:pPr>
        <w:ind w:left="1112"/>
        <w:spacing w:after="0"/>
        <w:rPr>
          <w:sz w:val="20"/>
          <w:szCs w:val="20"/>
          <w:color w:val="auto"/>
        </w:rPr>
      </w:pPr>
      <w:r>
        <w:rPr>
          <w:rFonts w:ascii="Times New Roman" w:cs="Times New Roman" w:eastAsia="Times New Roman" w:hAnsi="Times New Roman"/>
          <w:sz w:val="22"/>
          <w:szCs w:val="22"/>
          <w:color w:val="auto"/>
        </w:rPr>
        <w:t>with the provisions hereof or thereof, and the granting of any necessary powers of attorney; and</w:t>
      </w:r>
    </w:p>
    <w:p>
      <w:pPr>
        <w:spacing w:after="0" w:line="220" w:lineRule="exact"/>
        <w:rPr>
          <w:sz w:val="20"/>
          <w:szCs w:val="20"/>
          <w:color w:val="auto"/>
        </w:rPr>
      </w:pPr>
    </w:p>
    <w:p>
      <w:pPr>
        <w:jc w:val="both"/>
        <w:ind w:left="1112" w:firstLine="652"/>
        <w:spacing w:after="0" w:line="263" w:lineRule="auto"/>
        <w:tabs>
          <w:tab w:leader="none" w:pos="2303"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attached to such certificate is a true and complete copy of the incumbency and signature of such Credit Party authorized to execute and deliver on its behalf the Finance Documents to which it is or is to be a party and any other documents in connection with the transactions contemplated hereby and thereby.</w:t>
      </w:r>
    </w:p>
    <w:p>
      <w:pPr>
        <w:spacing w:after="0" w:line="163" w:lineRule="exact"/>
        <w:rPr>
          <w:rFonts w:ascii="Times New Roman" w:cs="Times New Roman" w:eastAsia="Times New Roman" w:hAnsi="Times New Roman"/>
          <w:sz w:val="22"/>
          <w:szCs w:val="22"/>
          <w:color w:val="auto"/>
        </w:rPr>
      </w:pPr>
    </w:p>
    <w:p>
      <w:pPr>
        <w:ind w:left="472" w:firstLine="644"/>
        <w:spacing w:after="0" w:line="275" w:lineRule="auto"/>
        <w:tabs>
          <w:tab w:leader="none" w:pos="1628"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Closing Certificates</w:t>
      </w:r>
      <w:r>
        <w:rPr>
          <w:rFonts w:ascii="Times New Roman" w:cs="Times New Roman" w:eastAsia="Times New Roman" w:hAnsi="Times New Roman"/>
          <w:sz w:val="22"/>
          <w:szCs w:val="22"/>
          <w:color w:val="auto"/>
        </w:rPr>
        <w:t>. Delivery to the Administrative Agent of a certificate, signed by an Authorized Officer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the Borrower, in substantially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1572" w:hanging="456"/>
        <w:spacing w:after="0"/>
        <w:tabs>
          <w:tab w:leader="none" w:pos="1572"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Transaction Documents</w:t>
      </w:r>
      <w:r>
        <w:rPr>
          <w:rFonts w:ascii="Times New Roman" w:cs="Times New Roman" w:eastAsia="Times New Roman" w:hAnsi="Times New Roman"/>
          <w:sz w:val="22"/>
          <w:szCs w:val="22"/>
          <w:color w:val="auto"/>
        </w:rPr>
        <w:t>. The Administrative Agent shall have received copies of each of:</w:t>
      </w:r>
    </w:p>
    <w:p>
      <w:pPr>
        <w:spacing w:after="0" w:line="223" w:lineRule="exact"/>
        <w:rPr>
          <w:rFonts w:ascii="Times New Roman" w:cs="Times New Roman" w:eastAsia="Times New Roman" w:hAnsi="Times New Roman"/>
          <w:sz w:val="22"/>
          <w:szCs w:val="22"/>
          <w:color w:val="auto"/>
        </w:rPr>
      </w:pPr>
    </w:p>
    <w:p>
      <w:pPr>
        <w:ind w:left="1112" w:firstLine="652"/>
        <w:spacing w:after="0" w:line="284" w:lineRule="auto"/>
        <w:tabs>
          <w:tab w:leader="none" w:pos="2180"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Finance Documents, duly executed by the parties thereto and in full force and effect and no default by any party thereto shall have occurred and be continuing;</w:t>
      </w:r>
    </w:p>
    <w:p>
      <w:pPr>
        <w:spacing w:after="0" w:line="143" w:lineRule="exact"/>
        <w:rPr>
          <w:rFonts w:ascii="Times New Roman" w:cs="Times New Roman" w:eastAsia="Times New Roman" w:hAnsi="Times New Roman"/>
          <w:sz w:val="22"/>
          <w:szCs w:val="22"/>
          <w:color w:val="auto"/>
        </w:rPr>
      </w:pPr>
    </w:p>
    <w:p>
      <w:pPr>
        <w:jc w:val="both"/>
        <w:ind w:left="1112" w:firstLine="652"/>
        <w:spacing w:after="0" w:line="250" w:lineRule="auto"/>
        <w:tabs>
          <w:tab w:leader="none" w:pos="2297"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P1 Financing Document (and any supplements or amendments thereto), and a certificate from an Authorized Officer of the Borrower to the effect that (A) the copies of the P1 Financing Documents delivered pursuant to this clause (ii) are true, correct and complete and (B) each such P1 Financing Document is, to the Borrower’s Knowledge, in full force and effect and enforceable against each party thereto in accordance with its terms; and</w:t>
      </w:r>
    </w:p>
    <w:p>
      <w:pPr>
        <w:spacing w:after="0" w:line="194" w:lineRule="exact"/>
        <w:rPr>
          <w:rFonts w:ascii="Times New Roman" w:cs="Times New Roman" w:eastAsia="Times New Roman" w:hAnsi="Times New Roman"/>
          <w:sz w:val="22"/>
          <w:szCs w:val="22"/>
          <w:color w:val="auto"/>
        </w:rPr>
      </w:pPr>
    </w:p>
    <w:p>
      <w:pPr>
        <w:jc w:val="both"/>
        <w:ind w:left="1112" w:firstLine="652"/>
        <w:spacing w:after="0" w:line="252" w:lineRule="auto"/>
        <w:tabs>
          <w:tab w:leader="none" w:pos="2436"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P1 Material Project Document executed as of Financial Close, certified by an Authorized Officer of the Borrower party thereto as being a true, complete and correct copy thereof, each of which shall be in full force and effect and no default by the applicable Loan Party party thereto and, to the Borrower’s Knowledge, no default by any other party thereto shall have occurred and be continuing.</w:t>
      </w:r>
    </w:p>
    <w:p>
      <w:pPr>
        <w:spacing w:after="0" w:line="175" w:lineRule="exact"/>
        <w:rPr>
          <w:rFonts w:ascii="Times New Roman" w:cs="Times New Roman" w:eastAsia="Times New Roman" w:hAnsi="Times New Roman"/>
          <w:sz w:val="22"/>
          <w:szCs w:val="22"/>
          <w:color w:val="auto"/>
        </w:rPr>
      </w:pPr>
    </w:p>
    <w:p>
      <w:pPr>
        <w:jc w:val="both"/>
        <w:ind w:left="472" w:right="20" w:firstLine="644"/>
        <w:spacing w:after="0" w:line="265" w:lineRule="auto"/>
        <w:tabs>
          <w:tab w:leader="none" w:pos="1628"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Opinions of Counsel</w:t>
      </w:r>
      <w:r>
        <w:rPr>
          <w:rFonts w:ascii="Times New Roman" w:cs="Times New Roman" w:eastAsia="Times New Roman" w:hAnsi="Times New Roman"/>
          <w:sz w:val="22"/>
          <w:szCs w:val="22"/>
          <w:color w:val="auto"/>
        </w:rPr>
        <w:t>. The Administrative Agent shall have received an opinion of Latham &amp; Watkins LLP,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special New York and Delaware counsel to the Credit Parties, addressed to each Lender and each Agent, dated as of the date of Financial Close;</w:t>
      </w:r>
    </w:p>
    <w:p>
      <w:pPr>
        <w:spacing w:after="0" w:line="161" w:lineRule="exact"/>
        <w:rPr>
          <w:rFonts w:ascii="Times New Roman" w:cs="Times New Roman" w:eastAsia="Times New Roman" w:hAnsi="Times New Roman"/>
          <w:sz w:val="22"/>
          <w:szCs w:val="22"/>
          <w:color w:val="auto"/>
        </w:rPr>
      </w:pPr>
    </w:p>
    <w:p>
      <w:pPr>
        <w:jc w:val="both"/>
        <w:ind w:left="472" w:firstLine="644"/>
        <w:spacing w:after="0" w:line="254" w:lineRule="auto"/>
        <w:tabs>
          <w:tab w:leader="none" w:pos="167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Know-Your-Customer Documentation</w:t>
      </w:r>
      <w:r>
        <w:rPr>
          <w:rFonts w:ascii="Times New Roman" w:cs="Times New Roman" w:eastAsia="Times New Roman" w:hAnsi="Times New Roman"/>
          <w:sz w:val="22"/>
          <w:szCs w:val="22"/>
          <w:color w:val="auto"/>
        </w:rPr>
        <w:t>. The Lenders and the Agents shall have received documentation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satisfactory form, scope and substance requested by any Lender or Agent in order to enable such Lender or Agent to carry out all necessary “know your customer” or similar requirements and other information required by bank regulatory authorities, including those reasonably required to ensure compliance with applicable and anti-money laundering rules and regulations in such Lender’s or Agent’s jurisdiction, including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52" w:hanging="352"/>
        <w:spacing w:after="0"/>
        <w:tabs>
          <w:tab w:leader="none" w:pos="35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33" w:name="page234"/>
    <w:bookmarkEnd w:id="233"/>
    <w:p>
      <w:pPr>
        <w:jc w:val="both"/>
        <w:ind w:left="472" w:firstLine="644"/>
        <w:spacing w:after="0" w:line="254" w:lineRule="auto"/>
        <w:tabs>
          <w:tab w:leader="none" w:pos="1579"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Construction Budget and Schedule and Construction Reports. </w:t>
      </w:r>
      <w:r>
        <w:rPr>
          <w:rFonts w:ascii="Times New Roman" w:cs="Times New Roman" w:eastAsia="Times New Roman" w:hAnsi="Times New Roman"/>
          <w:sz w:val="22"/>
          <w:szCs w:val="22"/>
          <w:color w:val="auto"/>
        </w:rPr>
        <w:t>The Administrative Agent shall have received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true, correct and complete copy of (i) the Construction Budget and Schedule and (ii) each monthly construction report delivered to the P1 Administrative Agent from the Independent Engineer (as defined in the CD Credit Agreement) since the Closing Date (under and as defined in the CD Credit Agreement) regarding the construction activities in relation to the P1 Project;</w:t>
      </w:r>
    </w:p>
    <w:p>
      <w:pPr>
        <w:spacing w:after="0" w:line="173" w:lineRule="exact"/>
        <w:rPr>
          <w:rFonts w:ascii="Times New Roman" w:cs="Times New Roman" w:eastAsia="Times New Roman" w:hAnsi="Times New Roman"/>
          <w:sz w:val="22"/>
          <w:szCs w:val="22"/>
          <w:color w:val="auto"/>
        </w:rPr>
      </w:pPr>
    </w:p>
    <w:p>
      <w:pPr>
        <w:ind w:left="472" w:firstLine="644"/>
        <w:spacing w:after="0" w:line="275" w:lineRule="auto"/>
        <w:tabs>
          <w:tab w:leader="none" w:pos="1709"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Applicable Government Rules</w:t>
      </w:r>
      <w:r>
        <w:rPr>
          <w:rFonts w:ascii="Times New Roman" w:cs="Times New Roman" w:eastAsia="Times New Roman" w:hAnsi="Times New Roman"/>
          <w:sz w:val="22"/>
          <w:szCs w:val="22"/>
          <w:color w:val="auto"/>
        </w:rPr>
        <w:t>. Each Loan Party shall be in compliance in all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respects with all material Government Rules applicable to such Loan Party;</w:t>
      </w:r>
    </w:p>
    <w:p>
      <w:pPr>
        <w:spacing w:after="0" w:line="149" w:lineRule="exact"/>
        <w:rPr>
          <w:rFonts w:ascii="Times New Roman" w:cs="Times New Roman" w:eastAsia="Times New Roman" w:hAnsi="Times New Roman"/>
          <w:sz w:val="22"/>
          <w:szCs w:val="22"/>
          <w:color w:val="auto"/>
        </w:rPr>
      </w:pPr>
    </w:p>
    <w:p>
      <w:pPr>
        <w:jc w:val="both"/>
        <w:ind w:left="472" w:firstLine="644"/>
        <w:spacing w:after="0" w:line="265" w:lineRule="auto"/>
        <w:tabs>
          <w:tab w:leader="none" w:pos="1723"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Absence of Pending Litigation</w:t>
      </w:r>
      <w:r>
        <w:rPr>
          <w:rFonts w:ascii="Times New Roman" w:cs="Times New Roman" w:eastAsia="Times New Roman" w:hAnsi="Times New Roman"/>
          <w:sz w:val="22"/>
          <w:szCs w:val="22"/>
          <w:color w:val="auto"/>
        </w:rPr>
        <w:t>. There shall be no pending or to the Borrower’s Knowledge, threatened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litigation or proceeding that has a reasonable likelihood of being adversely determined and, if adversely determined, could reasonably be expected to have a Material Adverse Effect;</w:t>
      </w:r>
    </w:p>
    <w:p>
      <w:pPr>
        <w:spacing w:after="0" w:line="161" w:lineRule="exact"/>
        <w:rPr>
          <w:rFonts w:ascii="Times New Roman" w:cs="Times New Roman" w:eastAsia="Times New Roman" w:hAnsi="Times New Roman"/>
          <w:sz w:val="22"/>
          <w:szCs w:val="22"/>
          <w:color w:val="auto"/>
        </w:rPr>
      </w:pPr>
    </w:p>
    <w:p>
      <w:pPr>
        <w:jc w:val="both"/>
        <w:ind w:left="472" w:firstLine="644"/>
        <w:spacing w:after="0" w:line="249" w:lineRule="auto"/>
        <w:tabs>
          <w:tab w:leader="none" w:pos="1715"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Lien Search; Perfection of Security Interests</w:t>
      </w:r>
      <w:r>
        <w:rPr>
          <w:rFonts w:ascii="Times New Roman" w:cs="Times New Roman" w:eastAsia="Times New Roman" w:hAnsi="Times New Roman"/>
          <w:sz w:val="22"/>
          <w:szCs w:val="22"/>
          <w:color w:val="auto"/>
        </w:rPr>
        <w:t>. The Administrative Agent shall have received copies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evidence, as the case may be, of the following actions in connection with the perfection of the Collateral: (A) completed requests for information or lien, judgment and litigation search reports, dated no more than ten Business Days prior to Financial Close, for the State of Delaware and any other jurisdiction reasonably requested by the Administrative Agent that name the Credit Parties as debtors, together, as applicable, with copies of each UCC-1 financing statement, fixture filing or other filings listed therein, which shall evidence no Liens, other than Permitted Liens and (B) evidence of the completion of all other actions, recordings and filings of or with respect to the Security Documents necessary in order to perfect the first-priority (subject to Permitted Liens) Liens created thereunder, including the delivery by (1) the Pledgor to the Collateral Agent of the original certificates representing all limited liability company or other ownership interests in the Borrower and (2) the Borrower to the Collateral Agent of the original certificates representing all of its limited liability company interests in RG Super Holdings;</w:t>
      </w:r>
    </w:p>
    <w:p>
      <w:pPr>
        <w:spacing w:after="0" w:line="177" w:lineRule="exact"/>
        <w:rPr>
          <w:rFonts w:ascii="Times New Roman" w:cs="Times New Roman" w:eastAsia="Times New Roman" w:hAnsi="Times New Roman"/>
          <w:sz w:val="22"/>
          <w:szCs w:val="22"/>
          <w:color w:val="auto"/>
        </w:rPr>
      </w:pPr>
    </w:p>
    <w:p>
      <w:pPr>
        <w:jc w:val="both"/>
        <w:ind w:left="472" w:firstLine="644"/>
        <w:spacing w:after="0" w:line="274" w:lineRule="auto"/>
        <w:tabs>
          <w:tab w:leader="none" w:pos="1756"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Financial Statements</w:t>
      </w:r>
      <w:r>
        <w:rPr>
          <w:rFonts w:ascii="Times New Roman" w:cs="Times New Roman" w:eastAsia="Times New Roman" w:hAnsi="Times New Roman"/>
          <w:sz w:val="21"/>
          <w:szCs w:val="21"/>
          <w:color w:val="auto"/>
        </w:rPr>
        <w:t>. The Administrative Agent shall have received (i) the latest available financial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statements required to be delivered by the P1 Project Company under Section 10.1 (</w:t>
      </w:r>
      <w:r>
        <w:rPr>
          <w:rFonts w:ascii="Times New Roman" w:cs="Times New Roman" w:eastAsia="Times New Roman" w:hAnsi="Times New Roman"/>
          <w:sz w:val="21"/>
          <w:szCs w:val="21"/>
          <w:i w:val="1"/>
          <w:iCs w:val="1"/>
          <w:color w:val="auto"/>
        </w:rPr>
        <w:t>Financial Statements</w:t>
      </w:r>
      <w:r>
        <w:rPr>
          <w:rFonts w:ascii="Times New Roman" w:cs="Times New Roman" w:eastAsia="Times New Roman" w:hAnsi="Times New Roman"/>
          <w:sz w:val="21"/>
          <w:szCs w:val="21"/>
          <w:color w:val="auto"/>
        </w:rPr>
        <w:t>) of the CD Credit Agreement, (ii) the most recent quarterly consolidated financial statements of the Pledgor, which financial statements need not be audited, and (iii) the most recent audited annual consolidated financial statements of the Pledgor;</w:t>
      </w:r>
    </w:p>
    <w:p>
      <w:pPr>
        <w:spacing w:after="0" w:line="152" w:lineRule="exact"/>
        <w:rPr>
          <w:rFonts w:ascii="Times New Roman" w:cs="Times New Roman" w:eastAsia="Times New Roman" w:hAnsi="Times New Roman"/>
          <w:sz w:val="21"/>
          <w:szCs w:val="21"/>
          <w:color w:val="auto"/>
        </w:rPr>
      </w:pPr>
    </w:p>
    <w:p>
      <w:pPr>
        <w:ind w:left="1592" w:hanging="476"/>
        <w:spacing w:after="0"/>
        <w:tabs>
          <w:tab w:leader="none" w:pos="1592"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RP Account</w:t>
      </w:r>
      <w:r>
        <w:rPr>
          <w:rFonts w:ascii="Times New Roman" w:cs="Times New Roman" w:eastAsia="Times New Roman" w:hAnsi="Times New Roman"/>
          <w:sz w:val="22"/>
          <w:szCs w:val="22"/>
          <w:color w:val="auto"/>
        </w:rPr>
        <w:t>. The RP Account shall have been established;</w:t>
      </w:r>
    </w:p>
    <w:p>
      <w:pPr>
        <w:spacing w:after="0" w:line="219" w:lineRule="exact"/>
        <w:rPr>
          <w:rFonts w:ascii="Times New Roman" w:cs="Times New Roman" w:eastAsia="Times New Roman" w:hAnsi="Times New Roman"/>
          <w:sz w:val="22"/>
          <w:szCs w:val="22"/>
          <w:color w:val="auto"/>
        </w:rPr>
      </w:pPr>
    </w:p>
    <w:p>
      <w:pPr>
        <w:ind w:left="1532" w:hanging="416"/>
        <w:spacing w:after="0"/>
        <w:tabs>
          <w:tab w:leader="none" w:pos="1532"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or Event of Default shall have occurred and be continuing;</w:t>
      </w:r>
    </w:p>
    <w:p>
      <w:pPr>
        <w:spacing w:after="0" w:line="219" w:lineRule="exact"/>
        <w:rPr>
          <w:rFonts w:ascii="Times New Roman" w:cs="Times New Roman" w:eastAsia="Times New Roman" w:hAnsi="Times New Roman"/>
          <w:sz w:val="22"/>
          <w:szCs w:val="22"/>
          <w:color w:val="auto"/>
        </w:rPr>
      </w:pPr>
    </w:p>
    <w:p>
      <w:pPr>
        <w:ind w:left="472" w:right="20" w:firstLine="644"/>
        <w:spacing w:after="0" w:line="275" w:lineRule="auto"/>
        <w:tabs>
          <w:tab w:leader="none" w:pos="164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All representations and warranties of the Credit Parties required to be made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repeated on and as of the date of the Financial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52" w:hanging="352"/>
        <w:spacing w:after="0"/>
        <w:tabs>
          <w:tab w:leader="none" w:pos="35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18" w:right="339" w:bottom="1440" w:gutter="0" w:footer="0" w:header="0"/>
        </w:sectPr>
      </w:pPr>
    </w:p>
    <w:bookmarkStart w:id="234" w:name="page235"/>
    <w:bookmarkEnd w:id="234"/>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 xml:space="preserve">are true and correct in all material respects (or, if qualified by “materiality,” “Material Adverse Effect” or similar language, in all respects after giving effect to such qualification) on and as of such date (after giving effect to the Financial Close);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that such representations and warranties specifically refer to an earlier date, they shall be true and correct in all material respects (or, if qualified by “materiality,” “Material Adverse Effect” or similar language, in all respects after giving effect to such qualification) as of such earlier date;</w:t>
      </w:r>
    </w:p>
    <w:p>
      <w:pPr>
        <w:spacing w:after="0" w:line="175" w:lineRule="exact"/>
        <w:rPr>
          <w:sz w:val="20"/>
          <w:szCs w:val="20"/>
          <w:color w:val="auto"/>
        </w:rPr>
      </w:pPr>
    </w:p>
    <w:p>
      <w:pPr>
        <w:jc w:val="both"/>
        <w:ind w:left="660" w:firstLine="644"/>
        <w:spacing w:after="0" w:line="258" w:lineRule="auto"/>
        <w:tabs>
          <w:tab w:leader="none" w:pos="181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CD Credit Agreement Representations and Warranties</w:t>
      </w:r>
      <w:r>
        <w:rPr>
          <w:rFonts w:ascii="Times New Roman" w:cs="Times New Roman" w:eastAsia="Times New Roman" w:hAnsi="Times New Roman"/>
          <w:sz w:val="22"/>
          <w:szCs w:val="22"/>
          <w:color w:val="auto"/>
        </w:rPr>
        <w:t>. All representations and warranties of the P1 Project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under the CD Credit Agreement shall be true and correct in all material respects (or, if qualified by “materiality,” “Material Adverse Effect” or similar language, in all respects after giving effect to such qualification) on and as of such date (after giving effect to the Financial Close); and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95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Fees and Expenses</w:t>
      </w:r>
      <w:r>
        <w:rPr>
          <w:rFonts w:ascii="Times New Roman" w:cs="Times New Roman" w:eastAsia="Times New Roman" w:hAnsi="Times New Roman"/>
          <w:sz w:val="22"/>
          <w:szCs w:val="22"/>
          <w:color w:val="auto"/>
        </w:rPr>
        <w:t>. The Borrower has paid or has arranged to pay all outstanding fees,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premiums, expenses and other charges then due and payable by it to the Secured Parties under the Finance Documents at such time.</w:t>
      </w:r>
    </w:p>
    <w:p>
      <w:pPr>
        <w:spacing w:after="0" w:line="166"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3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Arrangements</w:t>
      </w:r>
      <w:r>
        <w:rPr>
          <w:rFonts w:ascii="Times New Roman" w:cs="Times New Roman" w:eastAsia="Times New Roman" w:hAnsi="Times New Roman"/>
          <w:sz w:val="22"/>
          <w:szCs w:val="22"/>
          <w:color w:val="auto"/>
        </w:rPr>
        <w:t>. Other than any Bank Fee Letters (as defined in the CD Credit Agreement)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to which MUFG Bank, Ltd. is a party, the Borrower shall have provided to the Administrative Agent a certificate attaching a copy of, or otherwise summarizing in reasonable details, any engagement letter, mandate letter, or other letter agreement, side letter, written communication or other similar instrument by which any Loan Party or the P1 Project Company agrees to pay, assume liability for, or guarantee any arranging fees, underwriting fees, credit accommodation fees, commissions, original issue discounts, premia, costs, or expenses, and any indemnity or reimbursement obligation or guarantee against any taxes, losses, costs or expenses, in each case associated with any debt or equity raise by the P1 Project Company and that is not otherwise explicitly set forth in the governing document(s) of such debt or Equity Interests that are otherwise provided to the Administrative Agent under any provision of this Agreement.</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Conditions Precedent to Each Revolving Loan Borrowing Date</w:t>
      </w:r>
      <w:r>
        <w:rPr>
          <w:rFonts w:ascii="Times New Roman" w:cs="Times New Roman" w:eastAsia="Times New Roman" w:hAnsi="Times New Roman"/>
          <w:sz w:val="22"/>
          <w:szCs w:val="22"/>
          <w:color w:val="auto"/>
        </w:rPr>
        <w:t xml:space="preserve">. The obligation of each Lender to make a Revolving Loan on the requested Borrowing Date is subject to satisfaction of the conditions precedent set forth below(unless waived in accordance with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ind w:left="1760" w:hanging="456"/>
        <w:spacing w:after="0"/>
        <w:tabs>
          <w:tab w:leader="none" w:pos="176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Financial Close</w:t>
      </w:r>
      <w:r>
        <w:rPr>
          <w:rFonts w:ascii="Times New Roman" w:cs="Times New Roman" w:eastAsia="Times New Roman" w:hAnsi="Times New Roman"/>
          <w:sz w:val="22"/>
          <w:szCs w:val="22"/>
          <w:color w:val="auto"/>
        </w:rPr>
        <w:t>. Financial Close has occurred.</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5" w:lineRule="auto"/>
        <w:tabs>
          <w:tab w:leader="none" w:pos="1789"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Borrowing</w:t>
      </w:r>
      <w:r>
        <w:rPr>
          <w:rFonts w:ascii="Times New Roman" w:cs="Times New Roman" w:eastAsia="Times New Roman" w:hAnsi="Times New Roman"/>
          <w:sz w:val="22"/>
          <w:szCs w:val="22"/>
          <w:color w:val="auto"/>
        </w:rPr>
        <w:t>. The Borrower shall have delivered to the Administrative Agent a Notice of Borrowing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 accordance with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660" w:right="20" w:firstLine="644"/>
        <w:spacing w:after="0" w:line="275" w:lineRule="auto"/>
        <w:tabs>
          <w:tab w:leader="none" w:pos="1872"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or Event of Default shall have occurred and be continuing or would result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giving effect to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0" w:hanging="352"/>
        <w:spacing w:after="0"/>
        <w:tabs>
          <w:tab w:leader="none" w:pos="5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35" w:name="page236"/>
    <w:bookmarkEnd w:id="235"/>
    <w:p>
      <w:pPr>
        <w:jc w:val="both"/>
        <w:ind w:left="660" w:firstLine="644"/>
        <w:spacing w:after="0" w:line="250" w:lineRule="auto"/>
        <w:tabs>
          <w:tab w:leader="none" w:pos="1789"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All representations and warranties of the Credit Parties required to be made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repeated on and as of the proposed Borrowing Date are true and correct in all material respects (or, if qualified by “materiality,” “Material Adverse Effect” or similar language, in all respects after giving effect to such qualification) on and as of such date (after giving effect to such Borrowing);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that such representations and warranties specifically refer to an earlier date, they shall be true and correct in all material respects (or, if qualified by “materiality,” “Material Adverse Effect” or similar language, in all respects after giving effect to such qualification) as of such earlier date.</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953"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Fees and Expenses</w:t>
      </w:r>
      <w:r>
        <w:rPr>
          <w:rFonts w:ascii="Times New Roman" w:cs="Times New Roman" w:eastAsia="Times New Roman" w:hAnsi="Times New Roman"/>
          <w:sz w:val="22"/>
          <w:szCs w:val="22"/>
          <w:color w:val="auto"/>
        </w:rPr>
        <w:t>. The Borrower has paid or has arranged to pay all outstanding fees,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premiums, expenses and other charges then due and payable by it to the Secured Parties under the Finance Documents at such time.</w:t>
      </w:r>
    </w:p>
    <w:p>
      <w:pPr>
        <w:spacing w:after="0" w:line="161" w:lineRule="exact"/>
        <w:rPr>
          <w:rFonts w:ascii="Times New Roman" w:cs="Times New Roman" w:eastAsia="Times New Roman" w:hAnsi="Times New Roman"/>
          <w:sz w:val="22"/>
          <w:szCs w:val="22"/>
          <w:color w:val="auto"/>
        </w:rPr>
      </w:pPr>
    </w:p>
    <w:p>
      <w:pPr>
        <w:jc w:val="both"/>
        <w:ind w:left="660" w:right="20" w:firstLine="644"/>
        <w:spacing w:after="0" w:line="259" w:lineRule="auto"/>
        <w:tabs>
          <w:tab w:leader="none" w:pos="1956"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P1 Project Default or Event of Default</w:t>
      </w:r>
      <w:r>
        <w:rPr>
          <w:rFonts w:ascii="Times New Roman" w:cs="Times New Roman" w:eastAsia="Times New Roman" w:hAnsi="Times New Roman"/>
          <w:sz w:val="22"/>
          <w:szCs w:val="22"/>
          <w:color w:val="auto"/>
        </w:rPr>
        <w:t>. The Borrower shall have delivered a certificate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certifying that, as of the proposed Borrowing Date, there is no outstanding “Default” under and as defined in the CD Credit Agreement.</w:t>
      </w:r>
    </w:p>
    <w:p>
      <w:pPr>
        <w:spacing w:after="0" w:line="166"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5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Arrangements</w:t>
      </w:r>
      <w:r>
        <w:rPr>
          <w:rFonts w:ascii="Times New Roman" w:cs="Times New Roman" w:eastAsia="Times New Roman" w:hAnsi="Times New Roman"/>
          <w:sz w:val="22"/>
          <w:szCs w:val="22"/>
          <w:color w:val="auto"/>
        </w:rPr>
        <w:t>. Unless otherwise delivered to the Administrative Agent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5.1(f)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other than any Bank Fee Letters (as defined in the CD Credit Agreement) and any agreement to which MUFG Bank, Ltd. is a party, the Borrower shall have provided to the Administrative Agent a certificate attaching a copy of, or otherwise summarizing in reasonable details, any engagement letter, mandate letter, or other letter agreement, side letter, written communication or other similar instrument by which any Loan Party or the P1 Project Company agrees to pay, assume liability for, or guarantee any arranging fees, underwriting fees, credit accommodation fees, commissions, original issue discounts, premia, costs, or expenses, and any indemnity or reimbursement obligation or guarantee against any taxes, losses, costs or expenses, in each case associated with any debt or equity raise by the P1 Project Company and that is not otherwise explicitly set forth in the governing document(s) of such debt or Equity Interests that are otherwise provided to the Administrative Agent under any provision of this Agreement.</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Conditions Precedent to Each Interest Loan Borrowing Date</w:t>
      </w:r>
      <w:r>
        <w:rPr>
          <w:rFonts w:ascii="Times New Roman" w:cs="Times New Roman" w:eastAsia="Times New Roman" w:hAnsi="Times New Roman"/>
          <w:sz w:val="22"/>
          <w:szCs w:val="22"/>
          <w:color w:val="auto"/>
        </w:rPr>
        <w:t xml:space="preserve">. The obligation of each Lender to make an Interest Loan on the requested Borrowing Date is subject to satisfaction of the conditions precedent set forth below (unless waived in accordance with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ind w:left="1760" w:hanging="456"/>
        <w:spacing w:after="0"/>
        <w:tabs>
          <w:tab w:leader="none" w:pos="176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Financial Close</w:t>
      </w:r>
      <w:r>
        <w:rPr>
          <w:rFonts w:ascii="Times New Roman" w:cs="Times New Roman" w:eastAsia="Times New Roman" w:hAnsi="Times New Roman"/>
          <w:sz w:val="22"/>
          <w:szCs w:val="22"/>
          <w:color w:val="auto"/>
        </w:rPr>
        <w:t>. Financial Close has occurred.</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5" w:lineRule="auto"/>
        <w:tabs>
          <w:tab w:leader="none" w:pos="1789"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Borrowing</w:t>
      </w:r>
      <w:r>
        <w:rPr>
          <w:rFonts w:ascii="Times New Roman" w:cs="Times New Roman" w:eastAsia="Times New Roman" w:hAnsi="Times New Roman"/>
          <w:sz w:val="22"/>
          <w:szCs w:val="22"/>
          <w:color w:val="auto"/>
        </w:rPr>
        <w:t>. The Borrower shall have delivered to the Administrative Agent a Notice of Borrowing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 accordance with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660" w:right="20" w:firstLine="644"/>
        <w:spacing w:after="0" w:line="287" w:lineRule="auto"/>
        <w:tabs>
          <w:tab w:leader="none" w:pos="1872"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or Event of Default shall have occurred and be continuing or would result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giving effect to such Borrowing; provided, that,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hanging="352"/>
        <w:spacing w:after="0"/>
        <w:tabs>
          <w:tab w:leader="none" w:pos="5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18" w:right="339" w:bottom="1440" w:gutter="0" w:footer="0" w:header="0"/>
        </w:sectPr>
      </w:pPr>
    </w:p>
    <w:bookmarkStart w:id="236" w:name="page237"/>
    <w:bookmarkEnd w:id="236"/>
    <w:p>
      <w:pPr>
        <w:ind w:left="660"/>
        <w:spacing w:after="0" w:line="271" w:lineRule="auto"/>
        <w:rPr>
          <w:sz w:val="20"/>
          <w:szCs w:val="20"/>
          <w:color w:val="auto"/>
        </w:rPr>
      </w:pPr>
      <w:r>
        <w:rPr>
          <w:rFonts w:ascii="Times New Roman" w:cs="Times New Roman" w:eastAsia="Times New Roman" w:hAnsi="Times New Roman"/>
          <w:sz w:val="22"/>
          <w:szCs w:val="22"/>
          <w:color w:val="auto"/>
        </w:rPr>
        <w:t xml:space="preserve">purposes of this </w:t>
      </w:r>
      <w:r>
        <w:rPr>
          <w:rFonts w:ascii="Times New Roman" w:cs="Times New Roman" w:eastAsia="Times New Roman" w:hAnsi="Times New Roman"/>
          <w:sz w:val="22"/>
          <w:szCs w:val="22"/>
          <w:u w:val="single" w:color="auto"/>
          <w:color w:val="auto"/>
        </w:rPr>
        <w:t>Section 3.3(c)</w:t>
      </w:r>
      <w:r>
        <w:rPr>
          <w:rFonts w:ascii="Times New Roman" w:cs="Times New Roman" w:eastAsia="Times New Roman" w:hAnsi="Times New Roman"/>
          <w:sz w:val="22"/>
          <w:szCs w:val="22"/>
          <w:color w:val="auto"/>
        </w:rPr>
        <w:t>, no “Default” under and as defined in any P1 Financing Document shall constitute a Default hereunder.</w:t>
      </w:r>
    </w:p>
    <w:p>
      <w:pPr>
        <w:spacing w:after="0" w:line="154" w:lineRule="exact"/>
        <w:rPr>
          <w:sz w:val="20"/>
          <w:szCs w:val="20"/>
          <w:color w:val="auto"/>
        </w:rPr>
      </w:pPr>
    </w:p>
    <w:p>
      <w:pPr>
        <w:jc w:val="both"/>
        <w:ind w:left="660" w:firstLine="644"/>
        <w:spacing w:after="0" w:line="265" w:lineRule="auto"/>
        <w:tabs>
          <w:tab w:leader="none" w:pos="195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Fees and Expenses</w:t>
      </w:r>
      <w:r>
        <w:rPr>
          <w:rFonts w:ascii="Times New Roman" w:cs="Times New Roman" w:eastAsia="Times New Roman" w:hAnsi="Times New Roman"/>
          <w:sz w:val="22"/>
          <w:szCs w:val="22"/>
          <w:color w:val="auto"/>
        </w:rPr>
        <w:t>. The Borrower has paid or has arranged to pay all outstanding fees,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premiums, expenses and other charges then due and payable by it to the Secured Parties under the Finance Documents at such time.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The Loan Parties make the representations and warranties contained in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to each Agent and each Lender. Unless a representation and warranty is expressly made solely as of a specific date, each such representation and warranty shall be deemed made as of Financial Close. The representations and warranties contained herein shall survive the execution and delivery of this Agreement and except as provided below, shall be deemed to be repeated by the applicable Loan Party on each Borrowing Date.</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Corporate Status</w:t>
      </w:r>
      <w:r>
        <w:rPr>
          <w:rFonts w:ascii="Times New Roman" w:cs="Times New Roman" w:eastAsia="Times New Roman" w:hAnsi="Times New Roman"/>
          <w:sz w:val="22"/>
          <w:szCs w:val="22"/>
          <w:color w:val="auto"/>
        </w:rPr>
        <w:t>. Each Loan Party (a) is a limited liability company duly formed and validly existing under the laws of the State of Delaware, (b) is duly qualified and in good standing (where relevant) under the laws of each jurisdiction where the conduct of its business requires such qualification except to the extent that failure to do so could not reasonably be expected to have a Material Adverse Effect, and (c) has all requisite power and authority to perform all its Obligations under the Finance Documents to which it is or may become party, including the granting of security interests and Liens pursuant to the Security Documents.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Corporate Power and Authority</w:t>
      </w:r>
      <w:r>
        <w:rPr>
          <w:rFonts w:ascii="Times New Roman" w:cs="Times New Roman" w:eastAsia="Times New Roman" w:hAnsi="Times New Roman"/>
          <w:sz w:val="22"/>
          <w:szCs w:val="22"/>
          <w:color w:val="auto"/>
        </w:rPr>
        <w:t>. Each Loan Party has taken all necessary action to authorize or ratify the execution, delivery and performance by it of each of the Finance Documents to which it is a party as have been executed and delivered by it as of each date this representation and warranty is made or deemed to be made. Each Loan Party has duly authorized, executed and delivered each of the Finance Documents to which, as of the relevant date that this representation and warranty is made or deemed made, it is a party.</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Government Approval</w:t>
      </w:r>
      <w:r>
        <w:rPr>
          <w:rFonts w:ascii="Times New Roman" w:cs="Times New Roman" w:eastAsia="Times New Roman" w:hAnsi="Times New Roman"/>
          <w:sz w:val="22"/>
          <w:szCs w:val="22"/>
          <w:color w:val="auto"/>
        </w:rPr>
        <w:t>. As of Financial Close, each Loan Party has obtained all material Government Approvals necessary under applicable Government Rule as of Financial Close in connection with such Loan Party’s execution, delivery and performance of the Finance Documents to which it is a party.</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Compliance with Applicable Government Rules</w:t>
      </w:r>
      <w:r>
        <w:rPr>
          <w:rFonts w:ascii="Times New Roman" w:cs="Times New Roman" w:eastAsia="Times New Roman" w:hAnsi="Times New Roman"/>
          <w:sz w:val="22"/>
          <w:szCs w:val="22"/>
          <w:color w:val="auto"/>
        </w:rPr>
        <w:t>. Each Loan Party is in compliance in all material respects with all material Government Rules applicable to such Loan Party.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Legality and Enforceability</w:t>
      </w:r>
      <w:r>
        <w:rPr>
          <w:rFonts w:ascii="Times New Roman" w:cs="Times New Roman" w:eastAsia="Times New Roman" w:hAnsi="Times New Roman"/>
          <w:sz w:val="22"/>
          <w:szCs w:val="22"/>
          <w:color w:val="auto"/>
        </w:rPr>
        <w:t>. Assuming due execution and delivery thereof by each other party thereto, each Finance Document to which a Loan Party is a party constitutes or, when executed and delivered by such Loan Party and all other parties to the relevant Finance Document, will constitute, the legal, valid and binding obligation of such Loan Party enforceable in accordance with its terms, except as the enforceability thereof may be limited by (a)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hanging="352"/>
        <w:spacing w:after="0"/>
        <w:tabs>
          <w:tab w:leader="none" w:pos="5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37" w:name="page238"/>
    <w:bookmarkEnd w:id="237"/>
    <w:p>
      <w:pPr>
        <w:jc w:val="both"/>
        <w:spacing w:after="0" w:line="257" w:lineRule="auto"/>
        <w:rPr>
          <w:sz w:val="20"/>
          <w:szCs w:val="20"/>
          <w:color w:val="auto"/>
        </w:rPr>
      </w:pPr>
      <w:r>
        <w:rPr>
          <w:rFonts w:ascii="Times New Roman" w:cs="Times New Roman" w:eastAsia="Times New Roman" w:hAnsi="Times New Roman"/>
          <w:sz w:val="22"/>
          <w:szCs w:val="22"/>
          <w:color w:val="auto"/>
        </w:rPr>
        <w:t>bankruptcy, insolvency, fraudulent conveyance, reorganization, moratorium and other similar laws affecting creditors’ rights generally and (b) general equitable principles regardless of whether the issue of enforceability is considered in a proceeding in equity or at law.</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 xml:space="preserve">. As of the Financial Close, except as set forth in </w:t>
      </w:r>
      <w:r>
        <w:rPr>
          <w:rFonts w:ascii="Times New Roman" w:cs="Times New Roman" w:eastAsia="Times New Roman" w:hAnsi="Times New Roman"/>
          <w:sz w:val="22"/>
          <w:szCs w:val="22"/>
          <w:u w:val="single" w:color="auto"/>
          <w:color w:val="auto"/>
        </w:rPr>
        <w:t>Schedule 4.6</w:t>
      </w:r>
      <w:r>
        <w:rPr>
          <w:rFonts w:ascii="Times New Roman" w:cs="Times New Roman" w:eastAsia="Times New Roman" w:hAnsi="Times New Roman"/>
          <w:sz w:val="22"/>
          <w:szCs w:val="22"/>
          <w:color w:val="auto"/>
        </w:rPr>
        <w:t xml:space="preserve"> or as could not reasonably be expected to result in a Material Adverse Effect, each Loan Party, the P1 Project Company, and the P1 Project are, and have been, in compliance with all applicable Environmental Laws.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The Security Documents that have been delivered on or prior to the date this representation is made are effective to create, in favor of the Collateral Agent for the benefit of the Secured Parties, a legal, valid and enforceable first priority Lien on and security interest in all of the Collateral purported to be covered thereby (subject to Permitted Liens and any exceptions permitted under the Security Documents).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No Default or Event of Default has occurred and is continuing;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no “Default” under and as defined in any P1 Financing Document shall constitute a Default hereunder.</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No Breach</w:t>
      </w:r>
      <w:r>
        <w:rPr>
          <w:rFonts w:ascii="Times New Roman" w:cs="Times New Roman" w:eastAsia="Times New Roman" w:hAnsi="Times New Roman"/>
          <w:sz w:val="22"/>
          <w:szCs w:val="22"/>
          <w:color w:val="auto"/>
        </w:rPr>
        <w:t>. The execution by each Loan Party of the Finance Documents to which it is a party or the consummation of the transactions contemplated thereby or the compliance with the terms thereof does not or will not (i) conflict with or violate such Loan Party’s Organic Documents, (ii) violate any material Government Rule applicable to it where such violation could reasonably be expected to have a Material Adverse Effect, (iii) result in or create any Lien upon any of the revenues, properties or assets of such Loan Party (other than Permitted Liens), or (iv) contravene or conflict with any material agreement which is binding upon such Loan Party or any of its revenues, properties or assets, except where such contravention or conflict does not have and could not reasonably be expected to have a Material Adverse Effect.</w:t>
      </w:r>
    </w:p>
    <w:p>
      <w:pPr>
        <w:spacing w:after="0" w:line="19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4.10</w:t>
      </w:r>
      <w:r>
        <w:rPr>
          <w:sz w:val="20"/>
          <w:szCs w:val="20"/>
          <w:color w:val="auto"/>
        </w:rPr>
        <w:tab/>
      </w:r>
      <w:r>
        <w:rPr>
          <w:rFonts w:ascii="Times New Roman" w:cs="Times New Roman" w:eastAsia="Times New Roman" w:hAnsi="Times New Roman"/>
          <w:sz w:val="21"/>
          <w:szCs w:val="21"/>
          <w:u w:val="single" w:color="auto"/>
          <w:color w:val="auto"/>
        </w:rPr>
        <w:t>Ownership</w:t>
      </w:r>
      <w:r>
        <w:rPr>
          <w:rFonts w:ascii="Times New Roman" w:cs="Times New Roman" w:eastAsia="Times New Roman" w:hAnsi="Times New Roman"/>
          <w:sz w:val="21"/>
          <w:szCs w:val="21"/>
          <w:color w:val="auto"/>
        </w:rPr>
        <w:t>. As of Financial Close:</w:t>
      </w:r>
    </w:p>
    <w:p>
      <w:pPr>
        <w:spacing w:after="0" w:line="220" w:lineRule="exact"/>
        <w:rPr>
          <w:sz w:val="20"/>
          <w:szCs w:val="20"/>
          <w:color w:val="auto"/>
        </w:rPr>
      </w:pPr>
    </w:p>
    <w:p>
      <w:pPr>
        <w:jc w:val="both"/>
        <w:ind w:left="660" w:firstLine="644"/>
        <w:spacing w:after="0" w:line="251" w:lineRule="auto"/>
        <w:tabs>
          <w:tab w:leader="none" w:pos="191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Pledgor directly owns 100% of the limited liability company interests of the Borrower, (ii) the Borrower directly owns 100% of the limited liability company interests of RG Super Holdings, (iii) RG Super Holdings directly owns 100% of the limited liability company interests of RG Intermediate Super Holdings, (iv) RG Intermediate Super Holdings directly owns 100% of the Class A Units of RG Intermediate Holdings, (v) RG Intermediate Holdings directly owns 100% of the limited liability company interests of RG Holdings, and (vi) RG Holdings directly owns 100% of the limited liability company interests of the P1 Project Company;</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5"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are no call options, purchase options or similar rights of any Person in respect of such Equity Interests described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above other than as set forth in the P1 Financing Documents or the Organic Documents of such Person.</w:t>
      </w:r>
    </w:p>
    <w:p>
      <w:pPr>
        <w:spacing w:after="0" w:line="17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Times New Roman" w:cs="Times New Roman" w:eastAsia="Times New Roman" w:hAnsi="Times New Roman"/>
          <w:sz w:val="21"/>
          <w:szCs w:val="21"/>
          <w:u w:val="single" w:color="auto"/>
          <w:color w:val="auto"/>
        </w:rPr>
        <w:t>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hanging="352"/>
        <w:spacing w:after="0"/>
        <w:tabs>
          <w:tab w:leader="none" w:pos="5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38" w:name="page239"/>
    <w:bookmarkEnd w:id="238"/>
    <w:p>
      <w:pPr>
        <w:jc w:val="both"/>
        <w:ind w:firstLine="8"/>
        <w:spacing w:after="0" w:line="256" w:lineRule="auto"/>
        <w:tabs>
          <w:tab w:leader="none" w:pos="108"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Financial Close, except as set forth in </w:t>
      </w:r>
      <w:r>
        <w:rPr>
          <w:rFonts w:ascii="Times New Roman" w:cs="Times New Roman" w:eastAsia="Times New Roman" w:hAnsi="Times New Roman"/>
          <w:sz w:val="22"/>
          <w:szCs w:val="22"/>
          <w:u w:val="single" w:color="auto"/>
          <w:color w:val="auto"/>
        </w:rPr>
        <w:t>Schedule 4.11</w:t>
      </w:r>
      <w:r>
        <w:rPr>
          <w:rFonts w:ascii="Times New Roman" w:cs="Times New Roman" w:eastAsia="Times New Roman" w:hAnsi="Times New Roman"/>
          <w:sz w:val="22"/>
          <w:szCs w:val="22"/>
          <w:color w:val="auto"/>
        </w:rPr>
        <w:t>, there is no pending, or to the Borrower’s Knowledge, threatened in writing, litigation, investigation, action or proceeding, of or before any court, arbitrator or Government Authority which has a reasonable likelihood of being adversely determined and, if adversely determined, could reasonably be expected to have a Material Adverse Effect.</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Permitted Business</w:t>
      </w:r>
      <w:r>
        <w:rPr>
          <w:rFonts w:ascii="Times New Roman" w:cs="Times New Roman" w:eastAsia="Times New Roman" w:hAnsi="Times New Roman"/>
          <w:sz w:val="22"/>
          <w:szCs w:val="22"/>
          <w:color w:val="auto"/>
        </w:rPr>
        <w:t>. As of Financial Close, no Loan Party has engaged in any business activity other than the Permitted Business.</w:t>
      </w:r>
    </w:p>
    <w:p>
      <w:pPr>
        <w:spacing w:after="0" w:line="15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4.13 </w:t>
      </w:r>
      <w:r>
        <w:rPr>
          <w:rFonts w:ascii="Times New Roman" w:cs="Times New Roman" w:eastAsia="Times New Roman" w:hAnsi="Times New Roman"/>
          <w:sz w:val="21"/>
          <w:szCs w:val="21"/>
          <w:u w:val="single" w:color="auto"/>
          <w:color w:val="auto"/>
        </w:rPr>
        <w:t>Accuracy of Disclosure</w:t>
      </w:r>
      <w:r>
        <w:rPr>
          <w:rFonts w:ascii="Times New Roman" w:cs="Times New Roman" w:eastAsia="Times New Roman" w:hAnsi="Times New Roman"/>
          <w:sz w:val="21"/>
          <w:szCs w:val="21"/>
          <w:color w:val="auto"/>
        </w:rPr>
        <w:t xml:space="preserve">. Except as otherwise disclosed by the Borrower in writing on or prior to Financial Close, neither this Agreement nor any Finance Document nor any reports, financial statements, certificates or other written information furnished to the Lenders by or on behalf of the Borrower in connection with the negotiation of, and the extension of credit under the Finance Documents or delivered to the Lenders or the Administrative Agent (or their respective counsel), when taken as a whole, contains, as of Financial Close, any untrue statement of a material fact pertaining to any Loan Party or the P1 Project, or omits to state a material fact pertaining to any Loan Party or the P1 Project necessary to make the statements contained herein or therein, in light of the circumstances under which they were made, not misleading, in any material respect;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with respect to any projected financial information, forecasts, estimates, or forward-looking information, information of a general economic or general industry nature or pro forma calculation made in the Construction Budget and Schedule, this Agreement, the Closing Date Financial Model, including with respect to the start of operations of the P1 Project, the Term Conversion Date (as defined in the CD Credit Agreement), final capital costs or operating costs of the Development (as defined in the P1 Common Terms Agreement), oil prices, Gas prices, LNG prices, electricity prices, Gas reserves, rates of production, Gas market supplies, LNG market demand, exchange rates or interest rates, rates of taxation, rates of inflation, transportation volumes or any other forecasts, projections, assumptions, estimates or pro forma calculations, the Borrower represents only that such information was based on assumptions made in good faith and believed to be reasonable at the time made in light of the legal and factual circumstances then applicable to the Borrower and the P1 Project, and the Borrower makes no representation as to the actual attainability of any projections set forth in the Closing Date Financial Model, the Construction Budget and Schedule, or any such other items listed in this clause (a) and (b) and the Borrower makes no representation with respect to any information or material provided by a consultant (except to the extent such information or material originated with the Borrower).</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u w:val="single" w:color="auto"/>
          <w:color w:val="auto"/>
        </w:rPr>
        <w:t>Tax Status; Payments of Taxes</w:t>
      </w:r>
      <w:r>
        <w:rPr>
          <w:rFonts w:ascii="Times New Roman" w:cs="Times New Roman" w:eastAsia="Times New Roman" w:hAnsi="Times New Roman"/>
          <w:sz w:val="22"/>
          <w:szCs w:val="22"/>
          <w:color w:val="auto"/>
        </w:rPr>
        <w:t>. No Loan Party is classified as an association (or publicly traded partnership) taxable as a corporation for U.S. federal income tax purposes and neither the execution and delivery of this Agreement nor the consummation of any of the transactions contemplated hereby shall affect such status. Each Loan Party has timely filed, or caused to be filed, all material Tax returns required by applicable Government Rule to be filed. Each Loan Party has paid, or caused to be paid, (a) all Taxes shown to be due and payable on such Tax returns or on any material assessments made against such Loan Party or any of its property and (b) all material Taxes imposed on such Loan Party or its property by any Government Authority (other than Taxes the payment of which are not yet due, giving effect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0" w:hanging="352"/>
        <w:spacing w:after="0"/>
        <w:tabs>
          <w:tab w:leader="none" w:pos="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39" w:name="page240"/>
    <w:bookmarkEnd w:id="239"/>
    <w:p>
      <w:pPr>
        <w:jc w:val="both"/>
        <w:spacing w:after="0" w:line="256" w:lineRule="auto"/>
        <w:rPr>
          <w:sz w:val="20"/>
          <w:szCs w:val="20"/>
          <w:color w:val="auto"/>
        </w:rPr>
      </w:pPr>
      <w:r>
        <w:rPr>
          <w:rFonts w:ascii="Times New Roman" w:cs="Times New Roman" w:eastAsia="Times New Roman" w:hAnsi="Times New Roman"/>
          <w:sz w:val="22"/>
          <w:szCs w:val="22"/>
          <w:color w:val="auto"/>
        </w:rPr>
        <w:t>any applicable extensions or the permitted period for payment prior to the Tax becoming delinquent or incurring interest or penalties, or which are being Contested), and no tax Liens (other than Permitted Liens) have been filed and no material actions, suits, proceedings, investigations, audits, or claims are being asserted with respect to any such Taxes (other than claims which are being Contested).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4.15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The most recent financial statements of the Pledgor furnished to the Administrative Agent pursuant to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were prepared in accordance with GAAP and fairly present, in all material respects in each case, its financial condition as at the date thereof, subject to the qualifications noted therein and subject in the case of any such interim or unaudited financial statements, to changes resulting from audit and normal year-end adjustments and the absence of footnote disclosure.</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u w:val="single" w:color="auto"/>
          <w:color w:val="auto"/>
        </w:rPr>
        <w:t>4.16</w:t>
      </w:r>
      <w:r>
        <w:rPr>
          <w:sz w:val="20"/>
          <w:szCs w:val="20"/>
          <w:color w:val="auto"/>
        </w:rPr>
        <w:tab/>
      </w:r>
      <w:r>
        <w:rPr>
          <w:rFonts w:ascii="Times New Roman" w:cs="Times New Roman" w:eastAsia="Times New Roman" w:hAnsi="Times New Roman"/>
          <w:sz w:val="21"/>
          <w:szCs w:val="21"/>
          <w:u w:val="single" w:color="auto"/>
          <w:color w:val="auto"/>
        </w:rPr>
        <w:t>Sanctions.</w:t>
      </w:r>
    </w:p>
    <w:p>
      <w:pPr>
        <w:spacing w:after="0" w:line="220" w:lineRule="exact"/>
        <w:rPr>
          <w:sz w:val="20"/>
          <w:szCs w:val="20"/>
          <w:color w:val="auto"/>
        </w:rPr>
      </w:pPr>
    </w:p>
    <w:p>
      <w:pPr>
        <w:ind w:left="660" w:firstLine="644"/>
        <w:spacing w:after="0" w:line="271" w:lineRule="auto"/>
        <w:tabs>
          <w:tab w:leader="none" w:pos="1828"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Financial Close, neither the making of any Loans nor the use of proceeds of any Loan by the Loan Parties will violate or cause any violation by any Person of applicable Sanctions Regulations.</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1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Loan Parties, nor any director, officer, or to the knowledge of the Borrower, employee or agent of any of the foregoing, is a Restricted Person.</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4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has instituted and maintains policies and procedures, including appropriate controls, reasonably designed to promote compliance by such Loan Party and its and their directors, officers, employees, and authorized agents with Sanctions Regulations.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4.17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No Loan Party is and after giving effect to the transactions contemplated hereby will be, an “investment company” required to be registered under the Investment Company Act of 1940.</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4.18 </w:t>
      </w:r>
      <w:r>
        <w:rPr>
          <w:rFonts w:ascii="Times New Roman" w:cs="Times New Roman" w:eastAsia="Times New Roman" w:hAnsi="Times New Roman"/>
          <w:sz w:val="22"/>
          <w:szCs w:val="22"/>
          <w:u w:val="single" w:color="auto"/>
          <w:color w:val="auto"/>
        </w:rPr>
        <w:t>Margin Regulations</w:t>
      </w:r>
      <w:r>
        <w:rPr>
          <w:rFonts w:ascii="Times New Roman" w:cs="Times New Roman" w:eastAsia="Times New Roman" w:hAnsi="Times New Roman"/>
          <w:sz w:val="22"/>
          <w:szCs w:val="22"/>
          <w:color w:val="auto"/>
        </w:rPr>
        <w:t>. No Loan Party is engaged principally, or as one of its principal activities, in the business of extending credit for the purpose of purchasing or carrying margin stock (as defined or used in Regulations T, U or X of the Board of Governors of the Federal Reserve System, or any regulations, interpretations or rulings thereunder) and no part of the proceeds of the Loans will be used to purchase or carry any such margin stock or to extend credit to others for the purpose of purchasing or carrying any such margin stock or otherwise in violation of Regulations T, U or X of the Board of Governors of the Federal Reserve System, or any regulations, interpretations or rulings thereunder, or any regulations substituted therefore, as from time to time in effect.</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4.19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As of Financial Close, the Loan Parties, on a consolidated basis, are, and immediately after the incurrence of Indebtedness hereunder on Financial Close, will be, Solvent.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hanging="352"/>
        <w:spacing w:after="0"/>
        <w:tabs>
          <w:tab w:leader="none" w:pos="5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40" w:name="page241"/>
    <w:bookmarkEnd w:id="240"/>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4.20</w:t>
      </w:r>
      <w:r>
        <w:rPr>
          <w:sz w:val="20"/>
          <w:szCs w:val="20"/>
          <w:color w:val="auto"/>
        </w:rPr>
        <w:tab/>
      </w:r>
      <w:r>
        <w:rPr>
          <w:rFonts w:ascii="Times New Roman" w:cs="Times New Roman" w:eastAsia="Times New Roman" w:hAnsi="Times New Roman"/>
          <w:sz w:val="21"/>
          <w:szCs w:val="21"/>
          <w:u w:val="single" w:color="auto"/>
          <w:color w:val="auto"/>
        </w:rPr>
        <w:t>ERISA/Employee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0" w:lineRule="auto"/>
        <w:tabs>
          <w:tab w:leader="none" w:pos="1899"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reasonably be expected, either individually or in the aggregate, to have a Material Adverse Effect, (i) each Plan is in compliance with the applicable provisions of ERISA, the Code and other Federal or state laws and (ii) each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and, to the Borrower’s Knowledge, nothing has occurred that would cause the loss of such tax-qualified status.</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21"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to the Borrower’s Knowledge, threatened claims, actions or lawsuits, or action by any Government Authority, with respect to any Plan that could reasonably be expected, either individually or in the aggregate, to have a Material Adverse Effect. There has been no prohibited transaction or violation of the fiduciary responsibility rules with respect to any Plan that, either individually or in the aggregate, has had or could reasonably be expected to have a Material Adverse Effect.</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95"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ERISA Event has occurred, and the Borrower is not aware of any fact, event or circumstance that, individually or in the aggregate, could reasonably be expected to constitute or result in an ERISA Event with respect to any Pension Plan that, either individually or in the aggregate, has had or could reasonably be expected to have a Material Adverse Effect.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0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value of all accrued benefits under each Pension Plan (based on those assumptions used to fund such Pension Plan) did not, as of the last annual valuation date prior to the date on which this representation is made or deemed made, exceed the value of the assets of such Pension Plan allocable to such accrued benefits by a material amount. As of the most recent valuation date for each Multiemployer Plan, the potential liability of each Loan Party or any ERISA Affiliate for a complete withdrawal from such Multiemployer Plan (within the meaning of Section 4203 or Section 4205 of ERISA), when aggregated with such potential liability for a complete withdrawal from all Multiemployer Plans is zero.</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85"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Subsidiary Guarantor employs any current or former employees. No Subsidiary Guarantor sponsors, maintains, administers, contributes to, participates in, or has any obligation to contribute to, or any liability under, any Plan, Pension Plan or Multiemployer Plan. Without limiting the generality of the foregoing, no Loan Party or any ERISA Affiliate sponsors, maintains, administers, contributes to, participates in, or has any obligation to contribute to or liability under any Pension Plan or Multiemployer Plan.</w:t>
      </w:r>
    </w:p>
    <w:p>
      <w:pPr>
        <w:spacing w:after="0" w:line="19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u w:val="single" w:color="auto"/>
          <w:color w:val="auto"/>
        </w:rPr>
        <w:t>Ranking</w:t>
      </w:r>
      <w:r>
        <w:rPr>
          <w:rFonts w:ascii="Times New Roman" w:cs="Times New Roman" w:eastAsia="Times New Roman" w:hAnsi="Times New Roman"/>
          <w:sz w:val="22"/>
          <w:szCs w:val="22"/>
          <w:color w:val="auto"/>
        </w:rPr>
        <w:t xml:space="preserve">. Other than with respect to Indebtedness referred to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the definition of Permitted Indebtedness (solely in respect of assets financed by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hanging="352"/>
        <w:spacing w:after="0"/>
        <w:tabs>
          <w:tab w:leader="none" w:pos="5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41" w:name="page242"/>
    <w:bookmarkEnd w:id="241"/>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the Finance Documents and the obligations evidenced thereby (a) are and will at all times be direct and unconditional general obligations of the Borrower, (b) rank and will at all times rank in right of payment and otherwise at least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all unsecured obligations of the Borrower, and (c) are and at all times will be senior in right of payment to all other Indebtedness of the Borrower whether now existing or hereafter outstanding.</w:t>
      </w:r>
    </w:p>
    <w:p>
      <w:pPr>
        <w:spacing w:after="0" w:line="17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4.22</w:t>
      </w:r>
      <w:r>
        <w:rPr>
          <w:sz w:val="20"/>
          <w:szCs w:val="20"/>
          <w:color w:val="auto"/>
        </w:rPr>
        <w:tab/>
      </w:r>
      <w:r>
        <w:rPr>
          <w:rFonts w:ascii="Times New Roman" w:cs="Times New Roman" w:eastAsia="Times New Roman" w:hAnsi="Times New Roman"/>
          <w:sz w:val="21"/>
          <w:szCs w:val="21"/>
          <w:u w:val="single" w:color="auto"/>
          <w:color w:val="auto"/>
        </w:rPr>
        <w:t>AML Laws, Anti-Terrorism Laws, and Anti-Corruption Laws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right="20" w:firstLine="644"/>
        <w:spacing w:after="0" w:line="254" w:lineRule="auto"/>
        <w:tabs>
          <w:tab w:leader="none" w:pos="1823"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Loan Parties, or, to the Borrower’s Knowledge, any director, officer or employee of any Loan Party (i) is in violation of any Anti-Terrorism Laws or AML Laws, (ii) is in violation of any Anti-Corruption Laws, or</w:t>
      </w:r>
    </w:p>
    <w:p>
      <w:pPr>
        <w:spacing w:after="0" w:line="1" w:lineRule="exact"/>
        <w:rPr>
          <w:rFonts w:ascii="Times New Roman" w:cs="Times New Roman" w:eastAsia="Times New Roman" w:hAnsi="Times New Roman"/>
          <w:sz w:val="22"/>
          <w:szCs w:val="22"/>
          <w:color w:val="auto"/>
        </w:rPr>
      </w:pPr>
    </w:p>
    <w:p>
      <w:pPr>
        <w:jc w:val="both"/>
        <w:ind w:left="660" w:hanging="4"/>
        <w:spacing w:after="0" w:line="252" w:lineRule="auto"/>
        <w:tabs>
          <w:tab w:leader="none" w:pos="1043"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Borrower’s Knowledge, has taken any action directly or indirectly that the Borrower reasonably believes gives rise to circumstances presently in existence that could constitute a violation of any Anti-Corruption Laws or Anti-Terrorism Laws or AML Laws.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2020"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instituted and maintains policies and procedures, including appropriate controls, reasonably designed to promote compliance by the Borrower and the Loan Parties, and its and their directors, officers, employees, and authorized agents with Anti-Corruption Laws and Anti-Terrorism Laws and AML Laws (to the extent applicable).</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As of Financial Close, other than as set forth on </w:t>
      </w:r>
      <w:r>
        <w:rPr>
          <w:rFonts w:ascii="Times New Roman" w:cs="Times New Roman" w:eastAsia="Times New Roman" w:hAnsi="Times New Roman"/>
          <w:sz w:val="22"/>
          <w:szCs w:val="22"/>
          <w:u w:val="single" w:color="auto"/>
          <w:color w:val="auto"/>
        </w:rPr>
        <w:t>Schedule 4.23</w:t>
      </w:r>
      <w:r>
        <w:rPr>
          <w:rFonts w:ascii="Times New Roman" w:cs="Times New Roman" w:eastAsia="Times New Roman" w:hAnsi="Times New Roman"/>
          <w:sz w:val="22"/>
          <w:szCs w:val="22"/>
          <w:color w:val="auto"/>
        </w:rPr>
        <w:t xml:space="preserve">, no Loan Party is a party to any material contract or agreement that is not in compliance with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4.24 </w:t>
      </w: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xml:space="preserve">. Since the date of the most recent financial statements delivered to the Administrative Agent pursuant to </w:t>
      </w:r>
      <w:r>
        <w:rPr>
          <w:rFonts w:ascii="Times New Roman" w:cs="Times New Roman" w:eastAsia="Times New Roman" w:hAnsi="Times New Roman"/>
          <w:sz w:val="22"/>
          <w:szCs w:val="22"/>
          <w:u w:val="single" w:color="auto"/>
          <w:color w:val="auto"/>
        </w:rPr>
        <w:t>Section 3.1(j)</w:t>
      </w:r>
      <w:r>
        <w:rPr>
          <w:rFonts w:ascii="Times New Roman" w:cs="Times New Roman" w:eastAsia="Times New Roman" w:hAnsi="Times New Roman"/>
          <w:sz w:val="22"/>
          <w:szCs w:val="22"/>
          <w:color w:val="auto"/>
        </w:rPr>
        <w:t>, no event, circumstance or condition has occurred and is continuing that has had or would reasonably be expected to have a Material Adverse Effect.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Each Loan Party covenants and agrees as follows, until the Discharge Date:</w:t>
      </w:r>
    </w:p>
    <w:p>
      <w:pPr>
        <w:spacing w:after="0" w:line="11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Information and Related Covenants</w:t>
      </w:r>
      <w:r>
        <w:rPr>
          <w:rFonts w:ascii="Times New Roman" w:cs="Times New Roman" w:eastAsia="Times New Roman" w:hAnsi="Times New Roman"/>
          <w:sz w:val="21"/>
          <w:szCs w:val="21"/>
          <w:color w:val="auto"/>
        </w:rPr>
        <w:t>. The Borrower shall furnish to the Administrative Agent:</w:t>
      </w:r>
    </w:p>
    <w:p>
      <w:pPr>
        <w:spacing w:after="0" w:line="216" w:lineRule="exact"/>
        <w:rPr>
          <w:sz w:val="20"/>
          <w:szCs w:val="20"/>
          <w:color w:val="auto"/>
        </w:rPr>
      </w:pPr>
    </w:p>
    <w:p>
      <w:pPr>
        <w:ind w:left="1760" w:hanging="456"/>
        <w:spacing w:after="0"/>
        <w:tabs>
          <w:tab w:leader="none" w:pos="176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Certain Occurrences, Etc.</w:t>
      </w:r>
    </w:p>
    <w:p>
      <w:pPr>
        <w:spacing w:after="0" w:line="237"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Forthwith upon becoming aware of them, written notice, including reasonable details, of:</w:t>
      </w:r>
    </w:p>
    <w:p>
      <w:pPr>
        <w:spacing w:after="0" w:line="219" w:lineRule="exact"/>
        <w:rPr>
          <w:rFonts w:ascii="Times New Roman" w:cs="Times New Roman" w:eastAsia="Times New Roman" w:hAnsi="Times New Roman"/>
          <w:sz w:val="22"/>
          <w:szCs w:val="22"/>
          <w:color w:val="auto"/>
        </w:rPr>
      </w:pPr>
    </w:p>
    <w:p>
      <w:pPr>
        <w:ind w:left="1960" w:firstLine="640"/>
        <w:spacing w:after="0" w:line="271" w:lineRule="auto"/>
        <w:tabs>
          <w:tab w:leader="none" w:pos="3124" w:val="left"/>
        </w:tabs>
        <w:numPr>
          <w:ilvl w:val="2"/>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which constitutes a Default or Event of Default (and the Administrative Agent shall promptly provide any such notice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hanging="352"/>
        <w:spacing w:after="0"/>
        <w:tabs>
          <w:tab w:leader="none" w:pos="5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42" w:name="page243"/>
    <w:bookmarkEnd w:id="242"/>
    <w:p>
      <w:pPr>
        <w:ind w:left="1772" w:firstLine="640"/>
        <w:spacing w:after="0" w:line="271" w:lineRule="auto"/>
        <w:tabs>
          <w:tab w:leader="none" w:pos="3040"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specific to a Credit Party, the P1 Project Company, or the P1 Project which is reasonably likely to have a Material Adverse Effect;</w:t>
      </w:r>
    </w:p>
    <w:p>
      <w:pPr>
        <w:spacing w:after="0" w:line="157" w:lineRule="exact"/>
        <w:rPr>
          <w:rFonts w:ascii="Times New Roman" w:cs="Times New Roman" w:eastAsia="Times New Roman" w:hAnsi="Times New Roman"/>
          <w:sz w:val="22"/>
          <w:szCs w:val="22"/>
          <w:color w:val="auto"/>
        </w:rPr>
      </w:pPr>
    </w:p>
    <w:p>
      <w:pPr>
        <w:ind w:left="1772" w:firstLine="640"/>
        <w:spacing w:after="0" w:line="284" w:lineRule="auto"/>
        <w:tabs>
          <w:tab w:leader="none" w:pos="2984"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other events or circumstances for which notice is required to be delivered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 of Defaults, Events of Default and Other Events</w:t>
      </w:r>
      <w:r>
        <w:rPr>
          <w:rFonts w:ascii="Times New Roman" w:cs="Times New Roman" w:eastAsia="Times New Roman" w:hAnsi="Times New Roman"/>
          <w:sz w:val="22"/>
          <w:szCs w:val="22"/>
          <w:color w:val="auto"/>
        </w:rPr>
        <w:t>) of the CD Credit Agreement;</w:t>
      </w:r>
    </w:p>
    <w:p>
      <w:pPr>
        <w:spacing w:after="0" w:line="139" w:lineRule="exact"/>
        <w:rPr>
          <w:rFonts w:ascii="Times New Roman" w:cs="Times New Roman" w:eastAsia="Times New Roman" w:hAnsi="Times New Roman"/>
          <w:sz w:val="22"/>
          <w:szCs w:val="22"/>
          <w:color w:val="auto"/>
        </w:rPr>
      </w:pPr>
    </w:p>
    <w:p>
      <w:pPr>
        <w:ind w:left="1772" w:right="20" w:firstLine="640"/>
        <w:spacing w:after="0" w:line="299" w:lineRule="auto"/>
        <w:tabs>
          <w:tab w:leader="none" w:pos="2956" w:val="left"/>
        </w:tabs>
        <w:numPr>
          <w:ilvl w:val="2"/>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reports and notices delivered to the P1 Intercreditor Agent pursuant to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Notice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of CTA Default, CTA Event of Default, and Other Events</w:t>
      </w:r>
      <w:r>
        <w:rPr>
          <w:rFonts w:ascii="Times New Roman" w:cs="Times New Roman" w:eastAsia="Times New Roman" w:hAnsi="Times New Roman"/>
          <w:sz w:val="21"/>
          <w:szCs w:val="21"/>
          <w:color w:val="auto"/>
        </w:rPr>
        <w:t>) of the P1 Common Terms Agreement; and</w:t>
      </w:r>
    </w:p>
    <w:p>
      <w:pPr>
        <w:spacing w:after="0" w:line="131" w:lineRule="exact"/>
        <w:rPr>
          <w:rFonts w:ascii="Times New Roman" w:cs="Times New Roman" w:eastAsia="Times New Roman" w:hAnsi="Times New Roman"/>
          <w:sz w:val="21"/>
          <w:szCs w:val="21"/>
          <w:color w:val="auto"/>
        </w:rPr>
      </w:pPr>
    </w:p>
    <w:p>
      <w:pPr>
        <w:ind w:left="1772" w:firstLine="640"/>
        <w:spacing w:after="0" w:line="271" w:lineRule="auto"/>
        <w:tabs>
          <w:tab w:leader="none" w:pos="3055"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incurrence of any Indebtedness for borrowed money permitted under </w:t>
      </w:r>
      <w:r>
        <w:rPr>
          <w:rFonts w:ascii="Times New Roman" w:cs="Times New Roman" w:eastAsia="Times New Roman" w:hAnsi="Times New Roman"/>
          <w:sz w:val="22"/>
          <w:szCs w:val="22"/>
          <w:u w:val="single" w:color="auto"/>
          <w:color w:val="auto"/>
        </w:rPr>
        <w:t>Section 6.2(g)</w:t>
      </w:r>
      <w:r>
        <w:rPr>
          <w:rFonts w:ascii="Times New Roman" w:cs="Times New Roman" w:eastAsia="Times New Roman" w:hAnsi="Times New Roman"/>
          <w:sz w:val="22"/>
          <w:szCs w:val="22"/>
          <w:color w:val="auto"/>
        </w:rPr>
        <w:t>, including a summary of the terms of such Indebtedness.</w:t>
      </w:r>
    </w:p>
    <w:p>
      <w:pPr>
        <w:spacing w:after="0" w:line="167" w:lineRule="exact"/>
        <w:rPr>
          <w:rFonts w:ascii="Times New Roman" w:cs="Times New Roman" w:eastAsia="Times New Roman" w:hAnsi="Times New Roman"/>
          <w:sz w:val="22"/>
          <w:szCs w:val="22"/>
          <w:color w:val="auto"/>
        </w:rPr>
      </w:pPr>
    </w:p>
    <w:p>
      <w:pPr>
        <w:ind w:left="1592" w:hanging="476"/>
        <w:spacing w:after="0"/>
        <w:tabs>
          <w:tab w:leader="none" w:pos="1592"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112" w:firstLine="652"/>
        <w:spacing w:after="0" w:line="249" w:lineRule="auto"/>
        <w:tabs>
          <w:tab w:leader="none" w:pos="218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Audited Financial Statements</w:t>
      </w:r>
      <w:r>
        <w:rPr>
          <w:rFonts w:ascii="Times New Roman" w:cs="Times New Roman" w:eastAsia="Times New Roman" w:hAnsi="Times New Roman"/>
          <w:sz w:val="22"/>
          <w:szCs w:val="22"/>
          <w:color w:val="auto"/>
        </w:rPr>
        <w:t>. As soon as available, but in any event within 120 days after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end of the Fiscal Year in which Financial Close occurs and each Fiscal Year thereafter, the Borrower shall deliver to the Administrative Agent a compliance certificate in the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audited consolidated statements of income, member’s equity and cash flows of the Pledgor for such year and the related audited balance sheets as at the end of such Fiscal Year, and accompanied by an opinion of Grant Thornton LLP or other independent certified public accountants of recognized national standing, which opinion shall state that such financial statements fairly present in all material respects the financial condition and results of operations of the Pledgor as at the end of, and for, such Fiscal Year on a consolidated basis in accordance with GAAP.</w:t>
      </w:r>
    </w:p>
    <w:p>
      <w:pPr>
        <w:spacing w:after="0" w:line="181" w:lineRule="exact"/>
        <w:rPr>
          <w:rFonts w:ascii="Times New Roman" w:cs="Times New Roman" w:eastAsia="Times New Roman" w:hAnsi="Times New Roman"/>
          <w:sz w:val="22"/>
          <w:szCs w:val="22"/>
          <w:color w:val="auto"/>
        </w:rPr>
      </w:pPr>
    </w:p>
    <w:p>
      <w:pPr>
        <w:jc w:val="both"/>
        <w:ind w:left="1112" w:firstLine="652"/>
        <w:spacing w:after="0" w:line="250" w:lineRule="auto"/>
        <w:tabs>
          <w:tab w:leader="none" w:pos="224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Quarterly Financial Statements</w:t>
      </w:r>
      <w:r>
        <w:rPr>
          <w:rFonts w:ascii="Times New Roman" w:cs="Times New Roman" w:eastAsia="Times New Roman" w:hAnsi="Times New Roman"/>
          <w:sz w:val="22"/>
          <w:szCs w:val="22"/>
          <w:color w:val="auto"/>
        </w:rPr>
        <w:t>. As soon as available, but in any event within sixty days after the end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each of the first three Fiscal Quarters of each Fiscal Year, the Borrower shall deliver to the Administrative Agent (i) unaudited consolidated financial statements (including cash flow statements) of the Pledgor for such quarter and (ii) a certificate of an Authorized Officer of the Borrower, which certificate shall state that such financial statements fairly represent the financial condition and results of operations of the Pledgor, in accordance with GAAP, subject in the case of any such interim or unaudited financial statements, to changes resulting from audit and normal year-end adjustments and the absence of footnote disclosure.</w:t>
      </w:r>
    </w:p>
    <w:p>
      <w:pPr>
        <w:spacing w:after="0" w:line="197" w:lineRule="exact"/>
        <w:rPr>
          <w:rFonts w:ascii="Times New Roman" w:cs="Times New Roman" w:eastAsia="Times New Roman" w:hAnsi="Times New Roman"/>
          <w:sz w:val="22"/>
          <w:szCs w:val="22"/>
          <w:color w:val="auto"/>
        </w:rPr>
      </w:pPr>
    </w:p>
    <w:p>
      <w:pPr>
        <w:jc w:val="both"/>
        <w:ind w:left="1112" w:firstLine="652"/>
        <w:spacing w:after="0" w:line="257" w:lineRule="auto"/>
        <w:tabs>
          <w:tab w:leader="none" w:pos="2371"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information required to be delivered pursuant to this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xml:space="preserve"> shall be deemed to have been delivered to the Administrative Agent on the date that such information has been posted (and is publicly available) on the Borrower’s (or its direct or indirect parent’s) website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52" w:hanging="352"/>
        <w:spacing w:after="0"/>
        <w:tabs>
          <w:tab w:leader="none" w:pos="352"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43" w:name="page244"/>
    <w:bookmarkEnd w:id="243"/>
    <w:p>
      <w:pPr>
        <w:ind w:left="1300" w:right="20"/>
        <w:spacing w:after="0" w:line="271" w:lineRule="auto"/>
        <w:rPr>
          <w:sz w:val="20"/>
          <w:szCs w:val="20"/>
          <w:color w:val="auto"/>
        </w:rPr>
      </w:pPr>
      <w:r>
        <w:rPr>
          <w:rFonts w:ascii="Times New Roman" w:cs="Times New Roman" w:eastAsia="Times New Roman" w:hAnsi="Times New Roman"/>
          <w:sz w:val="22"/>
          <w:szCs w:val="22"/>
          <w:color w:val="auto"/>
        </w:rPr>
        <w:t>Internet (which website is located as of the date of Financial Close at https://www.next-decade.com/) or on the SEC website accessible through http://www.sec.gov/edgar (or any successor webpage of the SEC thereto).</w:t>
      </w:r>
    </w:p>
    <w:p>
      <w:pPr>
        <w:spacing w:after="0" w:line="154" w:lineRule="exact"/>
        <w:rPr>
          <w:sz w:val="20"/>
          <w:szCs w:val="20"/>
          <w:color w:val="auto"/>
        </w:rPr>
      </w:pPr>
    </w:p>
    <w:p>
      <w:pPr>
        <w:jc w:val="both"/>
        <w:ind w:left="660" w:firstLine="644"/>
        <w:spacing w:after="0" w:line="258" w:lineRule="auto"/>
        <w:tabs>
          <w:tab w:leader="none" w:pos="1899"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P1 Project Reporting</w:t>
      </w:r>
      <w:r>
        <w:rPr>
          <w:rFonts w:ascii="Times New Roman" w:cs="Times New Roman" w:eastAsia="Times New Roman" w:hAnsi="Times New Roman"/>
          <w:sz w:val="22"/>
          <w:szCs w:val="22"/>
          <w:color w:val="auto"/>
        </w:rPr>
        <w:t>. As soon as available, the Borrower shall deliver to the Administrative Agent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statements, certifications and reports required to be delivered by the P1 Project Company pursuant to Article 10 of the CD Credit Agreement (</w:t>
      </w:r>
      <w:r>
        <w:rPr>
          <w:rFonts w:ascii="Times New Roman" w:cs="Times New Roman" w:eastAsia="Times New Roman" w:hAnsi="Times New Roman"/>
          <w:sz w:val="22"/>
          <w:szCs w:val="22"/>
          <w:i w:val="1"/>
          <w:iCs w:val="1"/>
          <w:color w:val="auto"/>
        </w:rPr>
        <w:t>Reporting Covenants</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 of Defaults, Events of Default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Other Events</w:t>
      </w:r>
      <w:r>
        <w:rPr>
          <w:rFonts w:ascii="Times New Roman" w:cs="Times New Roman" w:eastAsia="Times New Roman" w:hAnsi="Times New Roman"/>
          <w:sz w:val="22"/>
          <w:szCs w:val="22"/>
          <w:color w:val="auto"/>
        </w:rPr>
        <w:t>) of the CD Credit Agreement.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8" w:lineRule="auto"/>
        <w:tabs>
          <w:tab w:leader="none" w:pos="1857"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Know-Your-Customer Documentation</w:t>
      </w:r>
      <w:r>
        <w:rPr>
          <w:rFonts w:ascii="Times New Roman" w:cs="Times New Roman" w:eastAsia="Times New Roman" w:hAnsi="Times New Roman"/>
          <w:sz w:val="22"/>
          <w:szCs w:val="22"/>
          <w:color w:val="auto"/>
        </w:rPr>
        <w:t>. As soon as practicable and in any event within five Business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the Borrower’s Knowledge thereof, the Borrower shall deliver to the Administrative Agent, written notice of any change in ultimate beneficial ownership information of Borrower required to be provided in the Beneficial Ownership Certification (or any updates thereto) most recently delivered to the Administrative Agent.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04"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Arrangements</w:t>
      </w:r>
      <w:r>
        <w:rPr>
          <w:rFonts w:ascii="Times New Roman" w:cs="Times New Roman" w:eastAsia="Times New Roman" w:hAnsi="Times New Roman"/>
          <w:sz w:val="22"/>
          <w:szCs w:val="22"/>
          <w:color w:val="auto"/>
        </w:rPr>
        <w:t>. Other than any Bank Fee Letters (as defined in the CD Credit Agreement)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to which MUFG Bank, Ltd. is a party, concurrently with the execution thereof by the relevant Loan Party or the P1 Project Company, the Borrower shall deliver to the Administrative Agent a certificate attaching a copy of, or otherwise summarizing in reasonable details, any engagement letter, mandate letter, or other letter agreement, side letter, written communication or other similar instrument by which any Loan Party or the P1 Project Company agrees to pay, assume liability for, or guarantee any arranging fees, underwriting fees, credit accommodation fees, commissions, original issue discounts, premia, costs, or expenses, and any indemnity or reimbursement obligation or guarantee against any taxes, losses, costs or expenses, in each case associated with any debt or equity raise by the P1 Project Company and that is not otherwise explicitly set forth in the governing document(s) of such debt or Equity Interests that are otherwise provided to the Administrative Agent under any provision of this Agreement.</w:t>
      </w:r>
    </w:p>
    <w:p>
      <w:pPr>
        <w:spacing w:after="0" w:line="183" w:lineRule="exact"/>
        <w:rPr>
          <w:rFonts w:ascii="Times New Roman" w:cs="Times New Roman" w:eastAsia="Times New Roman" w:hAnsi="Times New Roman"/>
          <w:sz w:val="22"/>
          <w:szCs w:val="22"/>
          <w:color w:val="auto"/>
        </w:rPr>
      </w:pPr>
    </w:p>
    <w:p>
      <w:pPr>
        <w:ind w:left="660" w:firstLine="644"/>
        <w:spacing w:after="0" w:line="275" w:lineRule="auto"/>
        <w:tabs>
          <w:tab w:leader="none" w:pos="1807"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T4 Expansion</w:t>
      </w:r>
      <w:r>
        <w:rPr>
          <w:rFonts w:ascii="Times New Roman" w:cs="Times New Roman" w:eastAsia="Times New Roman" w:hAnsi="Times New Roman"/>
          <w:sz w:val="22"/>
          <w:szCs w:val="22"/>
          <w:color w:val="auto"/>
        </w:rPr>
        <w:t>. Concurrently with the Borrower or any Affiliate thereof taking such decision, the Borrower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provide the Administrative Agent with evidence of a final investment decision with respect to the T4 Expansion.</w:t>
      </w:r>
    </w:p>
    <w:p>
      <w:pPr>
        <w:spacing w:after="0" w:line="149" w:lineRule="exact"/>
        <w:rPr>
          <w:rFonts w:ascii="Times New Roman" w:cs="Times New Roman" w:eastAsia="Times New Roman" w:hAnsi="Times New Roman"/>
          <w:sz w:val="22"/>
          <w:szCs w:val="22"/>
          <w:color w:val="auto"/>
        </w:rPr>
      </w:pPr>
    </w:p>
    <w:p>
      <w:pPr>
        <w:jc w:val="both"/>
        <w:ind w:left="660" w:firstLine="644"/>
        <w:spacing w:after="0" w:line="258" w:lineRule="auto"/>
        <w:tabs>
          <w:tab w:leader="none" w:pos="187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As soon as reasonably practicable, such other information in relation to the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legal or corporate affairs of the Loan Parties or compliance with the terms of the Finance Documents as may be reasonably requested from time to time by the Administrative Agent (including copies of any applicable notices given to any Credit Party as a requirement of applicable Government Rule).</w:t>
      </w:r>
    </w:p>
    <w:p>
      <w:pPr>
        <w:spacing w:after="0" w:line="17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Legal Existence</w:t>
      </w:r>
      <w:r>
        <w:rPr>
          <w:rFonts w:ascii="Times New Roman" w:cs="Times New Roman" w:eastAsia="Times New Roman" w:hAnsi="Times New Roman"/>
          <w:sz w:val="22"/>
          <w:szCs w:val="22"/>
          <w:color w:val="auto"/>
        </w:rPr>
        <w:t xml:space="preserve">. Except as permitted by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each Loan Party shall preserve and maintain its legal existence, legal form and the power and authority to conduct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hanging="352"/>
        <w:spacing w:after="0"/>
        <w:tabs>
          <w:tab w:leader="none" w:pos="5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44" w:name="page245"/>
    <w:bookmarkEnd w:id="244"/>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Further Assurances in Respect of Collateral</w:t>
      </w:r>
      <w:r>
        <w:rPr>
          <w:rFonts w:ascii="Times New Roman" w:cs="Times New Roman" w:eastAsia="Times New Roman" w:hAnsi="Times New Roman"/>
          <w:sz w:val="22"/>
          <w:szCs w:val="22"/>
          <w:color w:val="auto"/>
        </w:rPr>
        <w:t>. Each Loan Party will, at its own expense, promptly perform or cause to be performed any and all acts (including payment of applicable registration or filing fees) and execute or cause to be executed any and all documents (including UCC financing statements and UCC continuation statements) (a) as are required under the provisions of the UCC or any other Government Rule to maintain in favor of the Collateral Agent, for the benefit of the Secured Parties, Liens on the Collateral that are duly perfected in accordance with all applicable Government Rules for the purposes of perfecting, preserving and continuing the perfection of the first priority Lien (subject to Permitted Liens) created, or purported to be created, in favor of the Collateral Agent and the Secured Parties under any Security Document, (b) as are required or reasonably requested for the purposes of ensuring the validity, enforceability and legality of any Security Document, and the rights of the Collateral Agent and the Secured Parties thereunder, (c) as are required or reasonably requested by the Collateral Agent for the purposes of enabling or facilitating the proper exercise of the rights and powers granted to the Collateral Agent and the Secured Parties under any Security Document and the other Security Documents, (d) as are reasonably requested by the Collateral Agent (at the direction of the Administrative Agent) to carry out the intent of, and transactions contemplated by, the Security Documents, (e) otherwise to maintain and preserve the Liens created, or purported to be created, by the Security Documents and the priority of such Liens, and (f) to discharge at the Borrower’s cost and expense any Lien (other than Permitted Liens) on the Collateral</w:t>
      </w:r>
      <w:r>
        <w:rPr>
          <w:rFonts w:ascii="Times New Roman" w:cs="Times New Roman" w:eastAsia="Times New Roman" w:hAnsi="Times New Roman"/>
          <w:sz w:val="22"/>
          <w:szCs w:val="22"/>
          <w:i w:val="1"/>
          <w:iCs w:val="1"/>
          <w:color w:val="auto"/>
        </w:rPr>
        <w: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Books, Records and Inspections; Accounting and Audit Matters</w:t>
      </w:r>
      <w:r>
        <w:rPr>
          <w:rFonts w:ascii="Times New Roman" w:cs="Times New Roman" w:eastAsia="Times New Roman" w:hAnsi="Times New Roman"/>
          <w:sz w:val="22"/>
          <w:szCs w:val="22"/>
          <w:color w:val="auto"/>
        </w:rPr>
        <w:t>. Each Loan Party shall keep proper books of record in accordance with GAAP in all material respects and permit representatives and advisors of the Administrative Agent, upon reasonable notice, no more than twice per calendar year (unless an Event of Default has occurred and is continuing), to examine, excerpts from its books, records and documents and to make copies thereof, all at such times during normal business hours as such representatives may reasonably request upon thirty days’ advance notice.</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u w:val="single" w:color="auto"/>
          <w:color w:val="auto"/>
        </w:rPr>
        <w:t>Compliance with Applicable Government Rule; Taxes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60" w:hanging="456"/>
        <w:spacing w:after="0"/>
        <w:tabs>
          <w:tab w:leader="none" w:pos="176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shall:</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in all material respects with all material Government Rules applicable to such Loan Party;</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88"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and discharge (or caused to be paid and discharged), before the same shall become delinquent, after giving effect to any applicable extensions, all Taxes imposed on the Loan Parties or their respective Properties unless such Taxes are subject to a Contest and such Contest, if adversely determined, could not reasonably be expected to have a Material Adverse Effect; and</w:t>
      </w:r>
    </w:p>
    <w:p>
      <w:pPr>
        <w:spacing w:after="0" w:line="176"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in all material respects with Sanctions Regulations.</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78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obtains Borrower’s Knowledge or receives any written notice that any Loan Party, or any Person holding a legal or beneficial interest therein (whether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hanging="352"/>
        <w:spacing w:after="0"/>
        <w:tabs>
          <w:tab w:leader="none" w:pos="5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45" w:name="page246"/>
    <w:bookmarkEnd w:id="245"/>
    <w:p>
      <w:pPr>
        <w:jc w:val="both"/>
        <w:ind w:left="472"/>
        <w:spacing w:after="0" w:line="250" w:lineRule="auto"/>
        <w:rPr>
          <w:sz w:val="20"/>
          <w:szCs w:val="20"/>
          <w:color w:val="auto"/>
        </w:rPr>
      </w:pPr>
      <w:r>
        <w:rPr>
          <w:rFonts w:ascii="Times New Roman" w:cs="Times New Roman" w:eastAsia="Times New Roman" w:hAnsi="Times New Roman"/>
          <w:sz w:val="22"/>
          <w:szCs w:val="22"/>
          <w:color w:val="auto"/>
        </w:rPr>
        <w:t>or indirectly) is or becomes a Restricted Person (such occurrence, a “</w:t>
      </w:r>
      <w:r>
        <w:rPr>
          <w:rFonts w:ascii="Times New Roman" w:cs="Times New Roman" w:eastAsia="Times New Roman" w:hAnsi="Times New Roman"/>
          <w:sz w:val="22"/>
          <w:szCs w:val="22"/>
          <w:u w:val="single" w:color="auto"/>
          <w:color w:val="auto"/>
        </w:rPr>
        <w:t>Sanctions Violation</w:t>
      </w:r>
      <w:r>
        <w:rPr>
          <w:rFonts w:ascii="Times New Roman" w:cs="Times New Roman" w:eastAsia="Times New Roman" w:hAnsi="Times New Roman"/>
          <w:sz w:val="22"/>
          <w:szCs w:val="22"/>
          <w:color w:val="auto"/>
        </w:rPr>
        <w:t>”), the Borrower shall within a reasonable time (i) give written notice to the Administrative Agent of such Sanctions Violation and (ii) comply with all applicable Sanctions Regulations with respect to such Sanctions Violation (regardless of whether the party included on the Sanctions List is located within the jurisdiction of the United States), and the Borrower hereby authorizes and consents to the Administrative Agent taking any and all steps the Administrative Agent deems necessary, in its sole discretion, to comply with all applicable Sanctions Regulations with respect to any such Sanctions Violation, including the “freezing” or “blocking” of assets and reporting such action to the applicable Sanctions Authority.</w:t>
      </w:r>
    </w:p>
    <w:p>
      <w:pPr>
        <w:spacing w:after="0" w:line="180" w:lineRule="exact"/>
        <w:rPr>
          <w:sz w:val="20"/>
          <w:szCs w:val="20"/>
          <w:color w:val="auto"/>
        </w:rPr>
      </w:pPr>
    </w:p>
    <w:p>
      <w:pPr>
        <w:ind w:left="472"/>
        <w:spacing w:after="0"/>
        <w:tabs>
          <w:tab w:leader="none" w:pos="932"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472" w:firstLine="644"/>
        <w:spacing w:after="0" w:line="250" w:lineRule="auto"/>
        <w:tabs>
          <w:tab w:leader="none" w:pos="1683"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use the proceeds of the Revolving Loans only for (i) general corporate purposes and working capital requirements of the Borrower and its Subsidiaries, including development costs, transaction fees and expenses, and Interest Obligations hereunder and (ii) the making of Permitted Payments. For the avoidance of doubt, general corporate purposes and working capital requirements of the Borrower and its Subsidiaries shall not include the procurement, construction, installation, testing, completion, ownership, operation and maintenance of any carbon capture and sequestration facilities or operations unless such facilities or operations are, or are intended to form, part of the Rio Grande Facility but shall include the design, engineering, and development of any such facilities or operations.</w:t>
      </w:r>
    </w:p>
    <w:p>
      <w:pPr>
        <w:spacing w:after="0" w:line="180" w:lineRule="exact"/>
        <w:rPr>
          <w:rFonts w:ascii="Times New Roman" w:cs="Times New Roman" w:eastAsia="Times New Roman" w:hAnsi="Times New Roman"/>
          <w:sz w:val="22"/>
          <w:szCs w:val="22"/>
          <w:color w:val="auto"/>
        </w:rPr>
      </w:pPr>
    </w:p>
    <w:p>
      <w:pPr>
        <w:ind w:left="472" w:firstLine="644"/>
        <w:spacing w:after="0" w:line="271" w:lineRule="auto"/>
        <w:tabs>
          <w:tab w:leader="none" w:pos="1697"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use the proceeds of the Interest Loans for payment of Interest Obligations, fees, and expenses due and payable under the Finance Documents.</w:t>
      </w:r>
    </w:p>
    <w:p>
      <w:pPr>
        <w:spacing w:after="0" w:line="157" w:lineRule="exact"/>
        <w:rPr>
          <w:rFonts w:ascii="Times New Roman" w:cs="Times New Roman" w:eastAsia="Times New Roman" w:hAnsi="Times New Roman"/>
          <w:sz w:val="22"/>
          <w:szCs w:val="22"/>
          <w:color w:val="auto"/>
        </w:rPr>
      </w:pPr>
    </w:p>
    <w:p>
      <w:pPr>
        <w:jc w:val="both"/>
        <w:ind w:left="472" w:firstLine="644"/>
        <w:spacing w:after="0" w:line="263" w:lineRule="auto"/>
        <w:tabs>
          <w:tab w:leader="none" w:pos="1626"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Loans will not be used by any of the Loan Parties, directly or knowingly indirectly, in violation of any Anti-Corruption Laws or Anti-Terrorism Laws and AML Laws (to the extent applicable), including through the making of any bribe or unlawful payment.</w:t>
      </w:r>
    </w:p>
    <w:p>
      <w:pPr>
        <w:spacing w:after="0" w:line="167" w:lineRule="exact"/>
        <w:rPr>
          <w:sz w:val="20"/>
          <w:szCs w:val="20"/>
          <w:color w:val="auto"/>
        </w:rPr>
      </w:pPr>
    </w:p>
    <w:p>
      <w:pPr>
        <w:ind w:left="472"/>
        <w:spacing w:after="0"/>
        <w:tabs>
          <w:tab w:leader="none" w:pos="932"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u w:val="single" w:color="auto"/>
          <w:color w:val="auto"/>
        </w:rPr>
        <w:t>Distributions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472" w:firstLine="644"/>
        <w:spacing w:after="0" w:line="271" w:lineRule="auto"/>
        <w:tabs>
          <w:tab w:leader="none" w:pos="1639"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RG Intermediate Super Holdings shall cause all distributions received from Rio Grande LNG Intermediate Holdings, LLC to be distributed to RG Super Holdings.</w:t>
      </w:r>
    </w:p>
    <w:p>
      <w:pPr>
        <w:spacing w:after="0" w:line="157" w:lineRule="exact"/>
        <w:rPr>
          <w:rFonts w:ascii="Times New Roman" w:cs="Times New Roman" w:eastAsia="Times New Roman" w:hAnsi="Times New Roman"/>
          <w:sz w:val="22"/>
          <w:szCs w:val="22"/>
          <w:color w:val="auto"/>
        </w:rPr>
      </w:pPr>
    </w:p>
    <w:p>
      <w:pPr>
        <w:ind w:left="472" w:firstLine="644"/>
        <w:spacing w:after="0" w:line="284" w:lineRule="auto"/>
        <w:tabs>
          <w:tab w:leader="none" w:pos="1747"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RG Super Holdings shall cause all distributions received from RG Intermediate Super Holdings to be distributed to the Borrower.</w:t>
      </w:r>
    </w:p>
    <w:p>
      <w:pPr>
        <w:spacing w:after="0" w:line="143" w:lineRule="exact"/>
        <w:rPr>
          <w:rFonts w:ascii="Times New Roman" w:cs="Times New Roman" w:eastAsia="Times New Roman" w:hAnsi="Times New Roman"/>
          <w:sz w:val="22"/>
          <w:szCs w:val="22"/>
          <w:color w:val="auto"/>
        </w:rPr>
      </w:pPr>
    </w:p>
    <w:p>
      <w:pPr>
        <w:ind w:left="472" w:firstLine="644"/>
        <w:spacing w:after="0" w:line="271" w:lineRule="auto"/>
        <w:tabs>
          <w:tab w:leader="none" w:pos="1575"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cause all distributions from RG Super Holdings received by the Borrower to be deposited into the RP Account.</w:t>
      </w:r>
    </w:p>
    <w:p>
      <w:pPr>
        <w:spacing w:after="0" w:line="158" w:lineRule="exact"/>
        <w:rPr>
          <w:sz w:val="20"/>
          <w:szCs w:val="20"/>
          <w:color w:val="auto"/>
        </w:rPr>
      </w:pPr>
    </w:p>
    <w:p>
      <w:pPr>
        <w:ind w:left="472"/>
        <w:spacing w:after="0"/>
        <w:tabs>
          <w:tab w:leader="none" w:pos="932"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21"/>
          <w:szCs w:val="21"/>
          <w:u w:val="single" w:color="auto"/>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52" w:hanging="352"/>
        <w:spacing w:after="0"/>
        <w:tabs>
          <w:tab w:leader="none" w:pos="35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46" w:name="page247"/>
    <w:bookmarkEnd w:id="246"/>
    <w:p>
      <w:pPr>
        <w:jc w:val="both"/>
        <w:ind w:firstLine="656"/>
        <w:spacing w:after="0" w:line="248" w:lineRule="auto"/>
        <w:tabs>
          <w:tab w:leader="none" w:pos="756"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Person becomes a Subsidiary of the Borrower (other than any Excluded Subsidiary) after the date hereof, the Borrower will, either (a) within thirty Business Days of such Subsidiary’s formation or creation (or such longer period as agreed by the Administrative Agent) or (b) within thirty days of the end of the Fiscal Quarter in which such Subsidiary was formed or created, cause such Subsidiary to become a Subsidiary Guarantor hereunder and a “Grantor” under the Security and Depositary Agreement by executing and delivering to the Administrative Agent and the Collateral Agent a joinder to this Agreement and the Security and Depositary Agreement substantially in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with such changes or modification reasonably acceptable to the Administrative Agent. The Borrower shall take, or shall cause such Subsidiary Guarantor to take, all of the actions necessary to grant and to perfect a first priority Lien (subject to Permitted Liens) in favor of the Collateral Agent, for the benefit of the Secured Parties, under the Security and Depositary Agreement in 100% of the Equity Interests of such Subsidiary Guarantor held by a Loan Party to the extent such Equity Interests are required to be so pledged by the Security and Depositary Agreement.</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5.9 </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No Subsidiary Guarantor shall employ any employees. Each Subsidiary Guarantor shall ensure that it does not sponsor, administer, contribute to, participate in, or have any obligation to contribute to, or any liability under any Plan, Pension Plan or Multiemployer Plan. The Borrower shall ensure that it does not sponsor, administer, contribute to, participate in, or have any obligation to contribute to, or any liability under any Pension Plan or Multiemployer Plan, without the prior written consent of the Lenders, which consent shall not be unreasonably withheld. Without limiting the generality of the foregoing, the Loan Parties shall ensure that no ERISA Affiliate of any Loan Party has control sponsors, administers, contributes to, participates in, or has any obligation to contribute to, or any liability under any Pension Plan or Multiemployer Plan.</w:t>
      </w:r>
    </w:p>
    <w:p>
      <w:pPr>
        <w:spacing w:after="0" w:line="1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5.10</w:t>
      </w:r>
      <w:r>
        <w:rPr>
          <w:sz w:val="20"/>
          <w:szCs w:val="20"/>
          <w:color w:val="auto"/>
        </w:rPr>
        <w:tab/>
      </w:r>
      <w:r>
        <w:rPr>
          <w:rFonts w:ascii="Times New Roman" w:cs="Times New Roman" w:eastAsia="Times New Roman" w:hAnsi="Times New Roman"/>
          <w:sz w:val="21"/>
          <w:szCs w:val="21"/>
          <w:u w:val="single" w:color="auto"/>
          <w:color w:val="auto"/>
        </w:rPr>
        <w:t>Compliance with P1 Financing Documents</w:t>
      </w:r>
      <w:r>
        <w:rPr>
          <w:rFonts w:ascii="Times New Roman" w:cs="Times New Roman" w:eastAsia="Times New Roman" w:hAnsi="Times New Roman"/>
          <w:sz w:val="21"/>
          <w:szCs w:val="21"/>
          <w:color w:val="auto"/>
        </w:rPr>
        <w:t>. Each Loan Party shall, to the extent of its Loan Party Power, cause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P1 Project Company to comply with each of its affirmative and negative covenants in the P1 Financing Documents.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Loan Party covenants and agrees as follows, until the Discharge Date:</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Other Business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60" w:hanging="456"/>
        <w:spacing w:after="0"/>
        <w:tabs>
          <w:tab w:leader="none" w:pos="176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engage in any business or activity other than the Permitted Business.</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6"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RG Super Holdings shall not engage in any business or activity other than (i) the ownership of RG Intermediate Super Holdings and (ii)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hanging="352"/>
        <w:spacing w:after="0"/>
        <w:tabs>
          <w:tab w:leader="none" w:pos="5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47" w:name="page248"/>
    <w:bookmarkEnd w:id="247"/>
    <w:p>
      <w:pPr>
        <w:ind w:left="660" w:firstLine="644"/>
        <w:spacing w:after="0" w:line="271" w:lineRule="auto"/>
        <w:tabs>
          <w:tab w:leader="none" w:pos="1915"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RG Intermediate Super Holdings shall not engage in any business or activity other than (i) the partial ownership of Rio Grande LNG Intermediate Holdings, LLC and (ii) the transactions contemplated hereby.</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No Loan Party shall contract, create, incur, become liable for, assume or permit to subsist any Indebtedness except for the following (each such category listed below, “</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such that no Indebtedness counted under a category shall be counted under any other category:</w:t>
      </w:r>
    </w:p>
    <w:p>
      <w:pPr>
        <w:spacing w:after="0" w:line="167" w:lineRule="exact"/>
        <w:rPr>
          <w:sz w:val="20"/>
          <w:szCs w:val="20"/>
          <w:color w:val="auto"/>
        </w:rPr>
      </w:pPr>
    </w:p>
    <w:p>
      <w:pPr>
        <w:ind w:left="1760" w:hanging="456"/>
        <w:spacing w:after="0"/>
        <w:tabs>
          <w:tab w:leader="none" w:pos="176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the Finance Documents and any Permitted Interest Rate Swap Agreement;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2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Indebtedness, indebtedness arising from the honoring by a bank or other financial institution of a check, draft or similar instrument drawn against insufficient funds in the ordinary course of business or other cash management services in the ordinary course of business;</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75"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Indebtedness of the Loan Parties in an aggregate principal amount, when combined with the aggregate principal amount of all Indebtedness incurred pursuant to this clause (c), not in excess of $2,000,000 at any time outstanding;</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48"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or other similar Indebtedness incurred in the ordinary course of business, which is (i) not more than ninety days past due or (ii) being contested in good faith and by appropriate proceedings;</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15"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liabilities incurred in the ordinary course of business, including the acquisition or sale of goods, services, supplies or merchandise in the ordinary course of business, and the endorsement of negotiable instruments received in the ordinary course of business;</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of the Borrower with respect to workers’ compensation claims incurred in the ordinary course</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business;</w:t>
      </w:r>
    </w:p>
    <w:p>
      <w:pPr>
        <w:spacing w:after="0" w:line="209"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91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Indebtedness, obligations in respect of performance bonds, bid bonds, appeal bonds, surety bonds, indemnification obligations, obligations to pay insurance premiums, in each case incurred in the ordinary course of business;</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16"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Indebtedness, any obligations under any Project Documents (as defined in the CD Credit Agreement) to which a Loan Party is party as of the date hereof;</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39"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(i) any cash collateralized letters of credit, and (ii) bankers’ acceptance, warehouse receipt or similar facilities entered into in the ordinary course of business and not in excess of $2,000,000 in the aggregate for all such facilities under this clause (ii)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0" w:hanging="352"/>
        <w:spacing w:after="0"/>
        <w:tabs>
          <w:tab w:leader="none" w:pos="5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48" w:name="page249"/>
    <w:bookmarkEnd w:id="248"/>
    <w:p>
      <w:pPr>
        <w:ind w:left="1720" w:hanging="416"/>
        <w:spacing w:after="0"/>
        <w:tabs>
          <w:tab w:leader="none" w:pos="172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netting services and/or overdraft protections in connection with deposit accounts;</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65"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P2 FID Date, contracting for (but not the incurrence of) the P2 Debt Financing under the P2 Financing Documents;</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768"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P2 FID Date, contracting for (but not the incurrence of) any P2 Sponsor Financing under the P2 Sponsor Financing Documents;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42"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unsecured Indebtedness of the Borrower in an aggregate principal amount not exceeding $2,000,000 at any time outstanding.</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No Loan Party shall create, incur, assume, suffer to occur or permit to subsist any Lien upon or with respect to any of its property, revenues or assets (real, personal or mixed, tangible or intangible) whether now owned or hereafter acquired, except for the following (each, a “</w:t>
      </w:r>
      <w:r>
        <w:rPr>
          <w:rFonts w:ascii="Times New Roman" w:cs="Times New Roman" w:eastAsia="Times New Roman" w:hAnsi="Times New Roman"/>
          <w:sz w:val="22"/>
          <w:szCs w:val="22"/>
          <w:u w:val="single" w:color="auto"/>
          <w:color w:val="auto"/>
        </w:rPr>
        <w:t>Permitted Lien</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left="660" w:firstLine="644"/>
        <w:spacing w:after="0" w:line="257" w:lineRule="auto"/>
        <w:tabs>
          <w:tab w:leader="none" w:pos="1815"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created under the Finance Documents or otherwise in favor of the Collateral Agent for the benefit of the Secured Parties and, subject to the requirement of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any counterparty to a secured Permitted Interest Rate Swap Agreement, in connection with the transactions contemplated by the Finance Documents;</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for sums not yet delinquent or which statutory liens are being contested in good faith;</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74"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Taxes that are not yet due or that are being contested in good faith by appropriate proceedings diligently conducted and with respect to which such Loan Party has established appropriate reserves and liens for customs duties that have been deferred in accordance with the laws of any applicable jurisdiction;</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71"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of cash or letters of credit to secure the performance of bids, tenders, trade contracts (other than for borrowed money), leases, statutory obligations, surety and appeal bonds (including any bonds permitted under an engineering, procurement and construction contract);</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942"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incurred in compliance with (and subject to the limits of) </w:t>
      </w:r>
      <w:r>
        <w:rPr>
          <w:rFonts w:ascii="Times New Roman" w:cs="Times New Roman" w:eastAsia="Times New Roman" w:hAnsi="Times New Roman"/>
          <w:sz w:val="22"/>
          <w:szCs w:val="22"/>
          <w:u w:val="single" w:color="auto"/>
          <w:color w:val="auto"/>
        </w:rPr>
        <w:t>Section 6.2(c)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property encumbered by such liens is limited solely to the property purchased by such Indebtedness;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5" w:lineRule="auto"/>
        <w:tabs>
          <w:tab w:leader="none" w:pos="1896"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servitudes, easements, rights of way, encroachments, rights to use the surface to extract or develop minerals or other subsurface substances, and other similar encumbrances granted in the ordinary course of business and</w:t>
      </w:r>
    </w:p>
    <w:p>
      <w:pPr>
        <w:spacing w:after="0" w:line="1" w:lineRule="exact"/>
        <w:rPr>
          <w:rFonts w:ascii="Times New Roman" w:cs="Times New Roman" w:eastAsia="Times New Roman" w:hAnsi="Times New Roman"/>
          <w:sz w:val="22"/>
          <w:szCs w:val="22"/>
          <w:color w:val="auto"/>
        </w:rPr>
      </w:pPr>
    </w:p>
    <w:p>
      <w:pPr>
        <w:jc w:val="both"/>
        <w:ind w:left="660" w:hanging="4"/>
        <w:spacing w:after="0" w:line="251" w:lineRule="auto"/>
        <w:tabs>
          <w:tab w:leader="none" w:pos="989"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zoning restrictions, licenses and restrictions on the use of property or encumbrances or imperfections in title, in each case which do not materially impair such property for the purpose for which the Loan Party’s interest therein was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hanging="352"/>
        <w:spacing w:after="0"/>
        <w:tabs>
          <w:tab w:leader="none" w:pos="5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49" w:name="page250"/>
    <w:bookmarkEnd w:id="249"/>
    <w:p>
      <w:pPr>
        <w:ind w:left="472" w:firstLine="644"/>
        <w:spacing w:after="0" w:line="271" w:lineRule="auto"/>
        <w:tabs>
          <w:tab w:leader="none" w:pos="1724"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Liens, Liens of lessors and sublessors and similar Liens incurred in the ordinary course of business for sums which are not overdue or the payment of which is subject to a good faith contest;</w:t>
      </w:r>
    </w:p>
    <w:p>
      <w:pPr>
        <w:spacing w:after="0" w:line="157" w:lineRule="exact"/>
        <w:rPr>
          <w:rFonts w:ascii="Times New Roman" w:cs="Times New Roman" w:eastAsia="Times New Roman" w:hAnsi="Times New Roman"/>
          <w:sz w:val="22"/>
          <w:szCs w:val="22"/>
          <w:color w:val="auto"/>
        </w:rPr>
      </w:pPr>
    </w:p>
    <w:p>
      <w:pPr>
        <w:jc w:val="both"/>
        <w:ind w:left="472" w:firstLine="644"/>
        <w:spacing w:after="0" w:line="263" w:lineRule="auto"/>
        <w:tabs>
          <w:tab w:leader="none" w:pos="1633"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or equitable encumbrances (other than any attachment prior to judgment, judgment lien or attachment in aid of execution on a judgment) deemed to exist by reason of the existence of any pending litigation or other legal proceeding if the same is effectively stayed or the claims secured thereby are subject to a good faith contest;</w:t>
      </w:r>
    </w:p>
    <w:p>
      <w:pPr>
        <w:spacing w:after="0" w:line="167" w:lineRule="exact"/>
        <w:rPr>
          <w:rFonts w:ascii="Times New Roman" w:cs="Times New Roman" w:eastAsia="Times New Roman" w:hAnsi="Times New Roman"/>
          <w:sz w:val="22"/>
          <w:szCs w:val="22"/>
          <w:color w:val="auto"/>
        </w:rPr>
      </w:pPr>
    </w:p>
    <w:p>
      <w:pPr>
        <w:ind w:left="1532" w:hanging="416"/>
        <w:spacing w:after="0"/>
        <w:tabs>
          <w:tab w:leader="none" w:pos="1532"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judgment Liens securing judgments not constituting an Event of Default under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72" w:firstLine="644"/>
        <w:spacing w:after="0" w:line="271" w:lineRule="auto"/>
        <w:tabs>
          <w:tab w:leader="none" w:pos="1586"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contractual or statutory rights of set-off (including netting) that could not reasonably be expected to cause a Material Adverse Effect;</w:t>
      </w:r>
    </w:p>
    <w:p>
      <w:pPr>
        <w:spacing w:after="0" w:line="171" w:lineRule="exact"/>
        <w:rPr>
          <w:rFonts w:ascii="Times New Roman" w:cs="Times New Roman" w:eastAsia="Times New Roman" w:hAnsi="Times New Roman"/>
          <w:sz w:val="22"/>
          <w:szCs w:val="22"/>
          <w:color w:val="auto"/>
        </w:rPr>
      </w:pPr>
    </w:p>
    <w:p>
      <w:pPr>
        <w:ind w:left="472" w:firstLine="644"/>
        <w:spacing w:after="0" w:line="271" w:lineRule="auto"/>
        <w:tabs>
          <w:tab w:leader="none" w:pos="1624"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in the ordinary course of business in compliance with workmen’s compensation, unemployment insurance and other social security laws or regulations;</w:t>
      </w:r>
    </w:p>
    <w:p>
      <w:pPr>
        <w:spacing w:after="0" w:line="157" w:lineRule="exact"/>
        <w:rPr>
          <w:rFonts w:ascii="Times New Roman" w:cs="Times New Roman" w:eastAsia="Times New Roman" w:hAnsi="Times New Roman"/>
          <w:sz w:val="22"/>
          <w:szCs w:val="22"/>
          <w:color w:val="auto"/>
        </w:rPr>
      </w:pPr>
    </w:p>
    <w:p>
      <w:pPr>
        <w:jc w:val="both"/>
        <w:ind w:left="472" w:firstLine="644"/>
        <w:spacing w:after="0" w:line="252" w:lineRule="auto"/>
        <w:tabs>
          <w:tab w:leader="none" w:pos="1564"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(i) to secure reimbursement or indemnification obligations in respect of cash collateralized letters of credit, (ii) in respect of cash collateralized letters of credit put in place by the Borrower and payable to suppliers, transporters, service providers, insurers or landlords in the ordinary course of business, or (iii) to establish a corporate credit card program;</w:t>
      </w:r>
    </w:p>
    <w:p>
      <w:pPr>
        <w:spacing w:after="0" w:line="192" w:lineRule="exact"/>
        <w:rPr>
          <w:rFonts w:ascii="Times New Roman" w:cs="Times New Roman" w:eastAsia="Times New Roman" w:hAnsi="Times New Roman"/>
          <w:sz w:val="22"/>
          <w:szCs w:val="22"/>
          <w:color w:val="auto"/>
        </w:rPr>
      </w:pPr>
    </w:p>
    <w:p>
      <w:pPr>
        <w:ind w:left="1652" w:hanging="536"/>
        <w:spacing w:after="0"/>
        <w:tabs>
          <w:tab w:leader="none" w:pos="1652"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Priority Liens;</w:t>
      </w:r>
    </w:p>
    <w:p>
      <w:pPr>
        <w:spacing w:after="0" w:line="219" w:lineRule="exact"/>
        <w:rPr>
          <w:rFonts w:ascii="Times New Roman" w:cs="Times New Roman" w:eastAsia="Times New Roman" w:hAnsi="Times New Roman"/>
          <w:sz w:val="22"/>
          <w:szCs w:val="22"/>
          <w:color w:val="auto"/>
        </w:rPr>
      </w:pPr>
    </w:p>
    <w:p>
      <w:pPr>
        <w:ind w:left="472" w:firstLine="644"/>
        <w:spacing w:after="0" w:line="271" w:lineRule="auto"/>
        <w:tabs>
          <w:tab w:leader="none" w:pos="163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covenants not to sue, releases, waivers or other rights under intellectual property, in each case, granted in the ordinary course of business;</w:t>
      </w:r>
    </w:p>
    <w:p>
      <w:pPr>
        <w:spacing w:after="0" w:line="157" w:lineRule="exact"/>
        <w:rPr>
          <w:rFonts w:ascii="Times New Roman" w:cs="Times New Roman" w:eastAsia="Times New Roman" w:hAnsi="Times New Roman"/>
          <w:sz w:val="22"/>
          <w:szCs w:val="22"/>
          <w:color w:val="auto"/>
        </w:rPr>
      </w:pPr>
    </w:p>
    <w:p>
      <w:pPr>
        <w:ind w:left="472" w:firstLine="644"/>
        <w:spacing w:after="0" w:line="271" w:lineRule="auto"/>
        <w:tabs>
          <w:tab w:leader="none" w:pos="160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in connection with any P2 Sponsor Financing upon the incurrence of Indebtedness thereunder subject to the occurrence of the P2 FID Date; and</w:t>
      </w:r>
    </w:p>
    <w:p>
      <w:pPr>
        <w:spacing w:after="0" w:line="171" w:lineRule="exact"/>
        <w:rPr>
          <w:rFonts w:ascii="Times New Roman" w:cs="Times New Roman" w:eastAsia="Times New Roman" w:hAnsi="Times New Roman"/>
          <w:sz w:val="22"/>
          <w:szCs w:val="22"/>
          <w:color w:val="auto"/>
        </w:rPr>
      </w:pPr>
    </w:p>
    <w:p>
      <w:pPr>
        <w:ind w:left="1592" w:hanging="476"/>
        <w:spacing w:after="0"/>
        <w:tabs>
          <w:tab w:leader="none" w:pos="1592"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pursuant to the P2 Financing Documents.</w:t>
      </w:r>
    </w:p>
    <w:p>
      <w:pPr>
        <w:spacing w:after="0" w:line="220" w:lineRule="exact"/>
        <w:rPr>
          <w:sz w:val="20"/>
          <w:szCs w:val="20"/>
          <w:color w:val="auto"/>
        </w:rPr>
      </w:pPr>
    </w:p>
    <w:p>
      <w:pPr>
        <w:ind w:left="472"/>
        <w:spacing w:after="0"/>
        <w:tabs>
          <w:tab w:leader="none" w:pos="932"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Disposal of Certain Assets</w:t>
      </w:r>
      <w:r>
        <w:rPr>
          <w:rFonts w:ascii="Times New Roman" w:cs="Times New Roman" w:eastAsia="Times New Roman" w:hAnsi="Times New Roman"/>
          <w:sz w:val="21"/>
          <w:szCs w:val="21"/>
          <w:color w:val="auto"/>
        </w:rPr>
        <w:t>. No Loan Party shall sell, lease, transfer or otherwise dispose of any Property, except:</w:t>
      </w:r>
    </w:p>
    <w:p>
      <w:pPr>
        <w:spacing w:after="0" w:line="220" w:lineRule="exact"/>
        <w:rPr>
          <w:sz w:val="20"/>
          <w:szCs w:val="20"/>
          <w:color w:val="auto"/>
        </w:rPr>
      </w:pPr>
    </w:p>
    <w:p>
      <w:pPr>
        <w:ind w:left="1572" w:hanging="456"/>
        <w:spacing w:after="0"/>
        <w:tabs>
          <w:tab w:leader="none" w:pos="1572"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Payments and any other Distributions permitted by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72" w:firstLine="644"/>
        <w:spacing w:after="0" w:line="263" w:lineRule="auto"/>
        <w:tabs>
          <w:tab w:leader="none" w:pos="1618"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leases, licenses or subleases, transfers or other dispositions of real or personal Property (A) granted to others in the ordinary course of business not interfering in any material respect with the business of the Borrower, taken as a whole, (B) that are obsolete, damaged, worn out, surplus or not used or useful in the business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52" w:hanging="352"/>
        <w:spacing w:after="0"/>
        <w:tabs>
          <w:tab w:leader="none" w:pos="35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50" w:name="page251"/>
    <w:bookmarkEnd w:id="250"/>
    <w:p>
      <w:pPr>
        <w:ind w:left="660" w:right="20"/>
        <w:spacing w:after="0" w:line="271" w:lineRule="auto"/>
        <w:rPr>
          <w:sz w:val="20"/>
          <w:szCs w:val="20"/>
          <w:color w:val="auto"/>
        </w:rPr>
      </w:pPr>
      <w:r>
        <w:rPr>
          <w:rFonts w:ascii="Times New Roman" w:cs="Times New Roman" w:eastAsia="Times New Roman" w:hAnsi="Times New Roman"/>
          <w:sz w:val="22"/>
          <w:szCs w:val="22"/>
          <w:color w:val="auto"/>
        </w:rPr>
        <w:t>Parties, or (C) in accordance with any Project Documents (as defined in the P1 Common Terms Agreement) to which a Loan Party is party as of the date hereof;</w:t>
      </w:r>
    </w:p>
    <w:p>
      <w:pPr>
        <w:spacing w:after="0" w:line="158" w:lineRule="exact"/>
        <w:rPr>
          <w:sz w:val="20"/>
          <w:szCs w:val="20"/>
          <w:color w:val="auto"/>
        </w:rPr>
      </w:pPr>
    </w:p>
    <w:p>
      <w:pPr>
        <w:ind w:left="1760" w:hanging="456"/>
        <w:spacing w:after="0"/>
        <w:tabs>
          <w:tab w:leader="none" w:pos="176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liquidation, sale or use of Cash Equivalents;</w:t>
      </w:r>
    </w:p>
    <w:p>
      <w:pPr>
        <w:spacing w:after="0" w:line="233"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948"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discounts without recourse (other than customary representations and warranties) of accounts receivable arising in the ordinary course of business in connection with the compromise, collection or other disposition thereof;</w:t>
      </w:r>
    </w:p>
    <w:p>
      <w:pPr>
        <w:spacing w:after="0" w:line="17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may make any asset disposition to any other Loan Party;</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8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condemned property as a result of the exercise of “eminent domain” or other similar policies to the respective Government Authority or agency that has condemned the same (whether by deed in lieu of condemnation or otherwise), and transfers of property that have been subject to a casualty to the respective insurer of such real property as part of an insurance settlement;</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assets to any P2 Project Entity or in connection with any Other Expansion; and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38"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partial dispositions of Equity Interests in the P2 Project Entities, provided, that the net cash proceeds received in connection with any such partial disposition shall be used to prepay and permanently cancel Commitments.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Except as expressly permitted pursuant to </w:t>
      </w:r>
      <w:r>
        <w:rPr>
          <w:rFonts w:ascii="Times New Roman" w:cs="Times New Roman" w:eastAsia="Times New Roman" w:hAnsi="Times New Roman"/>
          <w:sz w:val="22"/>
          <w:szCs w:val="22"/>
          <w:u w:val="single" w:color="auto"/>
          <w:color w:val="auto"/>
        </w:rPr>
        <w:t>Sections 6.5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6.4(e)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6.4(g)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6.4(h)</w:t>
      </w:r>
      <w:r>
        <w:rPr>
          <w:rFonts w:ascii="Times New Roman" w:cs="Times New Roman" w:eastAsia="Times New Roman" w:hAnsi="Times New Roman"/>
          <w:sz w:val="22"/>
          <w:szCs w:val="22"/>
          <w:color w:val="auto"/>
        </w:rPr>
        <w:t xml:space="preserve">, no other provision of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(or any other provision of this Agreement) will permit directly or indirectly the sale, lease, transfer or other disposition of (x) any Equity Interests in any of the Loan Parties or (y) the Equity Interests owned by any Loan Party in RG Intermediate Holdings except pursuant to adjustment in accordance with the limited liability company agreement of RG Intermediate Holdings.</w:t>
      </w:r>
    </w:p>
    <w:p>
      <w:pPr>
        <w:spacing w:after="0" w:line="17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Consolidation; Merger; Fundamental Changes</w:t>
      </w:r>
      <w:r>
        <w:rPr>
          <w:rFonts w:ascii="Times New Roman" w:cs="Times New Roman" w:eastAsia="Times New Roman" w:hAnsi="Times New Roman"/>
          <w:sz w:val="21"/>
          <w:szCs w:val="21"/>
          <w:color w:val="auto"/>
        </w:rPr>
        <w:t>. No Loan Party shall (a) enter into any consolidation, amalgamation, demerger, or merger with any other Person (unless (i) the resulting Person is also a Loan Party or (ii) with respect to the P2 Project Entities in connection with the T4 Expansion), (b) wind up, liquidate or dissolve or take any action that would (or fail to take any action where such failure would) result in the liquidation or dissolution of such Loan Party, (c) change its legal form or</w:t>
      </w:r>
    </w:p>
    <w:p>
      <w:pPr>
        <w:spacing w:after="0" w:line="1" w:lineRule="exact"/>
        <w:rPr>
          <w:sz w:val="20"/>
          <w:szCs w:val="20"/>
          <w:color w:val="auto"/>
        </w:rPr>
      </w:pPr>
    </w:p>
    <w:p>
      <w:pPr>
        <w:jc w:val="both"/>
        <w:ind w:firstLine="8"/>
        <w:spacing w:after="0" w:line="245" w:lineRule="auto"/>
        <w:tabs>
          <w:tab w:leader="none" w:pos="339"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its Organic Documents in a manner that would (i) cause a Material Adverse Effect, (ii) adversely (A) modify the allocation of Available Cash Flow (under, and as defined in, the RG Intermediate Holdings LLC Agreement) from RG Intermediate Holdings to RG Intermediate Super Holdings, (B) modify the definition of “Available Cash Flow” under the RG Intermediate Holdings LLC Agreement, (C) restrict the making of distributions of cash to the extent that such cash is actually available for distribution by any Loan Party absent such restriction, (iii) change the timing of any distribution of available cash by any Person to any Loan Party to delay such distribution to the extent that such cash is actually available for distribution by any Loan Party absent such change, (iv) reduce or permit the reduction of the amount of Contracted Revenues projected to be received by the P1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352"/>
        <w:spacing w:after="0"/>
        <w:tabs>
          <w:tab w:leader="none" w:pos="5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51" w:name="page252"/>
    <w:bookmarkEnd w:id="251"/>
    <w:p>
      <w:pPr>
        <w:jc w:val="both"/>
        <w:spacing w:after="0" w:line="247" w:lineRule="auto"/>
        <w:rPr>
          <w:sz w:val="20"/>
          <w:szCs w:val="20"/>
          <w:color w:val="auto"/>
        </w:rPr>
      </w:pPr>
      <w:r>
        <w:rPr>
          <w:rFonts w:ascii="Times New Roman" w:cs="Times New Roman" w:eastAsia="Times New Roman" w:hAnsi="Times New Roman"/>
          <w:sz w:val="22"/>
          <w:szCs w:val="22"/>
          <w:color w:val="auto"/>
        </w:rPr>
        <w:t>Company under any P1 Designated Offtake Agreement over the term of such P1 Designated Offtake Agreement, (v) waive, amend, or otherwise modify Section 8.5 (</w:t>
      </w:r>
      <w:r>
        <w:rPr>
          <w:rFonts w:ascii="Times New Roman" w:cs="Times New Roman" w:eastAsia="Times New Roman" w:hAnsi="Times New Roman"/>
          <w:sz w:val="22"/>
          <w:szCs w:val="22"/>
          <w:i w:val="1"/>
          <w:iCs w:val="1"/>
          <w:color w:val="auto"/>
        </w:rPr>
        <w:t>Maintenance of Credit Agreement Designated Offtake Agreements; LNG Sales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Mandatory Prepayment</w:t>
      </w:r>
      <w:r>
        <w:rPr>
          <w:rFonts w:ascii="Times New Roman" w:cs="Times New Roman" w:eastAsia="Times New Roman" w:hAnsi="Times New Roman"/>
          <w:sz w:val="22"/>
          <w:szCs w:val="22"/>
          <w:color w:val="auto"/>
        </w:rPr>
        <w:t>) of the CD Credit Agreement in a manner that would adversely impact the amount of cash available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by any Loan Party (after taking into account any prepayment of the amounts payable under the P1 Financing Documents) or (vi) otherwise adversely impact the Present Value of distributions from Contracted Revenues that would be received by any Loan Party but for such amendment, modification, supplement, waiver, or termination of such Organic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determining the impact on the Present Value of distributions from Contracted Revenues for purposes of this subpart (vi), such impact shall be determined by comparing (x) the Present Value of the distributions from Contracted Revenues for each period on and after the projected Term Conversion Date (as of the date of Closing) that would be made under the Closing Date Financial Model (as of the date of Closing) without giving effect to such amendment, modification, supplement, waiver, or termination with (y) the Present Value of the distributions from Contracted Revenues for each period on and after the projected Term Conversion Date (as of the date of determination) that would be made under the Closing Date Financial Model (as of the date of Closing and without adjusting the Closing Date Financial Model for any intervening events, facts, or circumstances other than to adjust the projected Term Conversion Date and the dates upon which Contracted Revenues are projected to be received as a result thereof) after giving full effect to such amendment, modification, supplement, waiver, or termination).</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No Loan Party shall make and will not instruct any relevant Person to make any Investments (other than the Guaranty provided by the Subsidiary Guarantors under the terms of this Agreement) in any Person except (a) obligations to fund amounts directly or indirectly to the P1 Project Company, any P2 Project Company or P2 Project Entity, (b) to acquire and directly or indirectly hold Equity Interests in any Subsidiary permitted by the terms of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and (c) obligations to fund amounts directly or indirectly to any Excluded Subsidiary that is not in excess of $1,000,000 individually or $5,000,000 in the aggregate for all Excluded Subsidiaries, in each case, in any single calendar year, unless such Investments are made with proceeds of equity contributions by the Pledgor or equity capital raise by the Borrower.</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The Borrower will not form, own or have any Subsidiaries or otherwise own beneficially an ownership interest in any Person other than the Subsidiary Guarantors, the P1 Project Company, the P1 Project Company’s Subsidiaries, the P2 Project Entities, and other Excluded Subsidiaries.</w:t>
      </w:r>
    </w:p>
    <w:p>
      <w:pPr>
        <w:spacing w:after="0" w:line="16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1"/>
          <w:szCs w:val="21"/>
          <w:u w:val="single" w:color="auto"/>
          <w:color w:val="auto"/>
        </w:rPr>
        <w:t>Transactions with Affiliates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6" w:lineRule="auto"/>
        <w:tabs>
          <w:tab w:leader="none" w:pos="1812"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the agreements forth on </w:t>
      </w:r>
      <w:r>
        <w:rPr>
          <w:rFonts w:ascii="Times New Roman" w:cs="Times New Roman" w:eastAsia="Times New Roman" w:hAnsi="Times New Roman"/>
          <w:sz w:val="22"/>
          <w:szCs w:val="22"/>
          <w:u w:val="single" w:color="auto"/>
          <w:color w:val="auto"/>
        </w:rPr>
        <w:t>Schedule 4.23</w:t>
      </w:r>
      <w:r>
        <w:rPr>
          <w:rFonts w:ascii="Times New Roman" w:cs="Times New Roman" w:eastAsia="Times New Roman" w:hAnsi="Times New Roman"/>
          <w:sz w:val="22"/>
          <w:szCs w:val="22"/>
          <w:color w:val="auto"/>
        </w:rPr>
        <w:t>, no Loan Party shall directly or indirectly, enter into any material Affiliate Transaction involving aggregate payments or consideration with respect to a single transaction or a series of related transactions, in excess of $1,000,000 per year except: (i) (A) the Project Documents (as defined in the P1 Common Terms Agreement) in existence on the date of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hanging="352"/>
        <w:spacing w:after="0"/>
        <w:tabs>
          <w:tab w:leader="none" w:pos="5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52" w:name="page253"/>
    <w:bookmarkEnd w:id="252"/>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Close, (B) any Affiliate Transactions required or contemplated by such Project Documents, and (C) any amendments to or replacements of such contracts, agreements or understandings referenced in this clause (i); (ii) to the extent required by Government Rules or Government Approvals; (iii) upon terms no less favorable to the applicable Loan Party than would be obtained in a comparable arm’s-length transaction with a Person that is not an Affiliate (based on then-current market conditions for transactions of a similar nature and duration and taking into account such factors as the characteristics of the goods and services, the market for such goods and services (including any applicable regulatory conditions), tax effects of the transaction, the location of the P1 Project and the counterparties), or, if no comparable arm’s-length transaction with a Person that is not an Affiliate is available, then on terms determined by the Borrower to be fair and reasonable; (iv) any officer or director indemnification agreement or any similar arrangement entered into by a Loan Party in the ordinary course of business and payments pursuant thereto; (v) Distributions made in accordance with the Finance Documents; and (vi) transactions with or among the P2 Project Entities.</w:t>
      </w:r>
    </w:p>
    <w:p>
      <w:pPr>
        <w:spacing w:after="0" w:line="189" w:lineRule="exact"/>
        <w:rPr>
          <w:sz w:val="20"/>
          <w:szCs w:val="20"/>
          <w:color w:val="auto"/>
        </w:rPr>
      </w:pPr>
    </w:p>
    <w:p>
      <w:pPr>
        <w:jc w:val="both"/>
        <w:ind w:left="660" w:firstLine="644"/>
        <w:spacing w:after="0" w:line="257" w:lineRule="auto"/>
        <w:tabs>
          <w:tab w:leader="none" w:pos="197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shall agree, authorize or otherwise consent to any proposed settlement, resolution or compromise of any litigation, arbitration or other dispute with any Affiliate with a liability of in excess of $250,000 in any Fiscal Year or $500,000 in the aggregate without the prior written authorization of the Majority Lenders.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u w:val="single" w:color="auto"/>
          <w:color w:val="auto"/>
        </w:rPr>
        <w:t>Equity Issuance</w:t>
      </w:r>
      <w:r>
        <w:rPr>
          <w:rFonts w:ascii="Times New Roman" w:cs="Times New Roman" w:eastAsia="Times New Roman" w:hAnsi="Times New Roman"/>
          <w:sz w:val="22"/>
          <w:szCs w:val="22"/>
          <w:color w:val="auto"/>
        </w:rPr>
        <w:t>. No Loan Party shall issue any limited liability company or beneficial interests or any other security convertible into any limited liability company or beneficial interests in such Loan Party’s capital to any Person other than to the Pledgor or another Loan Party and where such limited liability company interests, securities or other interests have been pledged to the Secured Parties.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The Borrower shall not, directly or indirectly, declare or make any Distributions other than Permitted Payments and Distributions of any proceeds of Extraordinary Distributions (as defined in the P1 Common Terms Agreement) to reimburse the Pledgor.</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Sale and Lease Backs</w:t>
      </w:r>
      <w:r>
        <w:rPr>
          <w:rFonts w:ascii="Times New Roman" w:cs="Times New Roman" w:eastAsia="Times New Roman" w:hAnsi="Times New Roman"/>
          <w:sz w:val="22"/>
          <w:szCs w:val="22"/>
          <w:color w:val="auto"/>
        </w:rPr>
        <w:t>. No Loan Party shall directly or indirectly become or remain liable as lessee or as a guarantor or other surety with respect to any lease, whether an operating lease or capital lease obligations of any property (whether real, personal or mixed), whether now owned or hereafter acquired, (i) which such Loan Party has sold or transferred or is to sell or transfer to any other Person (other than the Borrower) or (ii) which such Loan Party intends to use for substantially the same purpose as any other property which has been or is to be sold or transferred by such Loan Party to any Person (other than the Borrower).</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u w:val="single" w:color="auto"/>
          <w:color w:val="auto"/>
        </w:rPr>
        <w:t>Accounting Changes</w:t>
      </w:r>
      <w:r>
        <w:rPr>
          <w:rFonts w:ascii="Times New Roman" w:cs="Times New Roman" w:eastAsia="Times New Roman" w:hAnsi="Times New Roman"/>
          <w:sz w:val="22"/>
          <w:szCs w:val="22"/>
          <w:color w:val="auto"/>
        </w:rPr>
        <w:t>. No Loan Party shall change its Fiscal Year without the prior written consent of the Administrative Agent. No Loan Party shall change its accounting or financial reporting policies other than as permitted in accordance with GAAP.</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u w:val="single" w:color="auto"/>
          <w:color w:val="auto"/>
        </w:rPr>
        <w:t>Tax Status</w:t>
      </w:r>
      <w:r>
        <w:rPr>
          <w:rFonts w:ascii="Times New Roman" w:cs="Times New Roman" w:eastAsia="Times New Roman" w:hAnsi="Times New Roman"/>
          <w:sz w:val="22"/>
          <w:szCs w:val="22"/>
          <w:color w:val="auto"/>
        </w:rPr>
        <w:t>. No Loan Party shall take any affirmative action, nor consent to or permit any action (including the filing of an Internal Revenue Service Form 8832 electing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hanging="352"/>
        <w:spacing w:after="0"/>
        <w:tabs>
          <w:tab w:leader="none" w:pos="5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53" w:name="page254"/>
    <w:bookmarkEnd w:id="253"/>
    <w:p>
      <w:pPr>
        <w:spacing w:after="0" w:line="271" w:lineRule="auto"/>
        <w:rPr>
          <w:sz w:val="20"/>
          <w:szCs w:val="20"/>
          <w:color w:val="auto"/>
        </w:rPr>
      </w:pPr>
      <w:r>
        <w:rPr>
          <w:rFonts w:ascii="Times New Roman" w:cs="Times New Roman" w:eastAsia="Times New Roman" w:hAnsi="Times New Roman"/>
          <w:sz w:val="22"/>
          <w:szCs w:val="22"/>
          <w:color w:val="auto"/>
        </w:rPr>
        <w:t>classified as an association taxable as a corporation), which would cause such Loan Party to be treated as other than a disregarded entity or a partnership for U.S. federal income tax purposes.</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6.14</w:t>
      </w:r>
      <w:r>
        <w:rPr>
          <w:sz w:val="20"/>
          <w:szCs w:val="20"/>
          <w:color w:val="auto"/>
        </w:rPr>
        <w:tab/>
      </w:r>
      <w:r>
        <w:rPr>
          <w:rFonts w:ascii="Times New Roman" w:cs="Times New Roman" w:eastAsia="Times New Roman" w:hAnsi="Times New Roman"/>
          <w:sz w:val="21"/>
          <w:szCs w:val="21"/>
          <w:u w:val="single" w:color="auto"/>
          <w:color w:val="auto"/>
        </w:rPr>
        <w:t>P1 Financing Documents; Payments by P1 Project Company; RG Intermediate Holdings</w:t>
      </w:r>
      <w:r>
        <w:rPr>
          <w:rFonts w:ascii="Times New Roman" w:cs="Times New Roman" w:eastAsia="Times New Roman" w:hAnsi="Times New Roman"/>
          <w:sz w:val="21"/>
          <w:szCs w:val="21"/>
          <w:color w:val="auto"/>
        </w:rPr>
        <w:t>. Subject to the Loan Party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Power:</w:t>
      </w:r>
    </w:p>
    <w:p>
      <w:pPr>
        <w:spacing w:after="0" w:line="207" w:lineRule="exact"/>
        <w:rPr>
          <w:sz w:val="20"/>
          <w:szCs w:val="20"/>
          <w:color w:val="auto"/>
        </w:rPr>
      </w:pPr>
    </w:p>
    <w:p>
      <w:pPr>
        <w:jc w:val="both"/>
        <w:ind w:left="660" w:firstLine="644"/>
        <w:spacing w:after="0" w:line="246" w:lineRule="auto"/>
        <w:tabs>
          <w:tab w:leader="none" w:pos="1858"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shall, directly or indirectly, cause the P1 Project Company to amend, modify, supplement, waive or terminate, or consent to the amendment, modification, supplement, waiver or termination of, any provision of any P1 Financing Document in a manner that would (i) cause a Material Adverse Effect, (ii) adversely (A) modify the allocation of Available Cash Flow (under, and as defined in, the RG Intermediate Holdings LLC Agreement) from RG Intermediate Holdings to RG Intermediate Super Holdings, (B) modify the definition of “Available Cash Flow” under the RG Intermediate Holdings LLC Agreement, (C) restrict the making of distributions of cash to the extent that such cash is actually available for distribution by the P1 Project Company or any Loan Party absent such restriction, (iii) change the timing of any distribution of available cash by the P1 Project Company or any Person to any Loan Party to delay such distribution to the extent that such cash is actually available for distribution by the P1 Project Company or any Loan Party absent such change, (iv) reduce or permit the reduction of the amount of Contracted Revenues projected to be received by the P1 Project Company under any P1 Designated Offtake Agreement over the term of such P1 Designated Offtake Agreement, (v) waive, amend, or otherwise modify Section 8.5 (</w:t>
      </w:r>
      <w:r>
        <w:rPr>
          <w:rFonts w:ascii="Times New Roman" w:cs="Times New Roman" w:eastAsia="Times New Roman" w:hAnsi="Times New Roman"/>
          <w:sz w:val="22"/>
          <w:szCs w:val="22"/>
          <w:i w:val="1"/>
          <w:iCs w:val="1"/>
          <w:color w:val="auto"/>
        </w:rPr>
        <w:t>Maintenance of Credit Agreement Designated Offtake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Agreements; LNG Sales Mandatory Prepayment</w:t>
      </w:r>
      <w:r>
        <w:rPr>
          <w:rFonts w:ascii="Times New Roman" w:cs="Times New Roman" w:eastAsia="Times New Roman" w:hAnsi="Times New Roman"/>
          <w:sz w:val="22"/>
          <w:szCs w:val="22"/>
          <w:color w:val="auto"/>
        </w:rPr>
        <w:t>) of the CD Credit Agreement in a manner that would adversely impact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amount of cash available for distribution by the P1 Project Company or any Loan Party (after taking into account any prepayment of the amounts payable under the P1 Financing Documents), or (vi) otherwise adversely impact the Present Value of distributions from Contracted Revenues that would be received by any Loan Party but for such amendment, modification, supplement, waiver, or termination of such P1 Financing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determining the impact on the Present Value of distributions from Contracted Revenues for purposes of this subpart (vi), such impact shall be determined by comparing (x) the Present Value of the distributions from Contracted Revenues for each period on and after the projected Term Conversion Date (as of the date of Closing) that would be made under the Closing Date Financial Model (as of the date of Closing) without giving effect to such amendment, modification, supplement, waiver, or termination with (y) the Present Value of the distributions from Contracted Revenues for each period on and after the projected Term Conversion Date (as of the date of determination) that would be made under the Closing Date Financial Model (as of the date of Closing and without adjusting the Closing Date Financial Model for any intervening events, facts, or circumstances other than to adjust the projected Term Conversion Date and the dates upon which Contracted Revenues are projected to be received as a result thereof) after giving full effect to such amendment, modification, supplement, waiver, or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hanging="352"/>
        <w:spacing w:after="0"/>
        <w:tabs>
          <w:tab w:leader="none" w:pos="5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54" w:name="page255"/>
    <w:bookmarkEnd w:id="254"/>
    <w:p>
      <w:pPr>
        <w:jc w:val="both"/>
        <w:ind w:left="472" w:firstLine="644"/>
        <w:spacing w:after="0" w:line="259" w:lineRule="auto"/>
        <w:tabs>
          <w:tab w:leader="none" w:pos="1667"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Loan Party shall, directly or indirectly, cause the P1 Project Company to amend, modify, supplement, waive or terminate or consent to the amendment, modification, supplement, waiver or termination of any provision of any P1 Material Project Document in a manner that would (i) cause a Material Adverse Effect, (ii) adversely (A) modify the allocation of Available Cash Flow (under, and as defined in, the RG Intermediate Holdings LLC Agreement) from RG Intermediate Holdings to RG Intermediate Super Holdings, (B) modify the definition of “Available Cash Flow” under the RG Intermediate Holdings LLC Agreement, (C) restrict the making of distributions of cash to the extent that such cash is actually available for distribution by the P1 Project Company or any Loan Party absent such restriction, (iii) change the timing of any distribution of available cash by the P1 Project Company or any Person to any Loan Party to delay such distribution to the extent that such cash is actually available for distribution by the P1 Project Company or any Loan Party absent such change, (iv) reduce or permit the reduction of the amount of Contracted Revenues projected to be received by the P1 Project Company under any P1 Designated Offtake Agreement over the term of such P1 Designated Offtake Agreement, (v) waive, amend, or otherwise modify Section 8.5 (</w:t>
      </w:r>
      <w:r>
        <w:rPr>
          <w:rFonts w:ascii="Times New Roman" w:cs="Times New Roman" w:eastAsia="Times New Roman" w:hAnsi="Times New Roman"/>
          <w:sz w:val="21"/>
          <w:szCs w:val="21"/>
          <w:i w:val="1"/>
          <w:iCs w:val="1"/>
          <w:color w:val="auto"/>
        </w:rPr>
        <w:t>Maintenance of Credit Agreement Designated Offtake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Agreements; LNG Sales Mandatory Prepayment</w:t>
      </w:r>
      <w:r>
        <w:rPr>
          <w:rFonts w:ascii="Times New Roman" w:cs="Times New Roman" w:eastAsia="Times New Roman" w:hAnsi="Times New Roman"/>
          <w:sz w:val="21"/>
          <w:szCs w:val="21"/>
          <w:color w:val="auto"/>
        </w:rPr>
        <w:t>) of the CD Credit Agreement in a manner that would adversely impact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amount of cash available for distribution by the P1 Project Company or any Loan Party (after taking into account any prepayment of the amounts payable under the P1 Financing Documents) or (vi) otherwise adversely impact the Present Value of distributions from Contracted Revenues that would be received by any Loan Party but for such amendment, modification, supplement, waiver, or termination of such P1 Material Project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for purposes of determining the impact on the Present Value of distributions from Contracted Revenues for purposes of this subpart (vi), such impact shall be determined by comparing (x) the Present Value of the distributions from Contracted Revenues for each period on and after the projected Term Conversion Date (as of the date of Closing) that would be made under the Closing Date Financial Model (as of the date of Closing) without giving effect to such amendment, modification, supplement, waiver, or termination with (y) the Present Value of the distributions from Contracted Revenues for each period on and after the projected Term Conversion Date (as of the date of determination) that would be made under the Closing Date Financial Model (as of the date of Closing and without adjusting the Closing Date Financial Model for any intervening events, facts, or circumstances other than to adjust the projected Term Conversion Date and the dates upon which Contracted Revenues are projected to be received as a result thereof) after giving full effect to such amendment, modification, supplement, waiver, or termination);</w:t>
      </w:r>
    </w:p>
    <w:p>
      <w:pPr>
        <w:spacing w:after="0" w:line="200" w:lineRule="exact"/>
        <w:rPr>
          <w:rFonts w:ascii="Times New Roman" w:cs="Times New Roman" w:eastAsia="Times New Roman" w:hAnsi="Times New Roman"/>
          <w:sz w:val="21"/>
          <w:szCs w:val="21"/>
          <w:color w:val="auto"/>
        </w:rPr>
      </w:pPr>
    </w:p>
    <w:p>
      <w:pPr>
        <w:spacing w:after="0" w:line="233" w:lineRule="exact"/>
        <w:rPr>
          <w:rFonts w:ascii="Times New Roman" w:cs="Times New Roman" w:eastAsia="Times New Roman" w:hAnsi="Times New Roman"/>
          <w:sz w:val="21"/>
          <w:szCs w:val="21"/>
          <w:color w:val="auto"/>
        </w:rPr>
      </w:pPr>
    </w:p>
    <w:p>
      <w:pPr>
        <w:ind w:left="472" w:firstLine="644"/>
        <w:spacing w:after="0" w:line="271" w:lineRule="auto"/>
        <w:tabs>
          <w:tab w:leader="none" w:pos="1717"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shall cause the P1 Project Company to make or permit any optional prepayment of the Construction/Term Loans under, and as defined in, the CD Credit Agreement.</w:t>
      </w:r>
    </w:p>
    <w:p>
      <w:pPr>
        <w:spacing w:after="0" w:line="157" w:lineRule="exact"/>
        <w:rPr>
          <w:rFonts w:ascii="Times New Roman" w:cs="Times New Roman" w:eastAsia="Times New Roman" w:hAnsi="Times New Roman"/>
          <w:sz w:val="22"/>
          <w:szCs w:val="22"/>
          <w:color w:val="auto"/>
        </w:rPr>
      </w:pPr>
    </w:p>
    <w:p>
      <w:pPr>
        <w:jc w:val="both"/>
        <w:ind w:left="472" w:firstLine="644"/>
        <w:spacing w:after="0" w:line="263" w:lineRule="auto"/>
        <w:tabs>
          <w:tab w:leader="none" w:pos="1618"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RG Intermediate Super Holdings shall not vote its Class A Units in any manner that would (i) allow for RG Intermediate Holdings to incur Indebtedness or (ii) allow for any termination, amendment, modification, supplement or waiver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52" w:hanging="352"/>
        <w:spacing w:after="0"/>
        <w:tabs>
          <w:tab w:leader="none" w:pos="352"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55" w:name="page256"/>
    <w:bookmarkEnd w:id="255"/>
    <w:p>
      <w:pPr>
        <w:ind w:left="472"/>
        <w:spacing w:after="0"/>
        <w:rPr>
          <w:sz w:val="20"/>
          <w:szCs w:val="20"/>
          <w:color w:val="auto"/>
        </w:rPr>
      </w:pPr>
      <w:r>
        <w:rPr>
          <w:rFonts w:ascii="Times New Roman" w:cs="Times New Roman" w:eastAsia="Times New Roman" w:hAnsi="Times New Roman"/>
          <w:sz w:val="21"/>
          <w:szCs w:val="21"/>
          <w:color w:val="auto"/>
        </w:rPr>
        <w:t>provision of the RG Intermediate Holdings LLC Agreement in a manner that would (A) cause a Material Adverse Effect,</w:t>
      </w:r>
    </w:p>
    <w:p>
      <w:pPr>
        <w:spacing w:after="0" w:line="39" w:lineRule="exact"/>
        <w:rPr>
          <w:sz w:val="20"/>
          <w:szCs w:val="20"/>
          <w:color w:val="auto"/>
        </w:rPr>
      </w:pPr>
    </w:p>
    <w:p>
      <w:pPr>
        <w:jc w:val="both"/>
        <w:ind w:left="472" w:hanging="4"/>
        <w:spacing w:after="0" w:line="246" w:lineRule="auto"/>
        <w:tabs>
          <w:tab w:leader="none" w:pos="825"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(1) modify the allocation of Available Cash Flow (under, and as defined in, the RG Intermediate Holdings LLC Agreement) from RG Intermediate Holdings to RG Intermediate Super Holdings, (2) modify the definition of “Available Cash Flow” under the RG Intermediate Holdings LLC Agreement, (3) restrict the making of distributions of cash to the extent that such cash is actually available for distribution by any Loan Party absent such restriction, (C) change the timing of any distribution of available cash by any Person to any Loan Party to delay such distribution to the extent that such cash is actually available for distribution by any Loan Party absent such change, (D) reduce or permit the reduction of the amount of Contracted Revenues projected to be received by the P1 Project Company under any P1 Designated Offtake Agreement over the term of such P1 Designated Offtake Agreement, (v) waive, amend, or otherwise modify Section 8.5 (</w:t>
      </w:r>
      <w:r>
        <w:rPr>
          <w:rFonts w:ascii="Times New Roman" w:cs="Times New Roman" w:eastAsia="Times New Roman" w:hAnsi="Times New Roman"/>
          <w:sz w:val="22"/>
          <w:szCs w:val="22"/>
          <w:i w:val="1"/>
          <w:iCs w:val="1"/>
          <w:color w:val="auto"/>
        </w:rPr>
        <w:t>Maintenance of Credit Agreement Designated Offtake Agreements; LNG Sales Mandatory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Prepayment</w:t>
      </w:r>
      <w:r>
        <w:rPr>
          <w:rFonts w:ascii="Times New Roman" w:cs="Times New Roman" w:eastAsia="Times New Roman" w:hAnsi="Times New Roman"/>
          <w:sz w:val="22"/>
          <w:szCs w:val="22"/>
          <w:color w:val="auto"/>
        </w:rPr>
        <w:t>) of the CD Credit Agreement in a manner that would adversely impact the amount of cash available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by the P1 Project Company or any Loan Party (after taking into account any prepayment of the amounts payable under the P1 Financing Documents) or (E) otherwise adversely impact the Present Value of distributions from Contracted Revenues that would be received by any Loan Party but for such amendment, modification, supplement, waiver, or termination of the RG Intermediate Holdings LLC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determining the impact on the Present Value of distributions from Contracted Revenues for purposes of this subpart (E), such impact shall be determined by comparing (x) the Present Value of the distributions from Contracted Revenues for each period on and after the projected Term Conversion Date (as of the date of Closing) that would be made under the Closing Date Financial Model (as of the date of Closing) without giving effect to such amendment, modification, supplement, waiver, or termination with (y) the Present Value of the distributions from Contracted Revenues for each period on and after the projected Term Conversion Date (as of the date of determination) that would be made under the Closing Date Financial Model (as of the date of Closing and without adjusting the Closing Date Financial Model for any intervening events, facts, or circumstances other than to adjust the projected Term Conversion Date and the dates upon which Contracted Revenues are projected to be received as a result thereof) after giving full effect to such amendment, modification, supplement, waiver, or termination).</w:t>
      </w:r>
    </w:p>
    <w:p>
      <w:pPr>
        <w:spacing w:after="0" w:line="192" w:lineRule="exact"/>
        <w:rPr>
          <w:rFonts w:ascii="Times New Roman" w:cs="Times New Roman" w:eastAsia="Times New Roman" w:hAnsi="Times New Roman"/>
          <w:sz w:val="22"/>
          <w:szCs w:val="22"/>
          <w:color w:val="auto"/>
        </w:rPr>
      </w:pPr>
    </w:p>
    <w:p>
      <w:pPr>
        <w:jc w:val="both"/>
        <w:ind w:left="472" w:firstLine="644"/>
        <w:spacing w:after="0" w:line="251" w:lineRule="auto"/>
        <w:tabs>
          <w:tab w:leader="none" w:pos="1574"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comply with its obligations under, and shall not take any action, or fail to take any action, which would result in a violation or breach by the Borrower under, the RG Facility Agreements (as defined in the P1 Common Terms Agreement), in each case unless any noncompliance or action or failure to act does not result in, and could not reasonably be expected to result in, a “Default” by the P1 Project Company under and as defined in the CD Credit Agreement or give rise to a removal of the Borrower for “Cause” (as defined in the Definitions Agreement) from any of its roles under the RG Facility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2" w:hanging="352"/>
        <w:spacing w:after="0"/>
        <w:tabs>
          <w:tab w:leader="none" w:pos="35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56" w:name="page257"/>
    <w:bookmarkEnd w:id="256"/>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6.15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Each Loan Party shall not, and shall not permit or authorize any Person to, directly or knowingly indirectly, have any investment in or engage in any dealing or transaction (including using, lending, making payments of, contributing or otherwise making available, all or any part of, the proceeds of the Loans or other transactions contemplated by this Agreement or any other P1 Financing Document), with any Person if such investment or transaction (a) involves or is for the benefit of any Restricted Person or any Sanctioned Country except to the extent permitted for a Person required to comply with Sanctions Regulations, (b) would cause any Lender or any Affiliate of such Lender to be in violation of, or the subject of, applicable Sanctions Regulations, or (c) in any other manner that could reasonably be expected to result in any Person (including any Person participating in the Loans) being in breach of any Sanctions Regulations (if any to the extent applicable to any of them) or becoming a Restricted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19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Each of the specified events set forth below shall constitute an “</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left="660" w:firstLine="644"/>
        <w:spacing w:after="0" w:line="254" w:lineRule="auto"/>
        <w:tabs>
          <w:tab w:leader="none" w:pos="1777"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Payments</w:t>
      </w:r>
      <w:r>
        <w:rPr>
          <w:rFonts w:ascii="Times New Roman" w:cs="Times New Roman" w:eastAsia="Times New Roman" w:hAnsi="Times New Roman"/>
          <w:sz w:val="22"/>
          <w:szCs w:val="22"/>
          <w:color w:val="auto"/>
        </w:rPr>
        <w:t>. The Borrower shall fail to pay when due (A) any principal of any Loan due and payable, whether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at the due date thereof or at a date fixed for prepayment thereof or otherwise (unless (x) such failure is caused by an administrative or technical error and (y) payment is made within three Business Days of its due date) or (B) any interest on any Loan and, in the case of this sub-clause (B), such failure shall continue unremedied for a period of three Business Days;</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03"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w:t>
      </w:r>
      <w:r>
        <w:rPr>
          <w:rFonts w:ascii="Times New Roman" w:cs="Times New Roman" w:eastAsia="Times New Roman" w:hAnsi="Times New Roman"/>
          <w:sz w:val="22"/>
          <w:szCs w:val="22"/>
          <w:color w:val="auto"/>
        </w:rPr>
        <w:t>. Any representation, warranty or certification made or deemed made by any Credit Party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Finance Document (including in any certificate, report, financial statement or other document furnished to any Secured Party hereunder, pursuant to any Finance Document) to which such Person is a party shall have been false when made or deemed made, confirmed, or furnished, such falsity (if capable of being remedied) is not remedied within sixty days after the earlier of notice or Borrower’s Knowledge of such misrepresentation or false statement, and such falsity or any adverse effects therefrom could reasonably be expected to have a Material Adverse Effect;</w:t>
      </w:r>
    </w:p>
    <w:p>
      <w:pPr>
        <w:spacing w:after="0" w:line="174"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Finance Document Covenants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544"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Loan Party shall default in the due performance or observance of any term, covenant or agreement contained in </w:t>
      </w:r>
      <w:r>
        <w:rPr>
          <w:rFonts w:ascii="Times New Roman" w:cs="Times New Roman" w:eastAsia="Times New Roman" w:hAnsi="Times New Roman"/>
          <w:sz w:val="22"/>
          <w:szCs w:val="22"/>
          <w:u w:val="single" w:color="auto"/>
          <w:color w:val="auto"/>
        </w:rPr>
        <w:t>Sections 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or</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73"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Credit Party shall default in the due performance or observance by it of any term, covenant or agreement under any Finance Document (subject to any applicable cure period) (other than the Obligations otherwise identified in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and such default shall continue unremedied for a period of thirty days after the earlier of (A) the Administrative Agent or any Lender giving written notice thereof and (B) Borrower’s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hanging="352"/>
        <w:spacing w:after="0"/>
        <w:tabs>
          <w:tab w:leader="none" w:pos="5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57" w:name="page258"/>
    <w:bookmarkEnd w:id="257"/>
    <w:p>
      <w:pPr>
        <w:jc w:val="both"/>
        <w:ind w:left="1112"/>
        <w:spacing w:after="0" w:line="257" w:lineRule="auto"/>
        <w:rPr>
          <w:sz w:val="20"/>
          <w:szCs w:val="20"/>
          <w:color w:val="auto"/>
        </w:rPr>
      </w:pPr>
      <w:r>
        <w:rPr>
          <w:rFonts w:ascii="Times New Roman" w:cs="Times New Roman" w:eastAsia="Times New Roman" w:hAnsi="Times New Roman"/>
          <w:sz w:val="22"/>
          <w:szCs w:val="22"/>
          <w:color w:val="auto"/>
        </w:rPr>
        <w:t xml:space="preserve">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default is not capable of remedy within such thirty day period, such thirty day period shall be extended to a total period of 75 days so long as (x) such default is susceptible to cure and (y) such Person commences and is diligently pursuing a cure.</w:t>
      </w:r>
    </w:p>
    <w:p>
      <w:pPr>
        <w:spacing w:after="0" w:line="182" w:lineRule="exact"/>
        <w:rPr>
          <w:sz w:val="20"/>
          <w:szCs w:val="20"/>
          <w:color w:val="auto"/>
        </w:rPr>
      </w:pPr>
    </w:p>
    <w:p>
      <w:pPr>
        <w:jc w:val="both"/>
        <w:ind w:left="472" w:firstLine="644"/>
        <w:spacing w:after="0" w:line="248" w:lineRule="auto"/>
        <w:tabs>
          <w:tab w:leader="none" w:pos="1696"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Involuntary Bankruptcy, Etc</w:t>
      </w:r>
      <w:r>
        <w:rPr>
          <w:rFonts w:ascii="Times New Roman" w:cs="Times New Roman" w:eastAsia="Times New Roman" w:hAnsi="Times New Roman"/>
          <w:sz w:val="22"/>
          <w:szCs w:val="22"/>
          <w:color w:val="auto"/>
        </w:rPr>
        <w:t>. An involuntary proceeding shall have been commenced against any Credit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Party seeking that such Person be wound up or liquidated, adjudging such Person bankrupt or insolvent or seeking reorganization, arrangement, compromise, adjustment, protection, moratorium, relief, stay of proceedings of creditors, generally, adjustment or composition of or in respect of such Person or its debts or obligations under any applicable Government Rule or seeking the appointment of a receiver, interim receiver, receiver/manager, liquidator, assignee, trustee, sequestrator, (or other similar official) of such Person or of any substantial part of its property or other assets or the winding up or liquidation of its affairs and in any such case, the proceeding continues undismissed, unstayed or unremedied for ninety days (or, to the extent any shorter period is available under applicable Government Rule to contest or controvert any such involuntary proceeding, such proceeding continues undismissed or unremedied for such shorter period);</w:t>
      </w:r>
    </w:p>
    <w:p>
      <w:pPr>
        <w:spacing w:after="0" w:line="180" w:lineRule="exact"/>
        <w:rPr>
          <w:rFonts w:ascii="Times New Roman" w:cs="Times New Roman" w:eastAsia="Times New Roman" w:hAnsi="Times New Roman"/>
          <w:sz w:val="22"/>
          <w:szCs w:val="22"/>
          <w:color w:val="auto"/>
        </w:rPr>
      </w:pPr>
    </w:p>
    <w:p>
      <w:pPr>
        <w:jc w:val="both"/>
        <w:ind w:left="472" w:firstLine="644"/>
        <w:spacing w:after="0" w:line="262" w:lineRule="auto"/>
        <w:tabs>
          <w:tab w:leader="none" w:pos="1603"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Voluntary Bankruptcy, Etc</w:t>
      </w:r>
      <w:r>
        <w:rPr>
          <w:rFonts w:ascii="Times New Roman" w:cs="Times New Roman" w:eastAsia="Times New Roman" w:hAnsi="Times New Roman"/>
          <w:sz w:val="21"/>
          <w:szCs w:val="21"/>
          <w:color w:val="auto"/>
        </w:rPr>
        <w:t>. The institution by any Credit Party of proceedings to be adjudicated bankrupt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insolvent or seeking liquidation, dissolution, winding-up, reorganization, compromise, arrangement, adjustment, protection, moratorium, relief, stay of proceedings of creditors generally (or any class of creditors), or composition of it or its debts or any other relief under any applicable Government Rule or the consent by it to the institution of bankruptcy or insolvency proceedings against it or the filing by it of a petition or answer or consent seeking reorganization or debt relief under any applicable Government Rule or to the appointment of a receiver, interim receiver, receiver/manager, liquidator, assignee, trustee, sequestrator, visitor or conciliator (or other similar official) of any such Person or of any substantial part of its property or the making by it of an assignment for the benefit of creditors such Person shall generally fail to pay its debts as they fall due or an admission by it in writing of its inability or unwillingness to pay its debts generally as they become due or any other event shall have occurred which under any applicable Government Rule would have an effect analogous to any of those events listed above in this </w:t>
      </w:r>
      <w:r>
        <w:rPr>
          <w:rFonts w:ascii="Times New Roman" w:cs="Times New Roman" w:eastAsia="Times New Roman" w:hAnsi="Times New Roman"/>
          <w:sz w:val="21"/>
          <w:szCs w:val="21"/>
          <w:u w:val="single" w:color="auto"/>
          <w:color w:val="auto"/>
        </w:rPr>
        <w:t>Section 7.1(e)</w:t>
      </w:r>
      <w:r>
        <w:rPr>
          <w:rFonts w:ascii="Times New Roman" w:cs="Times New Roman" w:eastAsia="Times New Roman" w:hAnsi="Times New Roman"/>
          <w:sz w:val="21"/>
          <w:szCs w:val="21"/>
          <w:color w:val="auto"/>
        </w:rPr>
        <w:t xml:space="preserve"> with respect to any such Person or any action is taken by any such Person for the purpose of effecting any of the foregoing;</w:t>
      </w:r>
    </w:p>
    <w:p>
      <w:pPr>
        <w:spacing w:after="0" w:line="171" w:lineRule="exact"/>
        <w:rPr>
          <w:rFonts w:ascii="Times New Roman" w:cs="Times New Roman" w:eastAsia="Times New Roman" w:hAnsi="Times New Roman"/>
          <w:sz w:val="21"/>
          <w:szCs w:val="21"/>
          <w:color w:val="auto"/>
        </w:rPr>
      </w:pPr>
    </w:p>
    <w:p>
      <w:pPr>
        <w:jc w:val="both"/>
        <w:ind w:left="472" w:firstLine="644"/>
        <w:spacing w:after="0" w:line="252" w:lineRule="auto"/>
        <w:tabs>
          <w:tab w:leader="none" w:pos="1592"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Any Credit Party shall default in either (i) the payment of any principal or interest due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agreement or instrument involving Indebtedness and such outstanding amount or amounts payable under any such agreement or instrument equals or exceeds, with respect to any Loan Party $2,000,000 (or the equivalent) and with respect to the Pledgor, $100,000,000 (or the equivalent) or (ii) in the performance of any obligation due under any agreement or instrument involving such amount of Indebtedness and, in the case of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only, as a result of such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2" w:hanging="352"/>
        <w:spacing w:after="0"/>
        <w:tabs>
          <w:tab w:leader="none" w:pos="35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58" w:name="page259"/>
    <w:bookmarkEnd w:id="258"/>
    <w:p>
      <w:pPr>
        <w:ind w:left="660"/>
        <w:spacing w:after="0"/>
        <w:rPr>
          <w:sz w:val="20"/>
          <w:szCs w:val="20"/>
          <w:color w:val="auto"/>
        </w:rPr>
      </w:pPr>
      <w:r>
        <w:rPr>
          <w:rFonts w:ascii="Times New Roman" w:cs="Times New Roman" w:eastAsia="Times New Roman" w:hAnsi="Times New Roman"/>
          <w:sz w:val="22"/>
          <w:szCs w:val="22"/>
          <w:color w:val="auto"/>
        </w:rPr>
        <w:t>the holders of the obligation concerned would be entitled to accelerate the scheduled maturity of such Indebtedness;</w:t>
      </w:r>
    </w:p>
    <w:p>
      <w:pPr>
        <w:spacing w:after="0" w:line="216" w:lineRule="exact"/>
        <w:rPr>
          <w:sz w:val="20"/>
          <w:szCs w:val="20"/>
          <w:color w:val="auto"/>
        </w:rPr>
      </w:pPr>
    </w:p>
    <w:p>
      <w:pPr>
        <w:jc w:val="both"/>
        <w:ind w:left="660" w:firstLine="644"/>
        <w:spacing w:after="0" w:line="269" w:lineRule="auto"/>
        <w:tabs>
          <w:tab w:leader="none" w:pos="1803"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Final Judgments</w:t>
      </w:r>
      <w:r>
        <w:rPr>
          <w:rFonts w:ascii="Times New Roman" w:cs="Times New Roman" w:eastAsia="Times New Roman" w:hAnsi="Times New Roman"/>
          <w:sz w:val="21"/>
          <w:szCs w:val="21"/>
          <w:color w:val="auto"/>
        </w:rPr>
        <w:t>. A final judgment or judgments not capable of further appeal for the payment of money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respect of any Loan Party, in excess of $2,000,000 in the aggregate (net of insurance proceeds which are reasonably expected to be paid), shall be rendered by one or more Government Authorities, arbitral tribunals or other bodies having jurisdiction and the same shall not be complied with, discharged (or provision shall not be made for such discharge) or a stay of execution shall not be procured, within thirty days from the date of entry of such judgment or judgments;</w:t>
      </w:r>
    </w:p>
    <w:p>
      <w:pPr>
        <w:spacing w:after="0" w:line="158" w:lineRule="exact"/>
        <w:rPr>
          <w:rFonts w:ascii="Times New Roman" w:cs="Times New Roman" w:eastAsia="Times New Roman" w:hAnsi="Times New Roman"/>
          <w:sz w:val="21"/>
          <w:szCs w:val="21"/>
          <w:color w:val="auto"/>
        </w:rPr>
      </w:pPr>
    </w:p>
    <w:p>
      <w:pPr>
        <w:jc w:val="both"/>
        <w:ind w:left="660" w:firstLine="644"/>
        <w:spacing w:after="0" w:line="254" w:lineRule="auto"/>
        <w:tabs>
          <w:tab w:leader="none" w:pos="1803"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Security</w:t>
      </w:r>
      <w:r>
        <w:rPr>
          <w:rFonts w:ascii="Times New Roman" w:cs="Times New Roman" w:eastAsia="Times New Roman" w:hAnsi="Times New Roman"/>
          <w:sz w:val="22"/>
          <w:szCs w:val="22"/>
          <w:color w:val="auto"/>
        </w:rPr>
        <w:t>. The Liens in favor of the Secured Parties under the Security Documents shall at any time cease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constitute valid and fully perfected Liens granting a first priority security interest (to the extent available under applicable Government Rule and subject to Permitted Liens) in Collateral to the Secured Parties or any agent or trustee on their behalf and five Business Days have elapsed following the earlier of (i) the Borrower’s Knowledge of the occurrence of such event or circumstance and (ii) the notice from Collateral Agent to the Borrower thereof;</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755"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Illegality or Unenforceability of Finance Documents</w:t>
      </w:r>
      <w:r>
        <w:rPr>
          <w:rFonts w:ascii="Times New Roman" w:cs="Times New Roman" w:eastAsia="Times New Roman" w:hAnsi="Times New Roman"/>
          <w:sz w:val="22"/>
          <w:szCs w:val="22"/>
          <w:color w:val="auto"/>
        </w:rPr>
        <w:t>. Any Finance Document once executed or any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 thereof (a) is declared by a court of competent jurisdiction to be illegal or unenforceable and such unenforceability or illegality is not cured within five Business Days following the date of entry of such judgment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five Business Day period will apply only so long as the relevant party is attempting in good faith to cure such unenforceability), (b) should otherwise cease to be valid and binding or in full force and effect or shall be materially Impaired (in each case, except in connection with its expiration or termination in accordance with its terms or the terms of any other Finance Document in the ordinary course (and not related to any default hereunder or thereunder)), or (c) is expressly terminated, contested or repudiated by any Credit Party party thereto;</w:t>
      </w:r>
    </w:p>
    <w:p>
      <w:pPr>
        <w:spacing w:after="0" w:line="195"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P1 Project Credit Event of Default</w:t>
      </w:r>
      <w:r>
        <w:rPr>
          <w:rFonts w:ascii="Times New Roman" w:cs="Times New Roman" w:eastAsia="Times New Roman" w:hAnsi="Times New Roman"/>
          <w:sz w:val="22"/>
          <w:szCs w:val="22"/>
          <w:color w:val="auto"/>
        </w:rPr>
        <w:t>. A P1 Project Event of Default has occurred and is continuing; or</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5" w:lineRule="auto"/>
        <w:tabs>
          <w:tab w:leader="none" w:pos="1789"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Any ERISA Event that could reasonably be expected to result in material liability to any Loan Party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ERISA or under the Code with respect to any Pension Plan or Multiemployer Plan.</w:t>
      </w:r>
    </w:p>
    <w:p>
      <w:pPr>
        <w:spacing w:after="0" w:line="15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Upon the occurrence and continuation of an Event of Default, the Majority Lenders may by notice to the Borrower (except for any Event of Default under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7.1(e)</w:t>
      </w:r>
      <w:r>
        <w:rPr>
          <w:rFonts w:ascii="Times New Roman" w:cs="Times New Roman" w:eastAsia="Times New Roman" w:hAnsi="Times New Roman"/>
          <w:sz w:val="22"/>
          <w:szCs w:val="22"/>
          <w:color w:val="auto"/>
        </w:rPr>
        <w:t>, in respect of the Borrower, in which case no notice shall be required), exercise any or all rights and remedies at law or in equity (in any combination or order that the Majority Lenders may elect in accordance with this Agreement), including without limitation or prejudice to the Lenders’ other rights and remedies,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hanging="352"/>
        <w:spacing w:after="0"/>
        <w:tabs>
          <w:tab w:leader="none" w:pos="54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59" w:name="page260"/>
    <w:bookmarkEnd w:id="259"/>
    <w:p>
      <w:pPr>
        <w:jc w:val="both"/>
        <w:ind w:left="660" w:firstLine="644"/>
        <w:spacing w:after="0" w:line="251" w:lineRule="auto"/>
        <w:tabs>
          <w:tab w:leader="none" w:pos="1764"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Loans then outstanding to be due and payable in whole (or in part, in which case any principal not so declared to be due and payable may thereafter be declared to be due and payable), and thereupon the Loan Commitment shall automatically terminate and the principal of the Loans so declared to be due and payable, together with accrued interest thereon and all fees and other obligations of the Borrower accrued hereunder, shall become due and payable immediately, in each case, without presentment, demand, protest or other notice of any kind, all of which are hereby waived by each Loan Party;</w:t>
      </w:r>
    </w:p>
    <w:p>
      <w:pPr>
        <w:spacing w:after="0" w:line="18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suspend or terminate all Commitments to provide any further Loans hereunder;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85"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all contractual and legal rights of secured creditors in relation to the Collateral, including setting off and applying all monies on deposit in the RP Account to the satisfaction of the amount of Obligations outstanding and then due and payable.</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Agreement or any other Finance Document</w:t>
      </w:r>
      <w:r>
        <w:rPr>
          <w:rFonts w:ascii="Times New Roman" w:cs="Times New Roman" w:eastAsia="Times New Roman" w:hAnsi="Times New Roman"/>
          <w:sz w:val="22"/>
          <w:szCs w:val="22"/>
          <w:color w:val="auto"/>
        </w:rPr>
        <w:t xml:space="preserve">, neither the Administrative Agent nor the Lenders shall instruct the Collateral Agent to foreclose, transfer, sell, or convey the Equity Interests in the Borrower or any Subsidiary Guarantor without providing the Pledgor with sixty days to cure any outstanding Events of Default;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default is not capable of remedy within such sixty day period, such sixty day period shall be extended to a total period of ninety days so long as (x) such default is susceptible to cure and (y) the Pledgor commences and is diligently pursuing a cure.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PREPAYMENTS; COMMITMENT REDUCTIONS</w:t>
      </w:r>
    </w:p>
    <w:p>
      <w:pPr>
        <w:spacing w:after="0" w:line="19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Mandatory Prepayments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firstLine="644"/>
        <w:spacing w:after="0" w:line="271" w:lineRule="auto"/>
        <w:tabs>
          <w:tab w:leader="none" w:pos="178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apply any distributions received from RG Super Holdings to a mandatory prepayment of the Loans unless the Borrower is permitted to make a Distribution of such proceeds pursuant to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32"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in writing of any mandatory prepayment of the Loans required to be made pursuant to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at least three (3) Business Days prior to the date of such prepayment. Each such notice shall specify the date of such prepayment and provide a reasonably detailed calculation of the amount of such prepayment. The Administrative Agent will promptly notify the Collateral Agent and the Depositary of the contents of the Borrower’s prepayment notice and of each Lender’s ratable share of the prepayment.</w:t>
      </w:r>
    </w:p>
    <w:p>
      <w:pPr>
        <w:spacing w:after="0" w:line="174"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907"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prepayments under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shall be applied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Interest Loans and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Revolving Loans and shall be made together with all accrued and unpaid interest on the amount to be prepaid and all other Obligations then due and payable (including any amounts payable pursuant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The Lenders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hanging="352"/>
        <w:spacing w:after="0"/>
        <w:tabs>
          <w:tab w:leader="none" w:pos="5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60" w:name="page261"/>
    <w:bookmarkEnd w:id="260"/>
    <w:p>
      <w:pPr>
        <w:ind w:left="660" w:right="20"/>
        <w:spacing w:after="0" w:line="271" w:lineRule="auto"/>
        <w:rPr>
          <w:sz w:val="20"/>
          <w:szCs w:val="20"/>
          <w:color w:val="auto"/>
        </w:rPr>
      </w:pPr>
      <w:r>
        <w:rPr>
          <w:rFonts w:ascii="Times New Roman" w:cs="Times New Roman" w:eastAsia="Times New Roman" w:hAnsi="Times New Roman"/>
          <w:sz w:val="22"/>
          <w:szCs w:val="22"/>
          <w:color w:val="auto"/>
        </w:rPr>
        <w:t xml:space="preserve">provide to the Administrative Agent, for the Borrower, reasonable details of the calculation of any amount payable pursuant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Voluntary Prepayments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660" w:firstLine="644"/>
        <w:spacing w:after="0" w:line="250" w:lineRule="auto"/>
        <w:tabs>
          <w:tab w:leader="none" w:pos="183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upon delivery of a Prepayment Notice to the Administrative Agent, from time to time make voluntary prepayments against amounts owing under the Loans in minimum amounts of $500,000 in multiples of $100,000 or, if less, the remaining balance of the Loans, upon three (3) Business Days’ irrevocable advance notice to the Administrative Agent, the Collateral Agent, and the Depositary. Such prepayments shall be applied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among the Lenders against the then remaining scheduled principal installments due hereunder in inverse order of maturity. The Administrative Agent will promptly notify each Lender, the Collateral Agent, and the Depositary of the contents of the Borrower’s prepayment notice and of each Lender’s ratable share of the prepayment.</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12"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prepayments under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shall be applied first, to the Interest Loans and second, to the Revolving Loans. Upon making any voluntary prepayment, the Borrower shall pay all applicable amounts payable pursuant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Notice of Prepayment</w:t>
      </w:r>
      <w:r>
        <w:rPr>
          <w:rFonts w:ascii="Times New Roman" w:cs="Times New Roman" w:eastAsia="Times New Roman" w:hAnsi="Times New Roman"/>
          <w:sz w:val="22"/>
          <w:szCs w:val="22"/>
          <w:color w:val="auto"/>
        </w:rPr>
        <w:t xml:space="preserve">. Prior to any voluntary prepayment of any Borrowing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the Borrower shall deliver a written notice of prepayment to the Administrative Agent (each such notice pursuant to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Prepayment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appropriately completed and signed by an Authorized Officer of the Borrower and must be received by the Administrative Agent (i) in the case of prepayment of a SOFR Borrowing, not later than 11:00 a.m. (New York City time) three U.S. Government Securities Business Days before the date of prepayment or (ii) in the case of prepayment of a ABR Borrowing, not later than 11:00 a.m. (New York City time) one Business Day before the date of prepayment. Each Prepayment Notice shall specify (x) the prepayment date and (y) the principal amount of each Borrowing or portion thereof to be prepaid. Promptly following receipt of any such notice relating to a Borrowing, the Administrative Agent shall advise the applicable Lenders of the contents thereof. Each Prepayment Notice shall be irrevocable.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Reduction of Commitments</w:t>
      </w:r>
      <w:r>
        <w:rPr>
          <w:rFonts w:ascii="Times New Roman" w:cs="Times New Roman" w:eastAsia="Times New Roman" w:hAnsi="Times New Roman"/>
          <w:sz w:val="22"/>
          <w:szCs w:val="22"/>
          <w:color w:val="auto"/>
        </w:rPr>
        <w:t xml:space="preserve">. The Borrower may, upon at least three Business Days’ notice to the Administrative Agent, terminate in whole or reduce ratably in part portions of the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terminates any portion of the Aggregate Interest Loan Commitment, it shall terminate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portion of the Aggregate Revolving Loan Commitment.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NET PAYMENTS; ILLEGALITY; MITIGATION</w:t>
      </w:r>
    </w:p>
    <w:p>
      <w:pPr>
        <w:spacing w:after="0" w:line="19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i w:val="1"/>
          <w:iCs w:val="1"/>
          <w:color w:val="auto"/>
        </w:rPr>
        <w:t xml:space="preserve">Defined Terms. </w:t>
      </w:r>
      <w:r>
        <w:rPr>
          <w:rFonts w:ascii="Times New Roman" w:cs="Times New Roman" w:eastAsia="Times New Roman" w:hAnsi="Times New Roman"/>
          <w:sz w:val="21"/>
          <w:szCs w:val="21"/>
          <w:color w:val="auto"/>
        </w:rPr>
        <w:t>For purposes of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the term “Government Rule” includes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hanging="352"/>
        <w:spacing w:after="0"/>
        <w:tabs>
          <w:tab w:leader="none" w:pos="5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61" w:name="page262"/>
    <w:bookmarkEnd w:id="261"/>
    <w:p>
      <w:pPr>
        <w:jc w:val="both"/>
        <w:ind w:left="472" w:firstLine="644"/>
        <w:spacing w:after="0" w:line="249" w:lineRule="auto"/>
        <w:tabs>
          <w:tab w:leader="none" w:pos="1601"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Payments Free of Taxes</w:t>
      </w:r>
      <w:r>
        <w:rPr>
          <w:rFonts w:ascii="Times New Roman" w:cs="Times New Roman" w:eastAsia="Times New Roman" w:hAnsi="Times New Roman"/>
          <w:sz w:val="22"/>
          <w:szCs w:val="22"/>
          <w:color w:val="auto"/>
        </w:rPr>
        <w:t>. Any and all payments by or on account of any Obligations of the Borrower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made without deduction or withholding for any Taxes, except as required by Government Rules. If any Government Rule (as determined in the good faith discretion of an applicable Withholding Agent) requires the deduction or withholding of any Taxes from such payments by a Withholding Agent, then the applicable Withholding Agent shall be entitled to make such deduction or withholding and shall timely pay the full amount deducted or withheld to the relevant Government Authority in accordance with applicable Government Rule and if such Tax is an Indemnified Tax, then the sum payable by the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the applicable Agent or Lender (as the case may be) receives an amount equal to the sum it would have received had no such deduction or withholdings been made.</w:t>
      </w:r>
    </w:p>
    <w:p>
      <w:pPr>
        <w:spacing w:after="0" w:line="183" w:lineRule="exact"/>
        <w:rPr>
          <w:rFonts w:ascii="Times New Roman" w:cs="Times New Roman" w:eastAsia="Times New Roman" w:hAnsi="Times New Roman"/>
          <w:sz w:val="22"/>
          <w:szCs w:val="22"/>
          <w:color w:val="auto"/>
        </w:rPr>
      </w:pPr>
    </w:p>
    <w:p>
      <w:pPr>
        <w:jc w:val="both"/>
        <w:ind w:left="472" w:firstLine="644"/>
        <w:spacing w:after="0" w:line="253" w:lineRule="auto"/>
        <w:tabs>
          <w:tab w:leader="none" w:pos="1724"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Other Taxes by the Borrower</w:t>
      </w:r>
      <w:r>
        <w:rPr>
          <w:rFonts w:ascii="Times New Roman" w:cs="Times New Roman" w:eastAsia="Times New Roman" w:hAnsi="Times New Roman"/>
          <w:sz w:val="22"/>
          <w:szCs w:val="22"/>
          <w:color w:val="auto"/>
        </w:rPr>
        <w:t>. Without limiting the provisions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above,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shall timely pay, or cause to be paid, to the relevant Government Authority in accordance with applicable Government Rule or, at the option of the Administrative Agent timely reimburse the Administrative Agent for the payment of, any Other Taxes.</w:t>
      </w:r>
    </w:p>
    <w:p>
      <w:pPr>
        <w:spacing w:after="0" w:line="188" w:lineRule="exact"/>
        <w:rPr>
          <w:rFonts w:ascii="Times New Roman" w:cs="Times New Roman" w:eastAsia="Times New Roman" w:hAnsi="Times New Roman"/>
          <w:sz w:val="22"/>
          <w:szCs w:val="22"/>
          <w:color w:val="auto"/>
        </w:rPr>
      </w:pPr>
    </w:p>
    <w:p>
      <w:pPr>
        <w:jc w:val="both"/>
        <w:ind w:left="472" w:firstLine="644"/>
        <w:spacing w:after="0" w:line="247" w:lineRule="auto"/>
        <w:tabs>
          <w:tab w:leader="none" w:pos="1615"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Indemnification by the Borrower</w:t>
      </w:r>
      <w:r>
        <w:rPr>
          <w:rFonts w:ascii="Times New Roman" w:cs="Times New Roman" w:eastAsia="Times New Roman" w:hAnsi="Times New Roman"/>
          <w:sz w:val="22"/>
          <w:szCs w:val="22"/>
          <w:color w:val="auto"/>
        </w:rPr>
        <w:t>. The Borrower shall indemnify or cause to be indemnified each Agent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each Lender, within ten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but without duplication of any amounts paid or indemnified under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above) paid or payable by such Agent or Lender, as the case may be, and any reasonable penalties, interest and out-of-pocket expenses arising therefrom or with respect thereto (other than any penalties, interest and out-of-pocket expenses resulting solely from the gross negligence or willful misconduct of such Person as determined by a court of competent jurisdiction by final and non-appealable judgment), whether or not such Indemnified Taxes were correctly or legally imposed or asserted by the relevant Government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the Borrower shall not be required to compensate any Agent or Lender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9.1(d)</w:t>
      </w:r>
      <w:r>
        <w:rPr>
          <w:rFonts w:ascii="Times New Roman" w:cs="Times New Roman" w:eastAsia="Times New Roman" w:hAnsi="Times New Roman"/>
          <w:sz w:val="22"/>
          <w:szCs w:val="22"/>
          <w:color w:val="auto"/>
        </w:rPr>
        <w:t xml:space="preserve"> for any interest, additions to tax or penalties that accrue later than 180 days after the date such Agent or Lender first receives a written notice of deficiency of the relevant Indemnified Tax. Any Agent or Lender claiming indemnity pursuant to this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xml:space="preserve"> shall notify the relevant Borrower of the imposition of such relevant Indemnified Taxes as soon as practicable after such Agent or Lender becomes aware of such imposition. The amount of such payment or liability and the denomination thereof as set forth in a certificate delivered to the Borrower by the Collateral Agent or a Lender, or by the Administrative Agent on its own behalf or on behalf of the Collateral Agent or a Lender, shall be conclusive absent manifest error.</w:t>
      </w:r>
    </w:p>
    <w:p>
      <w:pPr>
        <w:spacing w:after="0" w:line="194" w:lineRule="exact"/>
        <w:rPr>
          <w:rFonts w:ascii="Times New Roman" w:cs="Times New Roman" w:eastAsia="Times New Roman" w:hAnsi="Times New Roman"/>
          <w:sz w:val="22"/>
          <w:szCs w:val="22"/>
          <w:color w:val="auto"/>
        </w:rPr>
      </w:pPr>
    </w:p>
    <w:p>
      <w:pPr>
        <w:jc w:val="both"/>
        <w:ind w:left="472" w:firstLine="644"/>
        <w:spacing w:after="0" w:line="259" w:lineRule="auto"/>
        <w:tabs>
          <w:tab w:leader="none" w:pos="1603"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by the Lenders. </w:t>
      </w:r>
      <w:r>
        <w:rPr>
          <w:rFonts w:ascii="Times New Roman" w:cs="Times New Roman" w:eastAsia="Times New Roman" w:hAnsi="Times New Roman"/>
          <w:sz w:val="22"/>
          <w:szCs w:val="22"/>
          <w:color w:val="auto"/>
        </w:rPr>
        <w:t>Each Lender shall severally indemnify the Administrative Agent, within ten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days after demand therefor, for (i) any Indemnified Taxes attributable to such Lender (but only to the extent that the Borrower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52" w:hanging="352"/>
        <w:spacing w:after="0"/>
        <w:tabs>
          <w:tab w:leader="none" w:pos="35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18" w:right="339" w:bottom="1440" w:gutter="0" w:footer="0" w:header="0"/>
        </w:sectPr>
      </w:pPr>
    </w:p>
    <w:bookmarkStart w:id="262" w:name="page263"/>
    <w:bookmarkEnd w:id="262"/>
    <w:p>
      <w:pPr>
        <w:jc w:val="both"/>
        <w:ind w:left="472"/>
        <w:spacing w:after="0" w:line="249" w:lineRule="auto"/>
        <w:rPr>
          <w:sz w:val="20"/>
          <w:szCs w:val="20"/>
          <w:color w:val="auto"/>
        </w:rPr>
      </w:pPr>
      <w:r>
        <w:rPr>
          <w:rFonts w:ascii="Times New Roman" w:cs="Times New Roman" w:eastAsia="Times New Roman" w:hAnsi="Times New Roman"/>
          <w:sz w:val="22"/>
          <w:szCs w:val="22"/>
          <w:color w:val="auto"/>
        </w:rPr>
        <w:t xml:space="preserve">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12.15(e)</w:t>
      </w:r>
      <w:r>
        <w:rPr>
          <w:rFonts w:ascii="Times New Roman" w:cs="Times New Roman" w:eastAsia="Times New Roman" w:hAnsi="Times New Roman"/>
          <w:sz w:val="22"/>
          <w:szCs w:val="22"/>
          <w:color w:val="auto"/>
        </w:rPr>
        <w:t xml:space="preserve"> relating to the maintenance of a Participant Register and (iii) any Excluded Taxes attributable to such Lender, in each case, that are payable or paid by the Administrative Agent in connection with any Finance Document, and any reasonable expenses arising therefrom or with respect thereto, whether or not such Taxes were correctly or legally imposed or asserted by the relevant Government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Finance Document or otherwise payable by the Administrative Agent to the Lender from any other source against any amount due to the Administrative Agent under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472" w:firstLine="644"/>
        <w:spacing w:after="0" w:line="254" w:lineRule="auto"/>
        <w:tabs>
          <w:tab w:leader="none" w:pos="1565"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Evidence of Payments</w:t>
      </w:r>
      <w:r>
        <w:rPr>
          <w:rFonts w:ascii="Times New Roman" w:cs="Times New Roman" w:eastAsia="Times New Roman" w:hAnsi="Times New Roman"/>
          <w:sz w:val="22"/>
          <w:szCs w:val="22"/>
          <w:color w:val="auto"/>
        </w:rPr>
        <w:t>. As soon as practicable after the date of any payment of Taxes by the Borrower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Withholding Agent to a Government Authority pursuant to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the Borrower shall deliver or cause to be delivered to the Administrative Agent the original or a certified copy of a receipt issued by such Government Authority evidencing such payment, a copy of the return reporting such payment or other evidence of such payment reasonably satisfactory to the Administrative Agent.</w:t>
      </w:r>
    </w:p>
    <w:p>
      <w:pPr>
        <w:spacing w:after="0" w:line="173" w:lineRule="exact"/>
        <w:rPr>
          <w:rFonts w:ascii="Times New Roman" w:cs="Times New Roman" w:eastAsia="Times New Roman" w:hAnsi="Times New Roman"/>
          <w:sz w:val="22"/>
          <w:szCs w:val="22"/>
          <w:color w:val="auto"/>
        </w:rPr>
      </w:pPr>
    </w:p>
    <w:p>
      <w:pPr>
        <w:ind w:left="1592" w:hanging="476"/>
        <w:spacing w:after="0"/>
        <w:tabs>
          <w:tab w:leader="none" w:pos="1592"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1112" w:firstLine="652"/>
        <w:spacing w:after="0" w:line="259" w:lineRule="auto"/>
        <w:tabs>
          <w:tab w:leader="none" w:pos="2268" w:val="left"/>
        </w:tabs>
        <w:numPr>
          <w:ilvl w:val="1"/>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that is entitled to an exemption from or reduction of withholding Tax with respect to payments made under any Finance Document shall deliver to the Borrower, with a copy to the Administrative Agent, on or before the date such Lender becomes a party hereto and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Government Rule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w:t>
      </w:r>
      <w:r>
        <w:rPr>
          <w:rFonts w:ascii="Times New Roman" w:cs="Times New Roman" w:eastAsia="Times New Roman" w:hAnsi="Times New Roman"/>
          <w:sz w:val="21"/>
          <w:szCs w:val="21"/>
          <w:u w:val="single" w:color="auto"/>
          <w:color w:val="auto"/>
        </w:rPr>
        <w:t>9.1(g)(ii)</w:t>
      </w:r>
    </w:p>
    <w:p>
      <w:pPr>
        <w:spacing w:after="0" w:line="5" w:lineRule="exact"/>
        <w:rPr>
          <w:rFonts w:ascii="Times New Roman" w:cs="Times New Roman" w:eastAsia="Times New Roman" w:hAnsi="Times New Roman"/>
          <w:sz w:val="21"/>
          <w:szCs w:val="21"/>
          <w:color w:val="auto"/>
        </w:rPr>
      </w:pPr>
    </w:p>
    <w:p>
      <w:pPr>
        <w:jc w:val="both"/>
        <w:ind w:left="1112"/>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2" w:hanging="352"/>
        <w:spacing w:after="0"/>
        <w:tabs>
          <w:tab w:leader="none" w:pos="352"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63" w:name="page264"/>
    <w:bookmarkEnd w:id="263"/>
    <w:p>
      <w:pPr>
        <w:ind w:left="2232" w:hanging="468"/>
        <w:spacing w:after="0"/>
        <w:tabs>
          <w:tab w:leader="none" w:pos="2232"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the Borrower is a US Person,</w:t>
      </w:r>
    </w:p>
    <w:p>
      <w:pPr>
        <w:spacing w:after="0" w:line="219" w:lineRule="exact"/>
        <w:rPr>
          <w:rFonts w:ascii="Times New Roman" w:cs="Times New Roman" w:eastAsia="Times New Roman" w:hAnsi="Times New Roman"/>
          <w:sz w:val="22"/>
          <w:szCs w:val="22"/>
          <w:color w:val="auto"/>
        </w:rPr>
      </w:pPr>
    </w:p>
    <w:p>
      <w:pPr>
        <w:jc w:val="both"/>
        <w:ind w:left="1772" w:firstLine="640"/>
        <w:spacing w:after="0" w:line="256" w:lineRule="auto"/>
        <w:tabs>
          <w:tab w:leader="none" w:pos="2939"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party to this Agreement (and from time to time thereafter upon the reasonable request of the Borrower or the Administrative Agent), executed copies of IRS Form W-9 certifying that such Lender is exempt from U.S. federal backup withholding tax;</w:t>
      </w:r>
    </w:p>
    <w:p>
      <w:pPr>
        <w:spacing w:after="0" w:line="176" w:lineRule="exact"/>
        <w:rPr>
          <w:rFonts w:ascii="Times New Roman" w:cs="Times New Roman" w:eastAsia="Times New Roman" w:hAnsi="Times New Roman"/>
          <w:sz w:val="22"/>
          <w:szCs w:val="22"/>
          <w:color w:val="auto"/>
        </w:rPr>
      </w:pPr>
    </w:p>
    <w:p>
      <w:pPr>
        <w:jc w:val="both"/>
        <w:ind w:left="1772" w:firstLine="640"/>
        <w:spacing w:after="0" w:line="253" w:lineRule="auto"/>
        <w:tabs>
          <w:tab w:leader="none" w:pos="2963"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8" w:lineRule="exact"/>
        <w:rPr>
          <w:rFonts w:ascii="Times New Roman" w:cs="Times New Roman" w:eastAsia="Times New Roman" w:hAnsi="Times New Roman"/>
          <w:sz w:val="22"/>
          <w:szCs w:val="22"/>
          <w:color w:val="auto"/>
        </w:rPr>
      </w:pPr>
    </w:p>
    <w:p>
      <w:pPr>
        <w:jc w:val="both"/>
        <w:ind w:left="2412" w:firstLine="648"/>
        <w:spacing w:after="0" w:line="261" w:lineRule="auto"/>
        <w:tabs>
          <w:tab w:leader="none" w:pos="3552" w:val="left"/>
        </w:tabs>
        <w:numPr>
          <w:ilvl w:val="2"/>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an income tax treaty to which the United States is a party (x) with respect to payments of interest under any Finance Document, executed copies of IRS Form W-8BEN or IRS Form W-8BEN-E establishing an exemption from, or reduction of, U.S. federal withholding Tax pursuant to the “interest” article of such tax treaty and</w:t>
      </w:r>
    </w:p>
    <w:p>
      <w:pPr>
        <w:spacing w:after="0" w:line="1" w:lineRule="exact"/>
        <w:rPr>
          <w:rFonts w:ascii="Times New Roman" w:cs="Times New Roman" w:eastAsia="Times New Roman" w:hAnsi="Times New Roman"/>
          <w:sz w:val="21"/>
          <w:szCs w:val="21"/>
          <w:color w:val="auto"/>
        </w:rPr>
      </w:pPr>
    </w:p>
    <w:p>
      <w:pPr>
        <w:jc w:val="both"/>
        <w:ind w:left="2412"/>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 with respect to any other applicable payments under any Finance Document, executed copies of IRS Form W-8BEN or IRS Form W-8BEN-E establishing an exemption from, or reduction of, U.S. federal withholding Tax pursuant to the “business profits” or “other income” article of such tax treaty;</w:t>
      </w:r>
    </w:p>
    <w:p>
      <w:pPr>
        <w:spacing w:after="0" w:line="183" w:lineRule="exact"/>
        <w:rPr>
          <w:rFonts w:ascii="Times New Roman" w:cs="Times New Roman" w:eastAsia="Times New Roman" w:hAnsi="Times New Roman"/>
          <w:sz w:val="21"/>
          <w:szCs w:val="21"/>
          <w:color w:val="auto"/>
        </w:rPr>
      </w:pPr>
    </w:p>
    <w:p>
      <w:pPr>
        <w:ind w:left="3532" w:hanging="472"/>
        <w:spacing w:after="0"/>
        <w:tabs>
          <w:tab w:leader="none" w:pos="3532" w:val="left"/>
        </w:tabs>
        <w:numPr>
          <w:ilvl w:val="2"/>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233" w:lineRule="exact"/>
        <w:rPr>
          <w:rFonts w:ascii="Times New Roman" w:cs="Times New Roman" w:eastAsia="Times New Roman" w:hAnsi="Times New Roman"/>
          <w:sz w:val="22"/>
          <w:szCs w:val="22"/>
          <w:color w:val="auto"/>
        </w:rPr>
      </w:pPr>
    </w:p>
    <w:p>
      <w:pPr>
        <w:jc w:val="both"/>
        <w:ind w:left="2412" w:firstLine="648"/>
        <w:spacing w:after="0" w:line="249" w:lineRule="auto"/>
        <w:tabs>
          <w:tab w:leader="none" w:pos="3603" w:val="left"/>
        </w:tabs>
        <w:numPr>
          <w:ilvl w:val="2"/>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F-1</w:t>
      </w:r>
      <w:r>
        <w:rPr>
          <w:rFonts w:ascii="Times New Roman" w:cs="Times New Roman" w:eastAsia="Times New Roman" w:hAnsi="Times New Roman"/>
          <w:sz w:val="22"/>
          <w:szCs w:val="22"/>
          <w:color w:val="auto"/>
        </w:rPr>
        <w:t xml:space="preserve"> to the effect that such Foreign Lender is not a “bank” within the meaning of Section 881(c)(3)(A) of the Code, a “10-percent shareholder” of any Credit Party within the meaning of Section 871(h)</w:t>
      </w:r>
    </w:p>
    <w:p>
      <w:pPr>
        <w:jc w:val="both"/>
        <w:ind w:left="2412"/>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(3)(B) of the Code or a “controlled foreign corporation” described in Section 881(c)(3)(C) of the Code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and (y) executed copies of IRS Form W-8BEN or IRS Form W-8BEN-E; or</w:t>
      </w:r>
    </w:p>
    <w:p>
      <w:pPr>
        <w:spacing w:after="0" w:line="178" w:lineRule="exact"/>
        <w:rPr>
          <w:rFonts w:ascii="Times New Roman" w:cs="Times New Roman" w:eastAsia="Times New Roman" w:hAnsi="Times New Roman"/>
          <w:sz w:val="22"/>
          <w:szCs w:val="22"/>
          <w:color w:val="auto"/>
        </w:rPr>
      </w:pPr>
    </w:p>
    <w:p>
      <w:pPr>
        <w:jc w:val="both"/>
        <w:ind w:left="2412" w:firstLine="648"/>
        <w:spacing w:after="0" w:line="295" w:lineRule="auto"/>
        <w:tabs>
          <w:tab w:leader="none" w:pos="3633" w:val="left"/>
        </w:tabs>
        <w:numPr>
          <w:ilvl w:val="2"/>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 Foreign Lender is not the beneficial owner, executed copies of IRS Form W-8IMY, accompanied by IRS Form W-8ECI, IRS Form W-8BEN or IRS Form W-8BEN-E,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2" w:hanging="352"/>
        <w:spacing w:after="0"/>
        <w:tabs>
          <w:tab w:leader="none" w:pos="352"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64" w:name="page265"/>
    <w:bookmarkEnd w:id="264"/>
    <w:p>
      <w:pPr>
        <w:jc w:val="both"/>
        <w:ind w:left="2412"/>
        <w:spacing w:after="0" w:line="251" w:lineRule="auto"/>
        <w:rPr>
          <w:sz w:val="20"/>
          <w:szCs w:val="20"/>
          <w:color w:val="auto"/>
        </w:rPr>
      </w:pPr>
      <w:r>
        <w:rPr>
          <w:rFonts w:ascii="Times New Roman" w:cs="Times New Roman" w:eastAsia="Times New Roman" w:hAnsi="Times New Roman"/>
          <w:sz w:val="22"/>
          <w:szCs w:val="22"/>
          <w:color w:val="auto"/>
        </w:rPr>
        <w:t xml:space="preserve">a U.S. Tax Compliance Certificate substantially in the form of </w:t>
      </w:r>
      <w:r>
        <w:rPr>
          <w:rFonts w:ascii="Times New Roman" w:cs="Times New Roman" w:eastAsia="Times New Roman" w:hAnsi="Times New Roman"/>
          <w:sz w:val="22"/>
          <w:szCs w:val="22"/>
          <w:u w:val="single" w:color="auto"/>
          <w:color w:val="auto"/>
        </w:rPr>
        <w:t>Exhibit F-2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F-3</w:t>
      </w:r>
      <w:r>
        <w:rPr>
          <w:rFonts w:ascii="Times New Roman" w:cs="Times New Roman" w:eastAsia="Times New Roman" w:hAnsi="Times New Roman"/>
          <w:sz w:val="22"/>
          <w:szCs w:val="22"/>
          <w:color w:val="auto"/>
        </w:rPr>
        <w:t xml:space="preserve">,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2"/>
          <w:szCs w:val="22"/>
          <w:u w:val="single" w:color="auto"/>
          <w:color w:val="auto"/>
        </w:rPr>
        <w:t>Exhibit F-4</w:t>
      </w:r>
      <w:r>
        <w:rPr>
          <w:rFonts w:ascii="Times New Roman" w:cs="Times New Roman" w:eastAsia="Times New Roman" w:hAnsi="Times New Roman"/>
          <w:sz w:val="22"/>
          <w:szCs w:val="22"/>
          <w:color w:val="auto"/>
        </w:rPr>
        <w:t xml:space="preserve"> on behalf of each such direct and indirect partner;</w:t>
      </w:r>
    </w:p>
    <w:p>
      <w:pPr>
        <w:spacing w:after="0" w:line="181" w:lineRule="exact"/>
        <w:rPr>
          <w:sz w:val="20"/>
          <w:szCs w:val="20"/>
          <w:color w:val="auto"/>
        </w:rPr>
      </w:pPr>
    </w:p>
    <w:p>
      <w:pPr>
        <w:jc w:val="both"/>
        <w:ind w:left="1772" w:firstLine="640"/>
        <w:spacing w:after="0" w:line="249" w:lineRule="auto"/>
        <w:tabs>
          <w:tab w:leader="none" w:pos="2963"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5" w:lineRule="exact"/>
        <w:rPr>
          <w:rFonts w:ascii="Times New Roman" w:cs="Times New Roman" w:eastAsia="Times New Roman" w:hAnsi="Times New Roman"/>
          <w:sz w:val="22"/>
          <w:szCs w:val="22"/>
          <w:color w:val="auto"/>
        </w:rPr>
      </w:pPr>
    </w:p>
    <w:p>
      <w:pPr>
        <w:jc w:val="both"/>
        <w:ind w:left="1772" w:firstLine="640"/>
        <w:spacing w:after="0" w:line="248" w:lineRule="auto"/>
        <w:tabs>
          <w:tab w:leader="none" w:pos="2944"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payment made to a Lender under any Finance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Government Rule (including as prescribed by Section 1471(b)(3)(C)(i) of the Code) and such additional documentation reasonably requested by the Borrower or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22"/>
          <w:szCs w:val="22"/>
          <w:u w:val="single" w:color="auto"/>
          <w:color w:val="auto"/>
        </w:rPr>
        <w:t>Section 9.1(g)(ii)(D)</w:t>
      </w:r>
      <w:r>
        <w:rPr>
          <w:rFonts w:ascii="Times New Roman" w:cs="Times New Roman" w:eastAsia="Times New Roman" w:hAnsi="Times New Roman"/>
          <w:sz w:val="22"/>
          <w:szCs w:val="22"/>
          <w:color w:val="auto"/>
        </w:rPr>
        <w:t>, “FATCA” shall include any amendments made to FATCA after the date of this Agreement.</w:t>
      </w:r>
    </w:p>
    <w:p>
      <w:pPr>
        <w:spacing w:after="0" w:line="184" w:lineRule="exact"/>
        <w:rPr>
          <w:rFonts w:ascii="Times New Roman" w:cs="Times New Roman" w:eastAsia="Times New Roman" w:hAnsi="Times New Roman"/>
          <w:sz w:val="22"/>
          <w:szCs w:val="22"/>
          <w:color w:val="auto"/>
        </w:rPr>
      </w:pPr>
    </w:p>
    <w:p>
      <w:pPr>
        <w:jc w:val="both"/>
        <w:ind w:left="1112" w:right="20" w:firstLine="652"/>
        <w:spacing w:after="0" w:line="257" w:lineRule="auto"/>
        <w:tabs>
          <w:tab w:leader="none" w:pos="2429"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52" w:hanging="352"/>
        <w:spacing w:after="0"/>
        <w:tabs>
          <w:tab w:leader="none" w:pos="352"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65" w:name="page266"/>
    <w:bookmarkEnd w:id="265"/>
    <w:p>
      <w:pPr>
        <w:jc w:val="both"/>
        <w:ind w:left="472" w:firstLine="644"/>
        <w:spacing w:after="0" w:line="249" w:lineRule="auto"/>
        <w:tabs>
          <w:tab w:leader="none" w:pos="1939"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Status of Administrative Agent. </w:t>
      </w:r>
      <w:r>
        <w:rPr>
          <w:rFonts w:ascii="Times New Roman" w:cs="Times New Roman" w:eastAsia="Times New Roman" w:hAnsi="Times New Roman"/>
          <w:sz w:val="22"/>
          <w:szCs w:val="22"/>
          <w:color w:val="auto"/>
        </w:rPr>
        <w:t>The Administrative Agent (and any successor or supplemental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on the date it becomes the Administrative Agent) shall provide the Borrower with two duly completed original copies of, if it is not a US Person, IRS Form W-8ECI or W-8BEN-E with respect to payments to be received by it as a beneficial owner and, if applicable, IRS Form W-8IMY (together with required accompanying documentation) with respect to payments to be received by it on behalf of the Lenders, and shall update such forms periodically upon the reasonable request of the Borrower. In the event that the Administrative Agent is a US Person that is not a corporation, the Administrative Agent shall provide the Borrower with two duly completed original copies of IRS Form W-9.</w:t>
      </w:r>
    </w:p>
    <w:p>
      <w:pPr>
        <w:spacing w:after="0" w:line="195" w:lineRule="exact"/>
        <w:rPr>
          <w:rFonts w:ascii="Times New Roman" w:cs="Times New Roman" w:eastAsia="Times New Roman" w:hAnsi="Times New Roman"/>
          <w:sz w:val="22"/>
          <w:szCs w:val="22"/>
          <w:color w:val="auto"/>
        </w:rPr>
      </w:pPr>
    </w:p>
    <w:p>
      <w:pPr>
        <w:jc w:val="both"/>
        <w:ind w:left="472" w:firstLine="644"/>
        <w:spacing w:after="0" w:line="247" w:lineRule="auto"/>
        <w:tabs>
          <w:tab w:leader="none" w:pos="1580"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Refunds</w:t>
      </w:r>
      <w:r>
        <w:rPr>
          <w:rFonts w:ascii="Times New Roman" w:cs="Times New Roman" w:eastAsia="Times New Roman" w:hAnsi="Times New Roman"/>
          <w:sz w:val="22"/>
          <w:szCs w:val="22"/>
          <w:color w:val="auto"/>
        </w:rPr>
        <w:t>. If any Agent or Lender determines, in such Person’s sole discretion, exercised in good faith, that 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has received a refund of any Taxes as to which it has been indemnified by the Borrower or with respect to which the Borrower has paid additional amounts pursuant to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it shall pay over such refund to the Borrower, net of all of its reasonable out-of-pocket expenses (including Taxes that would not have been imposed but for such refund), without interest (other than any interest paid by the relevant Government Authority with respect to such refund) and with any update for inflation paid by the relevant Government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upon the request of such Agent or Lender, as the case may be, agrees to repay the amount paid over to the Borrower (plus any penalties, interest or other charge imposed by the relevant Government Authority) to such Agent or Lender, as the case may be, in the event such Agent or Lender, as the case may be, is required to repay such refund to such Government Authority. Notwithstanding anything to the contrary in this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in no event will an Agent or Lender be required to pay any amount to the Borrower pursuant to this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the payment of which would place the Agent or Lender in a less favorable net after-Tax position than the Agent or Lender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2"/>
          <w:szCs w:val="22"/>
          <w:u w:val="single" w:color="auto"/>
          <w:color w:val="auto"/>
        </w:rPr>
        <w:t>Section 9.1(i)</w:t>
      </w:r>
      <w:r>
        <w:rPr>
          <w:rFonts w:ascii="Times New Roman" w:cs="Times New Roman" w:eastAsia="Times New Roman" w:hAnsi="Times New Roman"/>
          <w:sz w:val="22"/>
          <w:szCs w:val="22"/>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94" w:lineRule="exact"/>
        <w:rPr>
          <w:rFonts w:ascii="Times New Roman" w:cs="Times New Roman" w:eastAsia="Times New Roman" w:hAnsi="Times New Roman"/>
          <w:sz w:val="22"/>
          <w:szCs w:val="22"/>
          <w:color w:val="auto"/>
        </w:rPr>
      </w:pPr>
    </w:p>
    <w:p>
      <w:pPr>
        <w:jc w:val="both"/>
        <w:ind w:left="472" w:firstLine="644"/>
        <w:spacing w:after="0" w:line="259" w:lineRule="auto"/>
        <w:tabs>
          <w:tab w:leader="none" w:pos="1594"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Each party’s obligations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survive the resignation or replacement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or any assignment of rights by, or the replacement of, a Lender, the termination of the Commitments, and the repayment, satisfaction or discharge of all obligations under any Finance Document.</w:t>
      </w:r>
    </w:p>
    <w:p>
      <w:pPr>
        <w:spacing w:after="0" w:line="170" w:lineRule="exact"/>
        <w:rPr>
          <w:sz w:val="20"/>
          <w:szCs w:val="20"/>
          <w:color w:val="auto"/>
        </w:rPr>
      </w:pPr>
    </w:p>
    <w:p>
      <w:pPr>
        <w:ind w:left="472"/>
        <w:spacing w:after="0"/>
        <w:tabs>
          <w:tab w:leader="none" w:pos="932"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Increased Costs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1572" w:hanging="456"/>
        <w:spacing w:after="0"/>
        <w:tabs>
          <w:tab w:leader="none" w:pos="1572"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Increased Costs Generally</w:t>
      </w:r>
      <w:r>
        <w:rPr>
          <w:rFonts w:ascii="Times New Roman" w:cs="Times New Roman" w:eastAsia="Times New Roman" w:hAnsi="Times New Roman"/>
          <w:sz w:val="22"/>
          <w:szCs w:val="22"/>
          <w:color w:val="auto"/>
        </w:rPr>
        <w:t>. If any Change in Law shall:</w:t>
      </w:r>
    </w:p>
    <w:p>
      <w:pPr>
        <w:spacing w:after="0" w:line="223" w:lineRule="exact"/>
        <w:rPr>
          <w:rFonts w:ascii="Times New Roman" w:cs="Times New Roman" w:eastAsia="Times New Roman" w:hAnsi="Times New Roman"/>
          <w:sz w:val="22"/>
          <w:szCs w:val="22"/>
          <w:color w:val="auto"/>
        </w:rPr>
      </w:pPr>
    </w:p>
    <w:p>
      <w:pPr>
        <w:ind w:left="1112" w:firstLine="652"/>
        <w:spacing w:after="0" w:line="309" w:lineRule="auto"/>
        <w:tabs>
          <w:tab w:leader="none" w:pos="2195" w:val="left"/>
        </w:tabs>
        <w:numPr>
          <w:ilvl w:val="1"/>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(including pursuant to regulations issued from time to time by the Federal Reserve Board for determining the maximum reserve requirement (including any emergency,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52" w:hanging="352"/>
        <w:spacing w:after="0"/>
        <w:tabs>
          <w:tab w:leader="none" w:pos="35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18" w:right="339" w:bottom="1440" w:gutter="0" w:footer="0" w:header="0"/>
        </w:sectPr>
      </w:pPr>
    </w:p>
    <w:bookmarkStart w:id="266" w:name="page267"/>
    <w:bookmarkEnd w:id="266"/>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w:t>
      </w:r>
    </w:p>
    <w:p>
      <w:pPr>
        <w:spacing w:after="0" w:line="176" w:lineRule="exact"/>
        <w:rPr>
          <w:sz w:val="20"/>
          <w:szCs w:val="20"/>
          <w:color w:val="auto"/>
        </w:rPr>
      </w:pPr>
    </w:p>
    <w:p>
      <w:pPr>
        <w:jc w:val="both"/>
        <w:ind w:left="1300" w:firstLine="652"/>
        <w:spacing w:after="0" w:line="257" w:lineRule="auto"/>
        <w:tabs>
          <w:tab w:leader="none" w:pos="2556"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Lender or Agent to any Taxes (other than (A) Indemnified Taxes and (B) Excluded Taxes) on its loans, loan principal, letters of credit, commitments, or other obligations, or its deposits, reserves, other liabilities or capital attributable thereto; or</w:t>
      </w:r>
    </w:p>
    <w:p>
      <w:pPr>
        <w:spacing w:after="0" w:line="172" w:lineRule="exact"/>
        <w:rPr>
          <w:rFonts w:ascii="Times New Roman" w:cs="Times New Roman" w:eastAsia="Times New Roman" w:hAnsi="Times New Roman"/>
          <w:sz w:val="22"/>
          <w:szCs w:val="22"/>
          <w:color w:val="auto"/>
        </w:rPr>
      </w:pPr>
    </w:p>
    <w:p>
      <w:pPr>
        <w:ind w:left="1300" w:firstLine="652"/>
        <w:spacing w:after="0" w:line="284" w:lineRule="auto"/>
        <w:tabs>
          <w:tab w:leader="none" w:pos="2674"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any other condition, cost or expense (other than Taxes) affecting this Agreement or Loans made by such Lender;</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Lenders of making or maintaining any Loan (or of maintaining its obligation to make any such Loan) to the Borrower or to reduce the amount of any sum received or receivable by such Lender or Agent (whether of principal, interest or otherwise), the Borrower will pay to such Lender or Agent such additional amount or amounts as will compensate such Lender or Agent for such additional costs actually incurred or reduction suffered.</w:t>
      </w:r>
    </w:p>
    <w:p>
      <w:pPr>
        <w:spacing w:after="0" w:line="159" w:lineRule="exact"/>
        <w:rPr>
          <w:sz w:val="20"/>
          <w:szCs w:val="20"/>
          <w:color w:val="auto"/>
        </w:rPr>
      </w:pPr>
    </w:p>
    <w:p>
      <w:pPr>
        <w:jc w:val="both"/>
        <w:ind w:left="660" w:firstLine="644"/>
        <w:spacing w:after="0" w:line="251" w:lineRule="auto"/>
        <w:tabs>
          <w:tab w:leader="none" w:pos="1911"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Capital Requirements</w:t>
      </w:r>
      <w:r>
        <w:rPr>
          <w:rFonts w:ascii="Times New Roman" w:cs="Times New Roman" w:eastAsia="Times New Roman" w:hAnsi="Times New Roman"/>
          <w:sz w:val="22"/>
          <w:szCs w:val="22"/>
          <w:color w:val="auto"/>
        </w:rPr>
        <w:t>. If, after the date of this Agreement, any Lender reasonably determines that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Change in Law regarding capital or liquidity requirements has or would have the effect of reducing the rate of return on such Lender’s capital or liquidity or on the capital or liquidity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actually incurred or suffered.</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04"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Certificates for Reimbursement</w:t>
      </w:r>
      <w:r>
        <w:rPr>
          <w:rFonts w:ascii="Times New Roman" w:cs="Times New Roman" w:eastAsia="Times New Roman" w:hAnsi="Times New Roman"/>
          <w:sz w:val="22"/>
          <w:szCs w:val="22"/>
          <w:color w:val="auto"/>
        </w:rPr>
        <w:t>. A Lender intending to make a claim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above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notify the Administrative Agent of the circumstances giving rise to and the amount of the claim, following which the Administrative Agent will promptly notify the Borrower. A Lender making a claim under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shall, as soon as practicable after a request by the Administrative Agent, provide a certificate confirming in reasonable detail the amount and calculation of the amount claimed, when such increased costs or reductions were suffered or incurred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not be required to provide any confidential or other information if against such Lender’s internal policies). Such a certificate of any Lender setting forth the amount or amounts necessary to compensate such Lender or its holding company, as the case may be, as specified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and delivered to the Borrower shall be conclusive absent manifest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hanging="352"/>
        <w:spacing w:after="0"/>
        <w:tabs>
          <w:tab w:leader="none" w:pos="54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67" w:name="page268"/>
    <w:bookmarkEnd w:id="267"/>
    <w:p>
      <w:pPr>
        <w:ind w:left="660"/>
        <w:spacing w:after="0" w:line="271" w:lineRule="auto"/>
        <w:rPr>
          <w:sz w:val="20"/>
          <w:szCs w:val="20"/>
          <w:color w:val="auto"/>
        </w:rPr>
      </w:pPr>
      <w:r>
        <w:rPr>
          <w:rFonts w:ascii="Times New Roman" w:cs="Times New Roman" w:eastAsia="Times New Roman" w:hAnsi="Times New Roman"/>
          <w:sz w:val="22"/>
          <w:szCs w:val="22"/>
          <w:color w:val="auto"/>
        </w:rPr>
        <w:t>error. The Borrower shall pay to such Lender the amount shown as due on any such certificate within ten days after receipt thereof.</w:t>
      </w:r>
    </w:p>
    <w:p>
      <w:pPr>
        <w:spacing w:after="0" w:line="154" w:lineRule="exact"/>
        <w:rPr>
          <w:sz w:val="20"/>
          <w:szCs w:val="20"/>
          <w:color w:val="auto"/>
        </w:rPr>
      </w:pPr>
    </w:p>
    <w:p>
      <w:pPr>
        <w:jc w:val="both"/>
        <w:ind w:left="660" w:firstLine="644"/>
        <w:spacing w:after="0" w:line="252" w:lineRule="auto"/>
        <w:tabs>
          <w:tab w:leader="none" w:pos="1884"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Delay in Requests</w:t>
      </w:r>
      <w:r>
        <w:rPr>
          <w:rFonts w:ascii="Times New Roman" w:cs="Times New Roman" w:eastAsia="Times New Roman" w:hAnsi="Times New Roman"/>
          <w:sz w:val="22"/>
          <w:szCs w:val="22"/>
          <w:color w:val="auto"/>
        </w:rPr>
        <w:t>. Failure or delay on the part of any Lender to demand compensation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shall not constitute a waiver of such Lender’s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pursuant to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for any increased costs incurred or reductions suffered more than 270 days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270 day period referred to above shall be extended to include the period of retroactive effect thereof).</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xml:space="preserve">. In the event of (a) the payment of any principal of any SOFR Loan other than on the last day of an Interest Period therefor (including as a result of an Event of Default), (b) the conversion of any SOFR Loan other than on the last day of an Interest Period therefor, (c) the failure to borrow, convert, continue or prepay any SOFR Loan on the date specified in any notice delivered pursuant hereto or (d) the assignment as a result of a request by the Borrower pursuant to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of any SOFR Loan other than on the last day of an Interest Period therefor, then, in any such event, the Borrower shall compensate a Lender for the loss, cost and expense attributable to such event (but excluding any anticipated profits). In the case of a SOFR Loan, the loss to any Lender attributable to any such event shall be deemed to include an amount reasonably determined by such Lender to be equal to the excess, if any, of (i) the amount of interest that such Lender would pay for a deposit equal to the principal amount of such Loan for the period from the date of such payment, conversion, failure or assignment to the last day of the then current Interest Period for such Loan (or, in the case of a failure to borrow, convert or continue a SOFR Loan, the duration of the Interest Period that would have resulted from such borrowing, conversion or continuation) if the interest rate payable on such deposit were equal to the Term SOFR for such Interest Period, over (ii) the amount of interest that such Lender would earn on such principal amount for such period if such Lender were to invest such principal amount for such period at the interest rate that would be bid by such Lender (or an affiliate of such Lender) for deposits in Dollars from other banks in the eurocurrency market at the commencement of such period. A certificate of any Lender setting forth any amount or amounts that such Lender is entitled to receive pursuant to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shall be delivered to the Borrower and the Administrative Agent, and such certificate shall be conclusive absent manifest error. The Borrower shall pay such Lender the amount shown as due on any such certificate within ten days after receipt thereof. Notwithstanding the foregoing, unless an Event of Default shall have occurred and be continuing, and except with regard to any voluntary prepayments hereunder or the events described in </w:t>
      </w:r>
      <w:r>
        <w:rPr>
          <w:rFonts w:ascii="Times New Roman" w:cs="Times New Roman" w:eastAsia="Times New Roman" w:hAnsi="Times New Roman"/>
          <w:sz w:val="22"/>
          <w:szCs w:val="22"/>
          <w:u w:val="single" w:color="auto"/>
          <w:color w:val="auto"/>
        </w:rPr>
        <w:t>paragraphs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each Lender shall, unless otherwise requested by the Borrower, use reasonable efforts to minimize any such break funding payments by, among other things, not applying mandatory prepayments until the last day of an Interest Period so long as such Lender, in its sole discretion, does not determine that such efforts would be disadvantageous to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352"/>
        <w:spacing w:after="0"/>
        <w:tabs>
          <w:tab w:leader="none" w:pos="5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68" w:name="page269"/>
    <w:bookmarkEnd w:id="268"/>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Mitigation</w:t>
      </w:r>
      <w:r>
        <w:rPr>
          <w:rFonts w:ascii="Times New Roman" w:cs="Times New Roman" w:eastAsia="Times New Roman" w:hAnsi="Times New Roman"/>
          <w:sz w:val="21"/>
          <w:szCs w:val="21"/>
          <w:color w:val="auto"/>
        </w:rPr>
        <w:t xml:space="preserve">. If any Lender requests compensation under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or if the Borrower is required to pay any additional amount to any Lender or any Government Authority for account of any Lender pursuant to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then such Lender shall (a) file any certificate or document reasonably requested in writing by the Borrower and/or (b)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w:t>
      </w:r>
    </w:p>
    <w:p>
      <w:pPr>
        <w:spacing w:after="0" w:line="2" w:lineRule="exact"/>
        <w:rPr>
          <w:sz w:val="20"/>
          <w:szCs w:val="20"/>
          <w:color w:val="auto"/>
        </w:rPr>
      </w:pPr>
    </w:p>
    <w:p>
      <w:pPr>
        <w:ind w:left="300" w:hanging="292"/>
        <w:spacing w:after="0"/>
        <w:tabs>
          <w:tab w:leader="none" w:pos="300"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would eliminate or reduce amounts payable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as the case may be, in the future and</w:t>
      </w:r>
    </w:p>
    <w:p>
      <w:pPr>
        <w:spacing w:after="0" w:line="3" w:lineRule="exact"/>
        <w:rPr>
          <w:rFonts w:ascii="Times New Roman" w:cs="Times New Roman" w:eastAsia="Times New Roman" w:hAnsi="Times New Roman"/>
          <w:sz w:val="22"/>
          <w:szCs w:val="22"/>
          <w:color w:val="auto"/>
        </w:rPr>
      </w:pPr>
    </w:p>
    <w:p>
      <w:pPr>
        <w:jc w:val="both"/>
        <w:ind w:firstLine="8"/>
        <w:spacing w:after="0" w:line="252" w:lineRule="auto"/>
        <w:tabs>
          <w:tab w:leader="none" w:pos="34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u w:val="single" w:color="auto"/>
          <w:color w:val="auto"/>
        </w:rPr>
        <w:t>Replacement of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9" w:lineRule="auto"/>
        <w:tabs>
          <w:tab w:leader="none" w:pos="1829" w:val="left"/>
        </w:tabs>
        <w:numPr>
          <w:ilvl w:val="1"/>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requests compensation under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or asserts that it is unlawful to make SOFR Loans pursuant to </w:t>
      </w:r>
      <w:r>
        <w:rPr>
          <w:rFonts w:ascii="Times New Roman" w:cs="Times New Roman" w:eastAsia="Times New Roman" w:hAnsi="Times New Roman"/>
          <w:sz w:val="21"/>
          <w:szCs w:val="21"/>
          <w:u w:val="single" w:color="auto"/>
          <w:color w:val="auto"/>
        </w:rPr>
        <w:t>Section 9.8</w:t>
      </w:r>
      <w:r>
        <w:rPr>
          <w:rFonts w:ascii="Times New Roman" w:cs="Times New Roman" w:eastAsia="Times New Roman" w:hAnsi="Times New Roman"/>
          <w:sz w:val="21"/>
          <w:szCs w:val="21"/>
          <w:color w:val="auto"/>
        </w:rPr>
        <w:t xml:space="preserve">, or if the Borrower is required to pay any additional amount to any Lender or any Government Authority for account of any Lender pursuant to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1"/>
          <w:szCs w:val="21"/>
          <w:u w:val="single" w:color="auto"/>
          <w:color w:val="auto"/>
        </w:rPr>
        <w:t>Section 12.15</w:t>
      </w:r>
      <w:r>
        <w:rPr>
          <w:rFonts w:ascii="Times New Roman" w:cs="Times New Roman" w:eastAsia="Times New Roman" w:hAnsi="Times New Roman"/>
          <w:sz w:val="21"/>
          <w:szCs w:val="21"/>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the Borrower shall have received the prior written consent of the Administrative Agent, which consent, in the case of the Administrative Agent, shall not unreasonably be withheld, conditioned or delayed,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w:t>
      </w:r>
    </w:p>
    <w:p>
      <w:pPr>
        <w:spacing w:after="0" w:line="5" w:lineRule="exact"/>
        <w:rPr>
          <w:rFonts w:ascii="Times New Roman" w:cs="Times New Roman" w:eastAsia="Times New Roman" w:hAnsi="Times New Roman"/>
          <w:sz w:val="21"/>
          <w:szCs w:val="21"/>
          <w:color w:val="auto"/>
        </w:rPr>
      </w:pPr>
    </w:p>
    <w:p>
      <w:pPr>
        <w:jc w:val="both"/>
        <w:ind w:left="660" w:hanging="4"/>
        <w:spacing w:after="0" w:line="247" w:lineRule="auto"/>
        <w:tabs>
          <w:tab w:leader="none" w:pos="1038"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assignment will result in the elimination or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Nothing in this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shall be deemed to prejudice any rights that the Borrower may have against any Lender that is a Defaulting Lender.</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46"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(such Lender, a “</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xml:space="preserve">”) has failed to consent to a proposed amendment, waiver, discharge or termination which pursuant to the terms of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 xml:space="preserve"> requires the consent of all of the Lenders affected and with respect to which the Majority Lenders shall have granted their consent, then the Borrower shall have the right to replace such Non-Consenting Lender (unless such Non-Consenting Lender grants such consent) by requiring such Non-Consenting Lender to assign its Loans and Commitments (in accordance with and subject to the restrictions contained in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to one or more assignees acceptable to the Administrative Agent, 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hanging="352"/>
        <w:spacing w:after="0"/>
        <w:tabs>
          <w:tab w:leader="none" w:pos="5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69" w:name="page270"/>
    <w:bookmarkEnd w:id="269"/>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 xml:space="preserve">reasonably;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any such Non-Consenting Lender must be replaced with a Lender that grants the applicable consent, (y) all obligations of the Borrower owing to such Non-Consenting Lender being replaced shall be paid in full to such Non-Consenting Lender concurrently with such assignment and (z) the replacement Lender shall purchase the foregoing by paying to such Non-Consenting Lender a price equal to the principal amount thereof plus accrued and unpaid interest and fees thereon. In connection with any such assignment, the Borrower, the Administrative Agent, such Non-Consenting Lender and the replacement Lender shall otherwise comply with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Notwithstanding any provision of this Agreement to the contrary, if any Lender becomes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Defaulting Lender, then the following provisions shall apply for long as such Lender is a Defaulting Lender:</w:t>
      </w:r>
    </w:p>
    <w:p>
      <w:pPr>
        <w:spacing w:after="0" w:line="209" w:lineRule="exact"/>
        <w:rPr>
          <w:sz w:val="20"/>
          <w:szCs w:val="20"/>
          <w:color w:val="auto"/>
        </w:rPr>
      </w:pPr>
    </w:p>
    <w:p>
      <w:pPr>
        <w:jc w:val="both"/>
        <w:ind w:left="660" w:firstLine="644"/>
        <w:spacing w:after="0" w:line="257" w:lineRule="auto"/>
        <w:tabs>
          <w:tab w:leader="none" w:pos="1851"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of such Defaulting Lender shall not be included in determining whether the Majority Lenders have taken or may take any action hereunder (including any consent to any amendment or waiver pursuant to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10"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Defaulting Lender’s right to approve or disapprove any amendment, waiver or consent with respect to this Agreement shall be restricted as set forth in the definition of “Majority Lenders”. The Loans of such Defaulting Lender shall not be included in determining whether the Majority Lenders have taken or may take any action hereunder (including any consent to any amendment or waiver pursuant to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 and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780" w:val="left"/>
        </w:tabs>
        <w:numPr>
          <w:ilvl w:val="1"/>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payment of principal, interest, fees or other amounts received by the Administrative Agent with respect to Loans and/or the Commitments for the account of a Defaulting Lender shall be applied at such time or times as may be determined by the Administrative Agent as follows: (i)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 the payment of any amounts owing by such Defaulting Lender to the Administrative Agent hereunder; (ii)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as the Borrower may request (so long as no Default or Event of Default exists), to the funding of any Loan in respect of which such Defaulting Lender has failed to fund its portion thereof as required by this Agreement; (iii)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 the payment of any amounts owing to the applicable Lenders as a result of any then final and non-appealable judgment of a court of competent jurisdiction obtained by any such Lender against such Defaulting Lender as a result of such Defaulting Lender’s breach of its obligations under this Agreement;</w:t>
      </w:r>
    </w:p>
    <w:p>
      <w:pPr>
        <w:spacing w:after="0" w:line="4" w:lineRule="exact"/>
        <w:rPr>
          <w:rFonts w:ascii="Times New Roman" w:cs="Times New Roman" w:eastAsia="Times New Roman" w:hAnsi="Times New Roman"/>
          <w:sz w:val="21"/>
          <w:szCs w:val="21"/>
          <w:color w:val="auto"/>
        </w:rPr>
      </w:pPr>
    </w:p>
    <w:p>
      <w:pPr>
        <w:jc w:val="both"/>
        <w:ind w:left="660" w:hanging="4"/>
        <w:spacing w:after="0" w:line="247" w:lineRule="auto"/>
        <w:tabs>
          <w:tab w:leader="none" w:pos="1026"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so long as no Default or Event of Default exists, to the payment of any amounts owing to the Borrower as a result of any then final and non-appealable judgment of a court of competent jurisdiction obtained by the Borrower against such Defaulting Lender as a result of such Defaulting Lender’s breach of its obligations under this Agreement with respect to the Loans; and (v)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this sub-clause (v), if such payment is a prepayment of the principal amount of any Loans in respect of which a Defaulting Lender has funded its participation obligations, such payment shall be applied solely to prepay the Loans and applicable reimbursement obligations owed to, all applicable Non-Defaulting Lenders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prior to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0" w:hanging="352"/>
        <w:spacing w:after="0"/>
        <w:tabs>
          <w:tab w:leader="none" w:pos="5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70" w:name="page271"/>
    <w:bookmarkEnd w:id="270"/>
    <w:p>
      <w:pPr>
        <w:ind w:left="660"/>
        <w:spacing w:after="0"/>
        <w:rPr>
          <w:sz w:val="20"/>
          <w:szCs w:val="20"/>
          <w:color w:val="auto"/>
        </w:rPr>
      </w:pPr>
      <w:r>
        <w:rPr>
          <w:rFonts w:ascii="Times New Roman" w:cs="Times New Roman" w:eastAsia="Times New Roman" w:hAnsi="Times New Roman"/>
          <w:sz w:val="22"/>
          <w:szCs w:val="22"/>
          <w:color w:val="auto"/>
        </w:rPr>
        <w:t>applied to the prepayment of any Loans or applicable reimbursement obligations owed to such Defaulting Lender).</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Acknowledgment and Consent to Bail-In of Affected Financial Institutions</w:t>
      </w:r>
      <w:r>
        <w:rPr>
          <w:rFonts w:ascii="Times New Roman" w:cs="Times New Roman" w:eastAsia="Times New Roman" w:hAnsi="Times New Roman"/>
          <w:sz w:val="22"/>
          <w:szCs w:val="22"/>
          <w:color w:val="auto"/>
        </w:rPr>
        <w:t>. Notwithstanding anything to the contrary in any Finance Document or in any other agreement, arrangement or understanding among any such parties, each party hereto acknowledges that any liability of any Affected Financial Institution arising under any Finance Document, to the extent such liability is unsecured, may be subject to the write-down and conversion powers of the applicable Resolution Authority and agrees and consents to, and acknowledges and agrees to be bound by:</w:t>
      </w:r>
    </w:p>
    <w:p>
      <w:pPr>
        <w:spacing w:after="0" w:line="179" w:lineRule="exact"/>
        <w:rPr>
          <w:sz w:val="20"/>
          <w:szCs w:val="20"/>
          <w:color w:val="auto"/>
        </w:rPr>
      </w:pPr>
    </w:p>
    <w:p>
      <w:pPr>
        <w:jc w:val="both"/>
        <w:ind w:left="660" w:firstLine="644"/>
        <w:spacing w:after="0" w:line="263" w:lineRule="auto"/>
        <w:tabs>
          <w:tab w:leader="none" w:pos="1842"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10"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Finance Document; or</w:t>
      </w:r>
    </w:p>
    <w:p>
      <w:pPr>
        <w:spacing w:after="0" w:line="176" w:lineRule="exact"/>
        <w:rPr>
          <w:rFonts w:ascii="Times New Roman" w:cs="Times New Roman" w:eastAsia="Times New Roman" w:hAnsi="Times New Roman"/>
          <w:sz w:val="22"/>
          <w:szCs w:val="22"/>
          <w:color w:val="auto"/>
        </w:rPr>
      </w:pPr>
    </w:p>
    <w:p>
      <w:pPr>
        <w:ind w:left="1300" w:firstLine="652"/>
        <w:spacing w:after="0" w:line="271" w:lineRule="auto"/>
        <w:tabs>
          <w:tab w:leader="none" w:pos="2561"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22"/>
          <w:szCs w:val="22"/>
          <w:color w:val="auto"/>
        </w:rPr>
        <w:t>. If any Lender determines that any Government Rule has made it unlawful, or that any Government Authority has asserted that it is unlawful, for any Lender or its applicable lending office to make, maintain or fund Loans whose interest is determined by reference to SOFR, the Term SOFR Reference Rate or Term SOFR, or to determine or charge interest based upon SOFR, the Term SOFR Reference Rate or Term SOFR, then, upon notice thereof by such Lender to the Borrower (through the Administrative Agent) (an “</w:t>
      </w:r>
      <w:r>
        <w:rPr>
          <w:rFonts w:ascii="Times New Roman" w:cs="Times New Roman" w:eastAsia="Times New Roman" w:hAnsi="Times New Roman"/>
          <w:sz w:val="22"/>
          <w:szCs w:val="22"/>
          <w:u w:val="single" w:color="auto"/>
          <w:color w:val="auto"/>
        </w:rPr>
        <w:t>Illegality Notice</w:t>
      </w:r>
      <w:r>
        <w:rPr>
          <w:rFonts w:ascii="Times New Roman" w:cs="Times New Roman" w:eastAsia="Times New Roman" w:hAnsi="Times New Roman"/>
          <w:sz w:val="22"/>
          <w:szCs w:val="22"/>
          <w:color w:val="auto"/>
        </w:rPr>
        <w:t>”), (a) any obligation of the Lenders to make SOFR Loans, and any right of the Borrower to continue SOFR Loans or to convert ABR Loans to SOFR Loans, shall be suspended, and (b) the interest rate on which ABR Loans shall, if necessary to avoid such illegality, be determined by the Administrative Agent without reference to clause (c) of the definition of “ABR”,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ABR Loans (the interest rate on which ABR Loans shall, if necessary to avoid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352"/>
        <w:spacing w:after="0"/>
        <w:tabs>
          <w:tab w:leader="none" w:pos="54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71" w:name="page272"/>
    <w:bookmarkEnd w:id="27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such illegality, be determined by the Administrative Agent without reference to clause (c) of the definition of “ABR”),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9.9</w:t>
      </w:r>
      <w:r>
        <w:rPr>
          <w:sz w:val="20"/>
          <w:szCs w:val="20"/>
          <w:color w:val="auto"/>
        </w:rPr>
        <w:tab/>
      </w:r>
      <w:r>
        <w:rPr>
          <w:rFonts w:ascii="Times New Roman" w:cs="Times New Roman" w:eastAsia="Times New Roman" w:hAnsi="Times New Roman"/>
          <w:sz w:val="22"/>
          <w:szCs w:val="22"/>
          <w:u w:val="single" w:color="auto"/>
          <w:color w:val="auto"/>
        </w:rPr>
        <w:t>Inability to Determine Rates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u w:val="single" w:color="auto"/>
          <w:color w:val="auto"/>
        </w:rPr>
        <w:t xml:space="preserve"> Section 2.12</w:t>
      </w:r>
      <w:r>
        <w:rPr>
          <w:rFonts w:ascii="Times New Roman" w:cs="Times New Roman" w:eastAsia="Times New Roman" w:hAnsi="Times New Roman"/>
          <w:sz w:val="22"/>
          <w:szCs w:val="22"/>
          <w:color w:val="auto"/>
        </w:rPr>
        <w:t>, if, on or prior to the first day of any Interest Period for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SOFR Loan:</w:t>
      </w:r>
    </w:p>
    <w:p>
      <w:pPr>
        <w:spacing w:after="0" w:line="207" w:lineRule="exact"/>
        <w:rPr>
          <w:sz w:val="20"/>
          <w:szCs w:val="20"/>
          <w:color w:val="auto"/>
        </w:rPr>
      </w:pPr>
    </w:p>
    <w:p>
      <w:pPr>
        <w:ind w:left="660" w:firstLine="1292"/>
        <w:spacing w:after="0" w:line="271" w:lineRule="auto"/>
        <w:tabs>
          <w:tab w:leader="none" w:pos="2502"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and binding absent manifest error) that “Term SOFR” cannot be determined pursuant to the definition thereof; or</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454"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Majority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and the Majority Lenders have provided notice of such determination to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Administrative Agent will promptly so notify the Borrower and each Lender.</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Upon notice thereof by the Administrative Agent to the Borrower, any obligation of the Lenders to make SOFR Loans, and any right of the Borrower to continue SOFR Loans or to convert ABR Loans to SOFR Loans, shall be suspended (to the extent of the affected SOFR Loans or affected Interest Periods) until the Administrative Agent (with respect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at the instruction of the Majority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if the Administrative Agent determines (which determination shall be conclusive and binding absent manifest error) that “ Term SOFR” cannot be determined pursuant to the definition thereof on any given day, the interest rate on ABR Loans shall be determined by the Administrative Agent without reference to clause (c) of the definition of “ABR” until the Administrative Agent revokes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0" w:hanging="352"/>
        <w:spacing w:after="0"/>
        <w:tabs>
          <w:tab w:leader="none" w:pos="5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72" w:name="page273"/>
    <w:bookmarkEnd w:id="272"/>
    <w:p>
      <w:pPr>
        <w:ind w:left="4792"/>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32" w:lineRule="exact"/>
        <w:rPr>
          <w:sz w:val="20"/>
          <w:szCs w:val="20"/>
          <w:color w:val="auto"/>
        </w:rPr>
      </w:pPr>
    </w:p>
    <w:p>
      <w:pPr>
        <w:ind w:left="4812"/>
        <w:spacing w:after="0"/>
        <w:rPr>
          <w:sz w:val="20"/>
          <w:szCs w:val="20"/>
          <w:color w:val="auto"/>
        </w:rPr>
      </w:pPr>
      <w:r>
        <w:rPr>
          <w:rFonts w:ascii="Times New Roman" w:cs="Times New Roman" w:eastAsia="Times New Roman" w:hAnsi="Times New Roman"/>
          <w:sz w:val="22"/>
          <w:szCs w:val="22"/>
          <w:b w:val="1"/>
          <w:bCs w:val="1"/>
          <w:color w:val="auto"/>
        </w:rPr>
        <w:t>GUARANTY</w:t>
      </w:r>
    </w:p>
    <w:p>
      <w:pPr>
        <w:spacing w:after="0" w:line="196" w:lineRule="exact"/>
        <w:rPr>
          <w:sz w:val="20"/>
          <w:szCs w:val="20"/>
          <w:color w:val="auto"/>
        </w:rPr>
      </w:pPr>
    </w:p>
    <w:p>
      <w:pPr>
        <w:ind w:left="472"/>
        <w:spacing w:after="0"/>
        <w:tabs>
          <w:tab w:leader="none" w:pos="1052"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Guaranty of the Obligations</w:t>
      </w:r>
    </w:p>
    <w:p>
      <w:pPr>
        <w:spacing w:after="0" w:line="233" w:lineRule="exact"/>
        <w:rPr>
          <w:sz w:val="20"/>
          <w:szCs w:val="20"/>
          <w:color w:val="auto"/>
        </w:rPr>
      </w:pPr>
    </w:p>
    <w:p>
      <w:pPr>
        <w:jc w:val="both"/>
        <w:ind w:left="-188" w:firstLine="656"/>
        <w:spacing w:after="0" w:line="251" w:lineRule="auto"/>
        <w:tabs>
          <w:tab w:leader="none" w:pos="608"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the Subsidiary Guarantors jointly and severally hereby irrevocably and unconditionally guaranty to the Administrative Agent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or any equivalent provision in any applicable jurisdiction) (each, a “</w:t>
      </w:r>
      <w:r>
        <w:rPr>
          <w:rFonts w:ascii="Times New Roman" w:cs="Times New Roman" w:eastAsia="Times New Roman" w:hAnsi="Times New Roman"/>
          <w:sz w:val="22"/>
          <w:szCs w:val="22"/>
          <w:u w:val="single" w:color="auto"/>
          <w:color w:val="auto"/>
        </w:rPr>
        <w:t>Guaranteed Obligation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472"/>
        <w:spacing w:after="0"/>
        <w:tabs>
          <w:tab w:leader="none" w:pos="1052"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Contribution by Guarantors</w:t>
      </w:r>
    </w:p>
    <w:p>
      <w:pPr>
        <w:spacing w:after="0" w:line="220" w:lineRule="exact"/>
        <w:rPr>
          <w:sz w:val="20"/>
          <w:szCs w:val="20"/>
          <w:color w:val="auto"/>
        </w:rPr>
      </w:pPr>
    </w:p>
    <w:p>
      <w:pPr>
        <w:jc w:val="both"/>
        <w:ind w:left="-188" w:firstLine="656"/>
        <w:spacing w:after="0" w:line="247" w:lineRule="auto"/>
        <w:tabs>
          <w:tab w:leader="none" w:pos="581"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Subsidiary Guarantors desire to allocate among themselves (collectively, the “</w:t>
      </w:r>
      <w:r>
        <w:rPr>
          <w:rFonts w:ascii="Times New Roman" w:cs="Times New Roman" w:eastAsia="Times New Roman" w:hAnsi="Times New Roman"/>
          <w:sz w:val="22"/>
          <w:szCs w:val="22"/>
          <w:u w:val="single" w:color="auto"/>
          <w:color w:val="auto"/>
        </w:rPr>
        <w:t>Contributing Guarantors</w:t>
      </w:r>
      <w:r>
        <w:rPr>
          <w:rFonts w:ascii="Times New Roman" w:cs="Times New Roman" w:eastAsia="Times New Roman" w:hAnsi="Times New Roman"/>
          <w:sz w:val="22"/>
          <w:szCs w:val="22"/>
          <w:color w:val="auto"/>
        </w:rPr>
        <w:t>”), in a fair and equitable manner, their obligations arising under this Guaranty. Accordingly, in the event any payment or distribution is made on any date by a Subsidiary Guarantor (a “</w:t>
      </w:r>
      <w:r>
        <w:rPr>
          <w:rFonts w:ascii="Times New Roman" w:cs="Times New Roman" w:eastAsia="Times New Roman" w:hAnsi="Times New Roman"/>
          <w:sz w:val="22"/>
          <w:szCs w:val="22"/>
          <w:u w:val="single" w:color="auto"/>
          <w:color w:val="auto"/>
        </w:rPr>
        <w:t>Funding Guarantor</w:t>
      </w:r>
      <w:r>
        <w:rPr>
          <w:rFonts w:ascii="Times New Roman" w:cs="Times New Roman" w:eastAsia="Times New Roman" w:hAnsi="Times New Roman"/>
          <w:sz w:val="22"/>
          <w:szCs w:val="22"/>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Times New Roman" w:cs="Times New Roman" w:eastAsia="Times New Roman" w:hAnsi="Times New Roman"/>
          <w:sz w:val="22"/>
          <w:szCs w:val="22"/>
          <w:u w:val="single" w:color="auto"/>
          <w:color w:val="auto"/>
        </w:rPr>
        <w:t>Fair Share</w:t>
      </w:r>
      <w:r>
        <w:rPr>
          <w:rFonts w:ascii="Times New Roman" w:cs="Times New Roman" w:eastAsia="Times New Roman" w:hAnsi="Times New Roman"/>
          <w:sz w:val="22"/>
          <w:szCs w:val="22"/>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Guaranteed Obligations. “</w:t>
      </w:r>
      <w:r>
        <w:rPr>
          <w:rFonts w:ascii="Times New Roman" w:cs="Times New Roman" w:eastAsia="Times New Roman" w:hAnsi="Times New Roman"/>
          <w:sz w:val="22"/>
          <w:szCs w:val="22"/>
          <w:u w:val="single" w:color="auto"/>
          <w:color w:val="auto"/>
        </w:rPr>
        <w:t>Fair Share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Contribution Amount</w:t>
      </w:r>
      <w:r>
        <w:rPr>
          <w:rFonts w:ascii="Times New Roman" w:cs="Times New Roman" w:eastAsia="Times New Roman" w:hAnsi="Times New Roman"/>
          <w:sz w:val="22"/>
          <w:szCs w:val="22"/>
          <w:color w:val="auto"/>
        </w:rPr>
        <w:t xml:space="preserve">” means, with respect to a Contributing Guarantor as of any date of determination, the maximum aggregate amount of the obligations of such Contributing Guarantor under this Guaranty that would not render its obligations hereunder or thereunder subject to avoidance as a fraudulent transfer or conveyance under Section 548 of the United States Code or any comparable applicable provisions of state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solely for purposes of calculating the “</w:t>
      </w:r>
      <w:r>
        <w:rPr>
          <w:rFonts w:ascii="Times New Roman" w:cs="Times New Roman" w:eastAsia="Times New Roman" w:hAnsi="Times New Roman"/>
          <w:sz w:val="22"/>
          <w:szCs w:val="22"/>
          <w:u w:val="single" w:color="auto"/>
          <w:color w:val="auto"/>
        </w:rPr>
        <w:t>Fair Share Contribution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xml:space="preserve">” with respect to any Contributing Guarantor for purposes of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Times New Roman" w:cs="Times New Roman" w:eastAsia="Times New Roman" w:hAnsi="Times New Roman"/>
          <w:sz w:val="22"/>
          <w:szCs w:val="22"/>
          <w:u w:val="single" w:color="auto"/>
          <w:color w:val="auto"/>
        </w:rPr>
        <w:t>Aggregate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means, with respect to a Contributing Guarantor as of any date of determination, an amount equal to (1) the aggregate amount of all payments and distributions made on or before such date by such Contributing Guarantor in respect of this Guaranty (including in respect of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minus (2) the aggregate amount of all payments received on or before such date by such Contributing Guarantor from the other Contributing Guarantors as contributions under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The amounts payable as contributions hereunder shall be determined as of the date on which the related payment or distribution is made by the applicable Funding Guarantor.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52" w:hanging="352"/>
        <w:spacing w:after="0"/>
        <w:tabs>
          <w:tab w:leader="none" w:pos="352"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18" w:right="339" w:bottom="1440" w:gutter="0" w:footer="0" w:header="0"/>
        </w:sectPr>
      </w:pPr>
    </w:p>
    <w:bookmarkStart w:id="273" w:name="page274"/>
    <w:bookmarkEnd w:id="273"/>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 xml:space="preserve">allocation among Contributing Guarantors of their obligations as set forth in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shall not be construed in any way to limit the liability of any Contributing Guarantor hereunder. Each Subsidiary Guarantor is a third party beneficiary to the contribution agreement set forth in this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Payment by Guarantors</w:t>
      </w:r>
    </w:p>
    <w:p>
      <w:pPr>
        <w:spacing w:after="0" w:line="220" w:lineRule="exact"/>
        <w:rPr>
          <w:sz w:val="20"/>
          <w:szCs w:val="20"/>
          <w:color w:val="auto"/>
        </w:rPr>
      </w:pPr>
    </w:p>
    <w:p>
      <w:pPr>
        <w:jc w:val="both"/>
        <w:ind w:firstLine="656"/>
        <w:spacing w:after="0" w:line="248" w:lineRule="auto"/>
        <w:tabs>
          <w:tab w:leader="none" w:pos="756"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the Subsidiary Guarantors hereby jointly and severally agree, in furtherance of the foregoing and not in limitation of any other right which any Beneficiary may have at law or in equity against any Subsidiary Guarantor by virtue hereof, that upon the failure of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or any equivalent provision in any applicable jurisdiction), the Subsidiary Guarantors will upon demand pay, or cause to be paid, in cash, to the Administrative Agent for the ratable benefit of the Beneficiaries, an amount equal to the sum of the unpaid principal amount of all Guaranteed Obligations then due as aforesaid, accrued and unpaid interest on such Guaranteed Obligations (including interest which, but for Borrower becoming the subject of a case under the Bankruptcy Code or other similar legislation in any jurisdiction, would have accrued on such Guaranteed Obligations, whether or not a claim is allowed against Borrower for such interest in the related bankruptcy case) and all other Guaranteed Obligations then owed to Beneficiaries as aforesaid.</w:t>
      </w:r>
    </w:p>
    <w:p>
      <w:pPr>
        <w:spacing w:after="0" w:line="18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u w:val="single" w:color="auto"/>
          <w:color w:val="auto"/>
        </w:rPr>
        <w:t>Liability of Guarantors Absolute</w:t>
      </w:r>
    </w:p>
    <w:p>
      <w:pPr>
        <w:spacing w:after="0" w:line="220" w:lineRule="exact"/>
        <w:rPr>
          <w:sz w:val="20"/>
          <w:szCs w:val="20"/>
          <w:color w:val="auto"/>
        </w:rPr>
      </w:pPr>
    </w:p>
    <w:p>
      <w:pPr>
        <w:jc w:val="both"/>
        <w:ind w:firstLine="656"/>
        <w:spacing w:after="0" w:line="256" w:lineRule="auto"/>
        <w:tabs>
          <w:tab w:leader="none" w:pos="756"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Subsidiary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Subsidiary Guarantor agrees as follows:</w:t>
      </w:r>
    </w:p>
    <w:p>
      <w:pPr>
        <w:spacing w:after="0" w:line="17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95"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is a guaranty of payment when due and not of collectability. This Guaranty is a primary obligation of each Subsidiary Guarantor and not merely a contract of surety;</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2025"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enforce this Guaranty upon the occurrence of an Event of Default notwithstanding the existence of any dispute between the Borrower and any Beneficiary with respect to the existence of such Event of Default;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21" w:val="left"/>
        </w:tabs>
        <w:numPr>
          <w:ilvl w:val="1"/>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Subsidiary Guarantor hereunder are independent of the obligations of the Borrower and the obligations of any other guarantor (including any other Subsidiary Guarantor) of the obligations of the Borrower, and a separate action or actions may be brought and prosecuted against such Subsidiary Guarantor, whether or not any action is brought against the Borrower or any of such other guarantors and whether or not the Borrower is joined in any such action or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hanging="352"/>
        <w:spacing w:after="0"/>
        <w:tabs>
          <w:tab w:leader="none" w:pos="5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74" w:name="page275"/>
    <w:bookmarkEnd w:id="274"/>
    <w:p>
      <w:pPr>
        <w:jc w:val="both"/>
        <w:ind w:left="472" w:firstLine="644"/>
        <w:spacing w:after="0" w:line="249" w:lineRule="auto"/>
        <w:tabs>
          <w:tab w:leader="none" w:pos="1595"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any Subsidiary Guarantor of a portion, but not all, of the Guaranteed Obligations shall in no way limit, affect, modify or abridge any Subsidiary Guarantor’s liability for any portion of the Guaranteed Obligations which has not been paid. Without limiting the generality of the foregoing, if the Administrative Agent is awarded a judgment in any suit brought to enforce any Subsidiary Guarantor’s covenant to pay a portion of the Guaranteed Obligations, such judgment shall not be deemed to release such Subsidiary Guarantor from its covenant to pay the portion of the Guaranteed Obligations that is not the subject of such suit, and such judgment shall not, except to the extent satisfied by such Subsidiary Guarantor, limit, affect, modify or abridge any other Subsidiary Guarantor’s liability hereunder in respect of the Guaranteed Obligations;</w:t>
      </w:r>
    </w:p>
    <w:p>
      <w:pPr>
        <w:spacing w:after="0" w:line="195" w:lineRule="exact"/>
        <w:rPr>
          <w:rFonts w:ascii="Times New Roman" w:cs="Times New Roman" w:eastAsia="Times New Roman" w:hAnsi="Times New Roman"/>
          <w:sz w:val="22"/>
          <w:szCs w:val="22"/>
          <w:color w:val="auto"/>
        </w:rPr>
      </w:pPr>
    </w:p>
    <w:p>
      <w:pPr>
        <w:jc w:val="both"/>
        <w:ind w:left="472" w:firstLine="644"/>
        <w:spacing w:after="0" w:line="247" w:lineRule="auto"/>
        <w:tabs>
          <w:tab w:leader="none" w:pos="1576"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Beneficiary, upon such terms as it deems appropriate, without notice or demand and without affecting the validity or enforceability hereof or giving rise to any reduction, limitation, impairment, discharge or termination of any Subsidiary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Subsidiary Guarantor) with respect to the Guaranteed Obligations; (v) subject to the provisions of this Agreement and the other Finance Documents,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Subsidiary Guarantor against any other Loan Party or any security for the Guaranteed Obligations; and (vi) exercise any other rights available to it under the Finance Documents; and</w:t>
      </w:r>
    </w:p>
    <w:p>
      <w:pPr>
        <w:spacing w:after="0" w:line="183" w:lineRule="exact"/>
        <w:rPr>
          <w:rFonts w:ascii="Times New Roman" w:cs="Times New Roman" w:eastAsia="Times New Roman" w:hAnsi="Times New Roman"/>
          <w:sz w:val="22"/>
          <w:szCs w:val="22"/>
          <w:color w:val="auto"/>
        </w:rPr>
      </w:pPr>
    </w:p>
    <w:p>
      <w:pPr>
        <w:jc w:val="both"/>
        <w:ind w:left="472" w:firstLine="644"/>
        <w:spacing w:after="0" w:line="251" w:lineRule="auto"/>
        <w:tabs>
          <w:tab w:leader="none" w:pos="1557"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and the obligations of Subsidiary Guarantors hereunder shall be valid and enforceable and shall not be subject to any reduction, limitation, impairment, discharge or termination for any reason (other than payment in full of the Guaranteed Obligations), including the occurrence of any of the following, whether or not any Subsidiary Guarantor shall have had notice or knowledge of any of them: (i) any failure or omission to assert or enforce or agreement or election not to assert or enforce, or the stay or enjoining, by order of court, by operation of law or otherwise, of the exercise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2" w:hanging="352"/>
        <w:spacing w:after="0"/>
        <w:tabs>
          <w:tab w:leader="none" w:pos="35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75" w:name="page276"/>
    <w:bookmarkEnd w:id="275"/>
    <w:p>
      <w:pPr>
        <w:jc w:val="both"/>
        <w:ind w:left="472"/>
        <w:spacing w:after="0" w:line="259" w:lineRule="auto"/>
        <w:rPr>
          <w:sz w:val="20"/>
          <w:szCs w:val="20"/>
          <w:color w:val="auto"/>
        </w:rPr>
      </w:pPr>
      <w:r>
        <w:rPr>
          <w:rFonts w:ascii="Times New Roman" w:cs="Times New Roman" w:eastAsia="Times New Roman" w:hAnsi="Times New Roman"/>
          <w:sz w:val="21"/>
          <w:szCs w:val="21"/>
          <w:color w:val="auto"/>
        </w:rPr>
        <w:t>enforcement of, any claim or demand or any right, power or remedy (whether arising under the Finance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Finance Documents or any agreement or instrument executed pursuant thereto, or of any other guaranty or security for the Guaranteed Obligations, in each case whether or not in accordance with the terms hereof or such Finance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Finance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Borrower, or any of its Subsidiaries and to any corresponding restructuring of the Guaranteed Obligations; (vi) any failure to perfect or continue perfection of a security interest in any collateral which secures any of the Guaranteed Obligations; (vii) any defenses, set offs or counterclaims which Borrower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Subsidiary Guarantor as an obligor in respect of the Guaranteed Obligations.</w:t>
      </w:r>
    </w:p>
    <w:p>
      <w:pPr>
        <w:spacing w:after="0" w:line="188" w:lineRule="exact"/>
        <w:rPr>
          <w:sz w:val="20"/>
          <w:szCs w:val="20"/>
          <w:color w:val="auto"/>
        </w:rPr>
      </w:pPr>
    </w:p>
    <w:p>
      <w:pPr>
        <w:ind w:left="472"/>
        <w:spacing w:after="0"/>
        <w:tabs>
          <w:tab w:leader="none" w:pos="1052"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u w:val="single" w:color="auto"/>
          <w:color w:val="auto"/>
        </w:rPr>
        <w:t>Waivers by Guarantors</w:t>
      </w:r>
    </w:p>
    <w:p>
      <w:pPr>
        <w:spacing w:after="0" w:line="220" w:lineRule="exact"/>
        <w:rPr>
          <w:sz w:val="20"/>
          <w:szCs w:val="20"/>
          <w:color w:val="auto"/>
        </w:rPr>
      </w:pPr>
    </w:p>
    <w:p>
      <w:pPr>
        <w:jc w:val="both"/>
        <w:ind w:left="-188" w:firstLine="656"/>
        <w:spacing w:after="0" w:line="261" w:lineRule="auto"/>
        <w:tabs>
          <w:tab w:leader="none" w:pos="568"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Subsidiary Guarantor hereby waives, for the benefit of Beneficiaries: (a) any right to require any Beneficiary, as a condition of payment or performance by such Subsidiary Guarantor, to (i) proceed against Borrower, any other guarantor (including any other Subsidiary Guarantor) of the Guaranteed Obligations or any other Person, (ii) proceed against or exhaust any security held from Borrower, any such other guarantor or any other Person, (iii) proceed against or have resort to any balance of any deposit account or credit on the books of any Beneficiary in favor of any Loan Party or any other Person, or (iv) pursue any other remedy in the power of any Beneficiary whatsoever; (b) any defense arising by reason of the incapacity, lack of authority or any disability or other defense of Borrower or any other Subsidiary Guarantor including any defense based on or arising out of the lack of validity or the unenforceability of the Guaranteed Obligations or any agreement or instrument relating thereto or by reason of the cessation of the liability of Borrower or any other Subsidiary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2" w:hanging="352"/>
        <w:spacing w:after="0"/>
        <w:tabs>
          <w:tab w:leader="none" w:pos="352"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76" w:name="page277"/>
    <w:bookmarkEnd w:id="276"/>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upon any Beneficiary’s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Subsidiary Guarantor’s obligations hereunder, (ii) the benefit of any statute of limitations affecting such Subsidiary Guarantor’s liability hereunder or the enforcement hereof, (iii) any rights to set 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or under any Finance Document, notices of any renewal, extension or modification of the Guaranteed Obligations or any agreement related thereto, notices of any extension of credit to Borrower and notices of any of the matters referred to in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Guarantors’ Rights of Subrogation, Contribution, Etc.</w:t>
      </w:r>
      <w:r>
        <w:rPr>
          <w:rFonts w:ascii="Times New Roman" w:cs="Times New Roman" w:eastAsia="Times New Roman" w:hAnsi="Times New Roman"/>
          <w:sz w:val="22"/>
          <w:szCs w:val="22"/>
          <w:color w:val="auto"/>
        </w:rPr>
        <w:t xml:space="preserve">. Until the Guaranteed Obligations shall have been paid in full and the Commitments shall have terminated, each Subsidiary Guarantor hereby waives, any claim, right or remedy, direct or indirect, that such Subsidiary Guarantor now has or may hereafter have against Borrower or any other Subsidiary Guarantor or any of its assets in connection with this Guaranty or the performance by such Subsidiary Guarantor of its obligations hereunder, in each case whether such claim, right or remedy arises in equity, under contract, by statute, under common law or otherwise and including (a) any right of subrogation, reimbursement or indemnification that such Subsidiary Guarantor now has or may hereafter have against Borrower with respect to the Guaranteed Obligations, (b) any right to enforce, or to participate in, any claim, right or remedy that any Beneficiary now has or may hereafter have against Borrower, and (c) any benefit of, and any right to participate in, any collateral or security now or hereafter held by any Beneficiary. In addition, until the Guaranteed Obligations shall have been paid in full and the Commitments shall have terminated, each Subsidiary Guarantor shall withhold exercise of any right of contribution such Subsidiary Guarantor may have against any other guarantor (including any other Subsidiary Guarantor) of the Guaranteed Obligations, including any such right of contribution as contemplated by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Each Subsidiary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Subsidiary Guarantor may have against Borrower or against any collateral or security, and any rights of contribution such Subsidiary Guarantor may have against any such other guarantor, shall be junior and subordinate to any rights any Beneficiary may have against Borrower, to all right, title and interest any Beneficiary may have in any such collateral or security, and to any right any Beneficiary may have against such other guarantor. If any amount shall be paid to any Subsidiary Guarantor on account of any such subrogation, reimbursement, indemnification or contribution rights at any time when all Guaranteed Obligations shall not have been finally and paid in full, such amount shall be held in trust for the Administrative Agent on behalf of Beneficiaries and shall forthwith be paid over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hanging="352"/>
        <w:spacing w:after="0"/>
        <w:tabs>
          <w:tab w:leader="none" w:pos="5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77" w:name="page278"/>
    <w:bookmarkEnd w:id="277"/>
    <w:p>
      <w:pPr>
        <w:ind w:right="20"/>
        <w:spacing w:after="0" w:line="271" w:lineRule="auto"/>
        <w:rPr>
          <w:sz w:val="20"/>
          <w:szCs w:val="20"/>
          <w:color w:val="auto"/>
        </w:rPr>
      </w:pPr>
      <w:r>
        <w:rPr>
          <w:rFonts w:ascii="Times New Roman" w:cs="Times New Roman" w:eastAsia="Times New Roman" w:hAnsi="Times New Roman"/>
          <w:sz w:val="22"/>
          <w:szCs w:val="22"/>
          <w:color w:val="auto"/>
        </w:rPr>
        <w:t>the Administrative Agent for the benefit of Beneficiaries to be credited and applied against the Guaranteed Obligations, whether matured or unmatured, in accordance with the terms hereof.</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1"/>
          <w:szCs w:val="21"/>
          <w:u w:val="single" w:color="auto"/>
          <w:color w:val="auto"/>
        </w:rPr>
        <w:t>Subordination of Other Obligations</w:t>
      </w:r>
    </w:p>
    <w:p>
      <w:pPr>
        <w:spacing w:after="0" w:line="233" w:lineRule="exact"/>
        <w:rPr>
          <w:sz w:val="20"/>
          <w:szCs w:val="20"/>
          <w:color w:val="auto"/>
        </w:rPr>
      </w:pPr>
    </w:p>
    <w:p>
      <w:pPr>
        <w:jc w:val="both"/>
        <w:ind w:firstLine="656"/>
        <w:spacing w:after="0" w:line="251" w:lineRule="auto"/>
        <w:tabs>
          <w:tab w:leader="none" w:pos="783"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of Borrower or any Subsidiary Guarantor now or hereafter held by any Subsidiary Guarantor (an “</w:t>
      </w:r>
      <w:r>
        <w:rPr>
          <w:rFonts w:ascii="Times New Roman" w:cs="Times New Roman" w:eastAsia="Times New Roman" w:hAnsi="Times New Roman"/>
          <w:sz w:val="22"/>
          <w:szCs w:val="22"/>
          <w:u w:val="single" w:color="auto"/>
          <w:color w:val="auto"/>
        </w:rPr>
        <w:t>Obligee Guarantor</w:t>
      </w:r>
      <w:r>
        <w:rPr>
          <w:rFonts w:ascii="Times New Roman" w:cs="Times New Roman" w:eastAsia="Times New Roman" w:hAnsi="Times New Roman"/>
          <w:sz w:val="22"/>
          <w:szCs w:val="22"/>
          <w:color w:val="auto"/>
        </w:rPr>
        <w:t>”) is hereby subordinated in right of payment to the Guaranteed Obligations, and any such Indebtedness collected or received by the Obligee Guarantor after an Event of Default has occurred and is continuing shall be held in trust for the Administrative Agent on behalf of Beneficiaries and shall forthwith be paid over to the Administrative Agent for the benefit of Beneficiaries to be credited and applied against the Guaranteed Obligations but without affecting, impairing or limiting in any manner the liability of the Obligee Guarantor under any other provision hereof.</w:t>
      </w:r>
    </w:p>
    <w:p>
      <w:pPr>
        <w:spacing w:after="0" w:line="18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10.8</w:t>
      </w:r>
      <w:r>
        <w:rPr>
          <w:sz w:val="20"/>
          <w:szCs w:val="20"/>
          <w:color w:val="auto"/>
        </w:rPr>
        <w:tab/>
      </w:r>
      <w:r>
        <w:rPr>
          <w:rFonts w:ascii="Times New Roman" w:cs="Times New Roman" w:eastAsia="Times New Roman" w:hAnsi="Times New Roman"/>
          <w:sz w:val="21"/>
          <w:szCs w:val="21"/>
          <w:u w:val="single" w:color="auto"/>
          <w:color w:val="auto"/>
        </w:rPr>
        <w:t>Continuing Guaranty</w:t>
      </w:r>
    </w:p>
    <w:p>
      <w:pPr>
        <w:spacing w:after="0" w:line="220" w:lineRule="exact"/>
        <w:rPr>
          <w:sz w:val="20"/>
          <w:szCs w:val="20"/>
          <w:color w:val="auto"/>
        </w:rPr>
      </w:pPr>
    </w:p>
    <w:p>
      <w:pPr>
        <w:jc w:val="both"/>
        <w:ind w:firstLine="656"/>
        <w:spacing w:after="0" w:line="257" w:lineRule="auto"/>
        <w:tabs>
          <w:tab w:leader="none" w:pos="756"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is a continuing guaranty and shall remain in effect until all of the Guaranteed Obligations shall have been paid in full and the Commitments shall have terminated. Each Subsidiary Guarantor hereby irrevocably waives any right to revoke this Guaranty as to future transactions giving rise to any Guaranteed Obligations.</w:t>
      </w:r>
    </w:p>
    <w:p>
      <w:pPr>
        <w:spacing w:after="0" w:line="1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10.9</w:t>
      </w:r>
      <w:r>
        <w:rPr>
          <w:sz w:val="20"/>
          <w:szCs w:val="20"/>
          <w:color w:val="auto"/>
        </w:rPr>
        <w:tab/>
      </w:r>
      <w:r>
        <w:rPr>
          <w:rFonts w:ascii="Times New Roman" w:cs="Times New Roman" w:eastAsia="Times New Roman" w:hAnsi="Times New Roman"/>
          <w:sz w:val="21"/>
          <w:szCs w:val="21"/>
          <w:u w:val="single" w:color="auto"/>
          <w:color w:val="auto"/>
        </w:rPr>
        <w:t>Authority of Guarantors or Borrower</w:t>
      </w:r>
    </w:p>
    <w:p>
      <w:pPr>
        <w:spacing w:after="0" w:line="233" w:lineRule="exact"/>
        <w:rPr>
          <w:sz w:val="20"/>
          <w:szCs w:val="20"/>
          <w:color w:val="auto"/>
        </w:rPr>
      </w:pPr>
    </w:p>
    <w:p>
      <w:pPr>
        <w:ind w:right="20" w:firstLine="656"/>
        <w:spacing w:after="0" w:line="271" w:lineRule="auto"/>
        <w:tabs>
          <w:tab w:leader="none" w:pos="756"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necessary for any Beneficiary to inquire into the capacity or powers of any Subsidiary Guarantor or Borrower or the officers, directors or any agents acting or purporting to act on behalf of any of them.</w:t>
      </w:r>
    </w:p>
    <w:p>
      <w:pPr>
        <w:spacing w:after="0" w:line="158"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10.10</w:t>
      </w:r>
      <w:r>
        <w:rPr>
          <w:sz w:val="20"/>
          <w:szCs w:val="20"/>
          <w:color w:val="auto"/>
        </w:rPr>
        <w:tab/>
      </w:r>
      <w:r>
        <w:rPr>
          <w:rFonts w:ascii="Times New Roman" w:cs="Times New Roman" w:eastAsia="Times New Roman" w:hAnsi="Times New Roman"/>
          <w:sz w:val="21"/>
          <w:szCs w:val="21"/>
          <w:u w:val="single" w:color="auto"/>
          <w:color w:val="auto"/>
        </w:rPr>
        <w:t>Financial Condition of Borrower</w:t>
      </w:r>
    </w:p>
    <w:p>
      <w:pPr>
        <w:spacing w:after="0" w:line="220" w:lineRule="exact"/>
        <w:rPr>
          <w:sz w:val="20"/>
          <w:szCs w:val="20"/>
          <w:color w:val="auto"/>
        </w:rPr>
      </w:pPr>
    </w:p>
    <w:p>
      <w:pPr>
        <w:jc w:val="both"/>
        <w:ind w:firstLine="656"/>
        <w:spacing w:after="0" w:line="249" w:lineRule="auto"/>
        <w:tabs>
          <w:tab w:leader="none" w:pos="769"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Borrowing may be made to Borrower or continued from time to time without notice to or authorization from any Subsidiary Guarantor regardless of the financial or other condition of Borrower at the time of any such grant or continuation. No Beneficiary shall have any obligation to disclose or discuss with any Subsidiary Guarantor its assessment, or any Subsidiary Guarantor’s assessment, of the financial condition of Borrower. Each Subsidiary Guarantor has adequate means to obtain information from Borrower on a continuing basis concerning the financial condition of Borrower and its ability to perform its obligations under the Finance Documents, and each Subsidiary Guarantor assumes the responsibility for being and keeping informed of the financial condition of Borrower and of all circumstances bearing upon the risk of nonpayment of the Guaranteed Obligations. Each Subsidiary Guarantor hereby waives and relinquishes any duty on the part of any Beneficiary to disclose any matter, fact or thing relating to the business, operations or conditions of Borrower now known or hereafter known by any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hanging="352"/>
        <w:spacing w:after="0"/>
        <w:tabs>
          <w:tab w:leader="none" w:pos="5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78" w:name="page279"/>
    <w:bookmarkEnd w:id="278"/>
    <w:p>
      <w:pPr>
        <w:ind w:left="472"/>
        <w:spacing w:after="0"/>
        <w:tabs>
          <w:tab w:leader="none" w:pos="1152" w:val="left"/>
        </w:tabs>
        <w:rPr>
          <w:sz w:val="20"/>
          <w:szCs w:val="20"/>
          <w:color w:val="auto"/>
        </w:rPr>
      </w:pPr>
      <w:r>
        <w:rPr>
          <w:rFonts w:ascii="Times New Roman" w:cs="Times New Roman" w:eastAsia="Times New Roman" w:hAnsi="Times New Roman"/>
          <w:sz w:val="22"/>
          <w:szCs w:val="22"/>
          <w:color w:val="auto"/>
        </w:rPr>
        <w:t>10.11</w:t>
      </w:r>
      <w:r>
        <w:rPr>
          <w:sz w:val="20"/>
          <w:szCs w:val="20"/>
          <w:color w:val="auto"/>
        </w:rPr>
        <w:tab/>
      </w:r>
      <w:r>
        <w:rPr>
          <w:rFonts w:ascii="Times New Roman" w:cs="Times New Roman" w:eastAsia="Times New Roman" w:hAnsi="Times New Roman"/>
          <w:sz w:val="21"/>
          <w:szCs w:val="21"/>
          <w:u w:val="single" w:color="auto"/>
          <w:color w:val="auto"/>
        </w:rPr>
        <w:t>Bankruptcy, Etc.</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472" w:firstLine="644"/>
        <w:spacing w:after="0" w:line="250" w:lineRule="auto"/>
        <w:tabs>
          <w:tab w:leader="none" w:pos="1603"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Guaranteed Obligations remain outstanding, no Subsidiary Guarantor shall, without the prior written consent of Administrative Agent acting pursuant to the instructions of Majority Lenders, commence or join with any other Person in commencing any bankruptcy, reorganization or insolvency case or proceeding of or against Borrower or any other Subsidiary Guarantor. The obligations of Subsidiary Guarantors hereunder shall not be reduced, limited, impaired, discharged, deferred, suspended or terminated by any case or proceeding, voluntary or involuntary, involving the bankruptcy, insolvency, receivership, reorganization, liquidation or arrangement of Borrower or any other Subsidiary Guarantor or by any defense which Borrower or any other Subsidiary Guarantor may have by reason of the order, decree or decision of any court or administrative body resulting from any such proceeding.</w:t>
      </w:r>
    </w:p>
    <w:p>
      <w:pPr>
        <w:spacing w:after="0" w:line="186" w:lineRule="exact"/>
        <w:rPr>
          <w:rFonts w:ascii="Times New Roman" w:cs="Times New Roman" w:eastAsia="Times New Roman" w:hAnsi="Times New Roman"/>
          <w:sz w:val="22"/>
          <w:szCs w:val="22"/>
          <w:color w:val="auto"/>
        </w:rPr>
      </w:pPr>
    </w:p>
    <w:p>
      <w:pPr>
        <w:jc w:val="both"/>
        <w:ind w:left="472" w:firstLine="644"/>
        <w:spacing w:after="0" w:line="248" w:lineRule="auto"/>
        <w:tabs>
          <w:tab w:leader="none" w:pos="1705"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Subsidiary Guarantor acknowledges and agrees that any interest on any portion of the Guaranteed Obligations which accrues after the commencement of any case or proceeding referred to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Subsidiary Guarantors and Beneficiaries that the Guaranteed Obligations which are guaranteed by Subsidiary Guarantors pursuant hereto should be determined without regard to any rule of law or order which may relieve Borrower of any portion of such Guaranteed Obligations. Subsidiary Guarantors will permit any trustee in bankruptcy, receiver, debtor in possession, assignee for the benefit of creditors or similar Person to pay Administrative Agent, or allow the claim of the Administrative Agent in respect of, any such interest accruing after the date on which such case or proceeding is commenced.</w:t>
      </w:r>
    </w:p>
    <w:p>
      <w:pPr>
        <w:spacing w:after="0" w:line="188" w:lineRule="exact"/>
        <w:rPr>
          <w:rFonts w:ascii="Times New Roman" w:cs="Times New Roman" w:eastAsia="Times New Roman" w:hAnsi="Times New Roman"/>
          <w:sz w:val="22"/>
          <w:szCs w:val="22"/>
          <w:color w:val="auto"/>
        </w:rPr>
      </w:pPr>
    </w:p>
    <w:p>
      <w:pPr>
        <w:jc w:val="both"/>
        <w:ind w:left="472" w:firstLine="644"/>
        <w:spacing w:after="0" w:line="253" w:lineRule="auto"/>
        <w:tabs>
          <w:tab w:leader="none" w:pos="1642"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all or any portion of the Guaranteed Obligations are paid by Borrower, the obligations of Subsidiary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79" w:lineRule="exact"/>
        <w:rPr>
          <w:sz w:val="20"/>
          <w:szCs w:val="20"/>
          <w:color w:val="auto"/>
        </w:rPr>
      </w:pPr>
    </w:p>
    <w:p>
      <w:pPr>
        <w:ind w:left="472"/>
        <w:spacing w:after="0"/>
        <w:tabs>
          <w:tab w:leader="none" w:pos="1152" w:val="left"/>
        </w:tabs>
        <w:rPr>
          <w:sz w:val="20"/>
          <w:szCs w:val="20"/>
          <w:color w:val="auto"/>
        </w:rPr>
      </w:pPr>
      <w:r>
        <w:rPr>
          <w:rFonts w:ascii="Times New Roman" w:cs="Times New Roman" w:eastAsia="Times New Roman" w:hAnsi="Times New Roman"/>
          <w:sz w:val="22"/>
          <w:szCs w:val="22"/>
          <w:color w:val="auto"/>
        </w:rPr>
        <w:t>10.12</w:t>
      </w:r>
      <w:r>
        <w:rPr>
          <w:sz w:val="20"/>
          <w:szCs w:val="20"/>
          <w:color w:val="auto"/>
        </w:rPr>
        <w:tab/>
      </w:r>
      <w:r>
        <w:rPr>
          <w:rFonts w:ascii="Times New Roman" w:cs="Times New Roman" w:eastAsia="Times New Roman" w:hAnsi="Times New Roman"/>
          <w:sz w:val="21"/>
          <w:szCs w:val="21"/>
          <w:u w:val="single" w:color="auto"/>
          <w:color w:val="auto"/>
        </w:rPr>
        <w:t>Discharge of Guaranty Upon Sale or Release of Guarantor</w:t>
      </w:r>
    </w:p>
    <w:p>
      <w:pPr>
        <w:spacing w:after="0" w:line="220" w:lineRule="exact"/>
        <w:rPr>
          <w:sz w:val="20"/>
          <w:szCs w:val="20"/>
          <w:color w:val="auto"/>
        </w:rPr>
      </w:pPr>
    </w:p>
    <w:p>
      <w:pPr>
        <w:jc w:val="both"/>
        <w:ind w:left="-188" w:firstLine="656"/>
        <w:spacing w:after="0" w:line="253" w:lineRule="auto"/>
        <w:tabs>
          <w:tab w:leader="none" w:pos="568"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all of the Equity Interests of any Subsidiary Guarantor or any of its successors in interest hereunder shall be sold or otherwise disposed of (including by merger or consolidation) in accordance with the terms and conditions hereof to any party other than a Loan Party or (b) such Subsidiary has been designated an Unrestricted Subsidiary or becomes an Excluded Subsidiary, in each case, in accordance with the definition thereof, then the Guaranty of such Subsidiary Guarantor or such successor in interest, as the case may be, hereunder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2" w:hanging="352"/>
        <w:spacing w:after="0"/>
        <w:tabs>
          <w:tab w:leader="none" w:pos="352"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79" w:name="page280"/>
    <w:bookmarkEnd w:id="279"/>
    <w:p>
      <w:pPr>
        <w:jc w:val="both"/>
        <w:spacing w:after="0" w:line="271" w:lineRule="auto"/>
        <w:rPr>
          <w:sz w:val="20"/>
          <w:szCs w:val="20"/>
          <w:color w:val="auto"/>
        </w:rPr>
      </w:pPr>
      <w:r>
        <w:rPr>
          <w:rFonts w:ascii="Times New Roman" w:cs="Times New Roman" w:eastAsia="Times New Roman" w:hAnsi="Times New Roman"/>
          <w:sz w:val="22"/>
          <w:szCs w:val="22"/>
          <w:color w:val="auto"/>
        </w:rPr>
        <w:t>automatically be discharged and released without any further action by any Beneficiary or any other Person effective as of the time of such disposition or designation.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ADMINISTRATIVE AGENT; AGENT INDEMNIFICATION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Appointment of Administrative Agent</w:t>
      </w:r>
      <w:r>
        <w:rPr>
          <w:rFonts w:ascii="Times New Roman" w:cs="Times New Roman" w:eastAsia="Times New Roman" w:hAnsi="Times New Roman"/>
          <w:sz w:val="22"/>
          <w:szCs w:val="22"/>
          <w:color w:val="auto"/>
        </w:rPr>
        <w:t xml:space="preserve">. In connection with the P1 Project, the Lenders party hereto hereby appoint MUFG Bank, Ltd. to act as Administrative Agent and authorize it to exercise such rights, powers, authorities and discretions as are specifically delegated to the Administrative Agent by the terms of this Agreement and the other Finance Documents, together with all such rights, powers, authorities and discretions as are reasonably incidental thereto. By its signature below, MUFG Bank, Ltd. (or any successor thereto pursuant to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accepts such appointment.</w:t>
      </w:r>
    </w:p>
    <w:p>
      <w:pPr>
        <w:spacing w:after="0" w:line="17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Duties and Responsibilities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3" w:lineRule="auto"/>
        <w:tabs>
          <w:tab w:leader="none" w:pos="1880"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duties under this Agreement and in any other Finance Document are solely mechanical and administrative in nature. The Administrative Agent shall have no fiduciary duties and shall not have any duties, obligations or responsibilities except those expressly set out in this Agreement or in any other Finance Document, shall not have any duties or obligations except those expressly set forth herein and in the other Finance Documents. Without limiting the generality of the foregoing, the Administrative Agent shall not:</w:t>
      </w:r>
    </w:p>
    <w:p>
      <w:pPr>
        <w:spacing w:after="0" w:line="178" w:lineRule="exact"/>
        <w:rPr>
          <w:rFonts w:ascii="Times New Roman" w:cs="Times New Roman" w:eastAsia="Times New Roman" w:hAnsi="Times New Roman"/>
          <w:sz w:val="22"/>
          <w:szCs w:val="22"/>
          <w:color w:val="auto"/>
        </w:rPr>
      </w:pPr>
    </w:p>
    <w:p>
      <w:pPr>
        <w:ind w:left="1300" w:firstLine="652"/>
        <w:spacing w:after="0" w:line="271" w:lineRule="auto"/>
        <w:tabs>
          <w:tab w:leader="none" w:pos="2370"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subject to any fiduciary or other implied duties, regardless of whether a Default or Event of Default has occurred and is continuing;</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647"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have any duty to take any discretionary action or exercise any discretionary powers, except discretionary rights and powers expressly contemplated hereby or by the other Finance Documents that the Administrative Agent is required to exercise as directed in writing by the Majority Lenders (or such other number or percentage of the Lenders as shall be expressly provided for herein or in the other Finance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Administrative Agent shall not be required to take any action that, in its opinion or the opinion of its counsel, may expose the Administrative Agent to liability or that is contrary to any Finance Document or applicable Government Rule; or</w:t>
      </w:r>
    </w:p>
    <w:p>
      <w:pPr>
        <w:spacing w:after="0" w:line="193"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526"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and in the other Finance Documents, have any duty to disclose, nor shall the Administrative Agent be liable for any failure to disclose, any information relating to any Loan Party or any of their Affiliates that is communicated to or obtained by the Person serving as the Administrative Agent or any of its Affiliates in any capacity.</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99"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liable for any action taken or not taken by it (i) with the prior written consent or at the request of the Majority Lenders or (ii) in the absence of its own gross negligence or willful misconduct, as determined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0" w:hanging="352"/>
        <w:spacing w:after="0"/>
        <w:tabs>
          <w:tab w:leader="none" w:pos="5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80" w:name="page281"/>
    <w:bookmarkEnd w:id="280"/>
    <w:p>
      <w:pPr>
        <w:jc w:val="both"/>
        <w:ind w:left="472"/>
        <w:spacing w:after="0" w:line="257" w:lineRule="auto"/>
        <w:rPr>
          <w:sz w:val="20"/>
          <w:szCs w:val="20"/>
          <w:color w:val="auto"/>
        </w:rPr>
      </w:pPr>
      <w:r>
        <w:rPr>
          <w:rFonts w:ascii="Times New Roman" w:cs="Times New Roman" w:eastAsia="Times New Roman" w:hAnsi="Times New Roman"/>
          <w:sz w:val="22"/>
          <w:szCs w:val="22"/>
          <w:color w:val="auto"/>
        </w:rPr>
        <w:t>final and non-appealable judgment of a court of competent jurisdiction. The Administrative Agent shall be deemed not to have knowledge of any Default or Event of Default unless and until written notice describing such Default or Event of Default is given to the Administrative Agent in writing by the Borrower or a Lender.</w:t>
      </w:r>
    </w:p>
    <w:p>
      <w:pPr>
        <w:spacing w:after="0" w:line="186" w:lineRule="exact"/>
        <w:rPr>
          <w:sz w:val="20"/>
          <w:szCs w:val="20"/>
          <w:color w:val="auto"/>
        </w:rPr>
      </w:pPr>
    </w:p>
    <w:p>
      <w:pPr>
        <w:jc w:val="both"/>
        <w:ind w:left="472" w:firstLine="644"/>
        <w:spacing w:after="0" w:line="254" w:lineRule="auto"/>
        <w:tabs>
          <w:tab w:leader="none" w:pos="1638" w:val="left"/>
        </w:tabs>
        <w:numPr>
          <w:ilvl w:val="1"/>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responsible for or have any duty to ascertain or inquire into (i) any statement, warranty or representation made in or in connection with this Agreement or any other Finance Document,</w:t>
      </w:r>
    </w:p>
    <w:p>
      <w:pPr>
        <w:spacing w:after="0" w:line="1" w:lineRule="exact"/>
        <w:rPr>
          <w:rFonts w:ascii="Times New Roman" w:cs="Times New Roman" w:eastAsia="Times New Roman" w:hAnsi="Times New Roman"/>
          <w:sz w:val="22"/>
          <w:szCs w:val="22"/>
          <w:color w:val="auto"/>
        </w:rPr>
      </w:pPr>
    </w:p>
    <w:p>
      <w:pPr>
        <w:jc w:val="both"/>
        <w:ind w:left="472" w:hanging="4"/>
        <w:spacing w:after="0" w:line="246" w:lineRule="auto"/>
        <w:tabs>
          <w:tab w:leader="none" w:pos="801"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contents of any certificate, report or other document delivered hereunder or thereunder or in connection herewith or therewith, (iii) the performance or observance of any of the covenants, agreements or other terms or conditions set forth herein or therein or the occurrence or continuance of any Default or Event of Default, (iv) the validity, enforceability, effectiveness or genuineness of this Agreement, any other Finance Document or any other agreement, instrument or document, or the perfection or priority of any Lien or security interest created or purported to be created by any Security Document, or (v) the satisfaction of any condition set forth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or elsewhere herein, other than to confirm receipt of any items expressly required to be delivered to the Administrative Agent.</w:t>
      </w:r>
    </w:p>
    <w:p>
      <w:pPr>
        <w:spacing w:after="0" w:line="186" w:lineRule="exact"/>
        <w:rPr>
          <w:sz w:val="20"/>
          <w:szCs w:val="20"/>
          <w:color w:val="auto"/>
        </w:rPr>
      </w:pPr>
    </w:p>
    <w:p>
      <w:pPr>
        <w:ind w:left="472"/>
        <w:spacing w:after="0"/>
        <w:tabs>
          <w:tab w:leader="none" w:pos="1032"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Rights and Obligations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1572" w:hanging="456"/>
        <w:spacing w:after="0"/>
        <w:tabs>
          <w:tab w:leader="none" w:pos="1572"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w:t>
      </w:r>
      <w:r>
        <w:rPr>
          <w:rFonts w:ascii="Times New Roman" w:cs="Times New Roman" w:eastAsia="Times New Roman" w:hAnsi="Times New Roman"/>
          <w:sz w:val="22"/>
          <w:szCs w:val="22"/>
          <w:i w:val="1"/>
          <w:iCs w:val="1"/>
          <w:color w:val="auto"/>
        </w:rPr>
        <w:t>:</w:t>
      </w:r>
    </w:p>
    <w:p>
      <w:pPr>
        <w:spacing w:after="0" w:line="237" w:lineRule="exact"/>
        <w:rPr>
          <w:rFonts w:ascii="Times New Roman" w:cs="Times New Roman" w:eastAsia="Times New Roman" w:hAnsi="Times New Roman"/>
          <w:sz w:val="22"/>
          <w:szCs w:val="22"/>
          <w:color w:val="auto"/>
        </w:rPr>
      </w:pPr>
    </w:p>
    <w:p>
      <w:pPr>
        <w:jc w:val="both"/>
        <w:ind w:left="1112" w:firstLine="652"/>
        <w:spacing w:after="0" w:line="252" w:lineRule="auto"/>
        <w:tabs>
          <w:tab w:leader="none" w:pos="2237"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 absent actual knowledge or written notice to the contrary, that (A) any representation made by any Person in connection with any Finance Document is true, (B) no Default or Event of Default exists, (C) no Person is in breach of or in default under its obligations under any Finance Document and (D) any right, power, authority or discretion vested herein upon any other Agent has not been exercised;</w:t>
      </w:r>
    </w:p>
    <w:p>
      <w:pPr>
        <w:spacing w:after="0" w:line="179" w:lineRule="exact"/>
        <w:rPr>
          <w:rFonts w:ascii="Times New Roman" w:cs="Times New Roman" w:eastAsia="Times New Roman" w:hAnsi="Times New Roman"/>
          <w:sz w:val="22"/>
          <w:szCs w:val="22"/>
          <w:color w:val="auto"/>
        </w:rPr>
      </w:pPr>
    </w:p>
    <w:p>
      <w:pPr>
        <w:jc w:val="both"/>
        <w:ind w:left="1112" w:firstLine="652"/>
        <w:spacing w:after="0" w:line="263" w:lineRule="auto"/>
        <w:tabs>
          <w:tab w:leader="none" w:pos="2260"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 absent actual knowledge or written notice to the contrary, that any notice or certificate given by any Person has been validly given by a Person authorized to do so and act upon such notice or certificate unless the same is revoked or superseded by a further such notice or certificate;</w:t>
      </w:r>
    </w:p>
    <w:p>
      <w:pPr>
        <w:spacing w:after="0" w:line="167" w:lineRule="exact"/>
        <w:rPr>
          <w:rFonts w:ascii="Times New Roman" w:cs="Times New Roman" w:eastAsia="Times New Roman" w:hAnsi="Times New Roman"/>
          <w:sz w:val="22"/>
          <w:szCs w:val="22"/>
          <w:color w:val="auto"/>
        </w:rPr>
      </w:pPr>
    </w:p>
    <w:p>
      <w:pPr>
        <w:jc w:val="both"/>
        <w:ind w:left="1112" w:firstLine="652"/>
        <w:spacing w:after="0" w:line="272" w:lineRule="auto"/>
        <w:tabs>
          <w:tab w:leader="none" w:pos="2337" w:val="left"/>
        </w:tabs>
        <w:numPr>
          <w:ilvl w:val="1"/>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assume, absent written notice to the contrary, that the address, email and telephone numbers for the giving of any written notice to any Person hereunder is that identified in </w:t>
      </w:r>
      <w:r>
        <w:rPr>
          <w:rFonts w:ascii="Times New Roman" w:cs="Times New Roman" w:eastAsia="Times New Roman" w:hAnsi="Times New Roman"/>
          <w:sz w:val="21"/>
          <w:szCs w:val="21"/>
          <w:u w:val="single" w:color="auto"/>
          <w:color w:val="auto"/>
        </w:rPr>
        <w:t>Schedule 11.3</w:t>
      </w:r>
      <w:r>
        <w:rPr>
          <w:rFonts w:ascii="Times New Roman" w:cs="Times New Roman" w:eastAsia="Times New Roman" w:hAnsi="Times New Roman"/>
          <w:sz w:val="21"/>
          <w:szCs w:val="21"/>
          <w:color w:val="auto"/>
        </w:rPr>
        <w:t xml:space="preserve"> until it has received from such Person a written notice designating some other office of such Person to replace any such address or email or telephone number and act upon any such notice until the same is superseded by a further such written notice;</w:t>
      </w:r>
    </w:p>
    <w:p>
      <w:pPr>
        <w:spacing w:after="0" w:line="160" w:lineRule="exact"/>
        <w:rPr>
          <w:rFonts w:ascii="Times New Roman" w:cs="Times New Roman" w:eastAsia="Times New Roman" w:hAnsi="Times New Roman"/>
          <w:sz w:val="21"/>
          <w:szCs w:val="21"/>
          <w:color w:val="auto"/>
        </w:rPr>
      </w:pPr>
    </w:p>
    <w:p>
      <w:pPr>
        <w:jc w:val="both"/>
        <w:ind w:left="1112" w:firstLine="652"/>
        <w:spacing w:after="0" w:line="257" w:lineRule="auto"/>
        <w:tabs>
          <w:tab w:leader="none" w:pos="2345"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at the expense of the Borrower, attorneys, consultants, accountants or other experts whose advice or services the Administrative Agent may reasonably determine is necessary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connection with an exercise of remedies following the occurrence of an Event of Default,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52" w:hanging="352"/>
        <w:spacing w:after="0"/>
        <w:tabs>
          <w:tab w:leader="none" w:pos="352"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81" w:name="page282"/>
    <w:bookmarkEnd w:id="281"/>
    <w:p>
      <w:pPr>
        <w:jc w:val="both"/>
        <w:ind w:left="1112"/>
        <w:spacing w:after="0" w:line="272" w:lineRule="auto"/>
        <w:rPr>
          <w:sz w:val="20"/>
          <w:szCs w:val="20"/>
          <w:color w:val="auto"/>
        </w:rPr>
      </w:pPr>
      <w:r>
        <w:rPr>
          <w:rFonts w:ascii="Times New Roman" w:cs="Times New Roman" w:eastAsia="Times New Roman" w:hAnsi="Times New Roman"/>
          <w:sz w:val="21"/>
          <w:szCs w:val="21"/>
          <w:color w:val="auto"/>
        </w:rPr>
        <w:t xml:space="preserve">Administrative Agent shall be permitted to employ any such Person at the expense of the Borrower as it determines to be necessary in its sole discretion), may pay reasonable and documented fees and expenses for the advice or service of any such Person and may rely upon any advice so obtained;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Administrative Agent shall be under no obligation to act upon such advice if it does not deem such action to be appropriate;</w:t>
      </w:r>
    </w:p>
    <w:p>
      <w:pPr>
        <w:spacing w:after="0" w:line="161" w:lineRule="exact"/>
        <w:rPr>
          <w:sz w:val="20"/>
          <w:szCs w:val="20"/>
          <w:color w:val="auto"/>
        </w:rPr>
      </w:pPr>
    </w:p>
    <w:p>
      <w:pPr>
        <w:ind w:left="1112" w:firstLine="652"/>
        <w:spacing w:after="0" w:line="271" w:lineRule="auto"/>
        <w:tabs>
          <w:tab w:leader="none" w:pos="2290" w:val="left"/>
        </w:tabs>
        <w:numPr>
          <w:ilvl w:val="1"/>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rely on any matters of fact which might reasonably be expected to be within the knowledge of any Person upon a certificate signed by or on behalf of such party;</w:t>
      </w:r>
    </w:p>
    <w:p>
      <w:pPr>
        <w:spacing w:after="0" w:line="157" w:lineRule="exact"/>
        <w:rPr>
          <w:rFonts w:ascii="Times New Roman" w:cs="Times New Roman" w:eastAsia="Times New Roman" w:hAnsi="Times New Roman"/>
          <w:sz w:val="22"/>
          <w:szCs w:val="22"/>
          <w:color w:val="auto"/>
        </w:rPr>
      </w:pPr>
    </w:p>
    <w:p>
      <w:pPr>
        <w:ind w:left="2412" w:hanging="648"/>
        <w:spacing w:after="0"/>
        <w:tabs>
          <w:tab w:leader="none" w:pos="2412" w:val="left"/>
        </w:tabs>
        <w:numPr>
          <w:ilvl w:val="1"/>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rely upon any communication, certification, notice or document reasonably believed by it to be</w:t>
      </w:r>
    </w:p>
    <w:p>
      <w:pPr>
        <w:spacing w:after="0" w:line="27" w:lineRule="exact"/>
        <w:rPr>
          <w:rFonts w:ascii="Times New Roman" w:cs="Times New Roman" w:eastAsia="Times New Roman" w:hAnsi="Times New Roman"/>
          <w:sz w:val="22"/>
          <w:szCs w:val="22"/>
          <w:color w:val="auto"/>
        </w:rPr>
      </w:pPr>
    </w:p>
    <w:p>
      <w:pPr>
        <w:ind w:left="111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genuine;</w:t>
      </w:r>
    </w:p>
    <w:p>
      <w:pPr>
        <w:spacing w:after="0" w:line="209" w:lineRule="exact"/>
        <w:rPr>
          <w:rFonts w:ascii="Times New Roman" w:cs="Times New Roman" w:eastAsia="Times New Roman" w:hAnsi="Times New Roman"/>
          <w:sz w:val="22"/>
          <w:szCs w:val="22"/>
          <w:color w:val="auto"/>
        </w:rPr>
      </w:pPr>
    </w:p>
    <w:p>
      <w:pPr>
        <w:jc w:val="both"/>
        <w:ind w:left="1112" w:firstLine="652"/>
        <w:spacing w:after="0" w:line="250" w:lineRule="auto"/>
        <w:tabs>
          <w:tab w:leader="none" w:pos="2368" w:val="left"/>
        </w:tabs>
        <w:numPr>
          <w:ilvl w:val="1"/>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refrain from acting or continuing to act in accordance with any instructions of the Majority Lenders to begin any legal action or proceeding arising out of or in connection with any Finance Document until it shall have received such indemnity or security from the Lenders as it may reasonably require (whether by payment in advance or otherwise) for all costs, claims, losses, expenses (including reasonable legal fees and expenses) and liabilities which it will or may expend or incur in complying or continuing to comply with such instructions;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nothing in this clause (vii) shall be deemed to obligate any Lender to provide any such indemnity or security; and</w:t>
      </w:r>
    </w:p>
    <w:p>
      <w:pPr>
        <w:spacing w:after="0" w:line="180" w:lineRule="exact"/>
        <w:rPr>
          <w:rFonts w:ascii="Times New Roman" w:cs="Times New Roman" w:eastAsia="Times New Roman" w:hAnsi="Times New Roman"/>
          <w:sz w:val="22"/>
          <w:szCs w:val="22"/>
          <w:color w:val="auto"/>
        </w:rPr>
      </w:pPr>
    </w:p>
    <w:p>
      <w:pPr>
        <w:jc w:val="both"/>
        <w:ind w:left="1112" w:firstLine="652"/>
        <w:spacing w:after="0" w:line="248" w:lineRule="auto"/>
        <w:tabs>
          <w:tab w:leader="none" w:pos="2593" w:val="left"/>
        </w:tabs>
        <w:numPr>
          <w:ilvl w:val="1"/>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seek instructions from the Majority Lenders as to the exercise of any of its rights, powers, authorities or discretions hereunder and in the event that it does so, it shall not be considered as having acted unreasonably when acting in accordance with such instructions or, in the absence of any (or any clear) instructions, when refraining from taking any action or exercising any right, power or discretion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actions requested or permitted to be taken by the Administrative Agent pursuant to the Finance Documents are, in the reasonable judgment of the Administrative Agent, of a routine or administrative nature, the Administrative Agent shall be permitted to take or decline to take such requested or contemplated action as it determines in the exercise of its discretion (consistent with the terms of the Finance Documents) without prior consultation with the Majority Lenders.</w:t>
      </w:r>
    </w:p>
    <w:p>
      <w:pPr>
        <w:spacing w:after="0" w:line="198" w:lineRule="exact"/>
        <w:rPr>
          <w:rFonts w:ascii="Times New Roman" w:cs="Times New Roman" w:eastAsia="Times New Roman" w:hAnsi="Times New Roman"/>
          <w:sz w:val="22"/>
          <w:szCs w:val="22"/>
          <w:color w:val="auto"/>
        </w:rPr>
      </w:pPr>
    </w:p>
    <w:p>
      <w:pPr>
        <w:ind w:left="1572" w:hanging="456"/>
        <w:spacing w:after="0"/>
        <w:tabs>
          <w:tab w:leader="none" w:pos="1572"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w:t>
      </w:r>
    </w:p>
    <w:p>
      <w:pPr>
        <w:spacing w:after="0" w:line="219" w:lineRule="exact"/>
        <w:rPr>
          <w:rFonts w:ascii="Times New Roman" w:cs="Times New Roman" w:eastAsia="Times New Roman" w:hAnsi="Times New Roman"/>
          <w:sz w:val="22"/>
          <w:szCs w:val="22"/>
          <w:color w:val="auto"/>
        </w:rPr>
      </w:pPr>
    </w:p>
    <w:p>
      <w:pPr>
        <w:jc w:val="both"/>
        <w:ind w:left="1112" w:firstLine="652"/>
        <w:spacing w:after="0" w:line="257" w:lineRule="auto"/>
        <w:tabs>
          <w:tab w:leader="none" w:pos="2404" w:val="left"/>
        </w:tabs>
        <w:numPr>
          <w:ilvl w:val="1"/>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deliver to the Lenders the non-administrative notices, certificates, reports, opinions, agreements and other documents which it receives under this Agreement and the other Finance Documents in its capacity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52" w:hanging="352"/>
        <w:spacing w:after="0"/>
        <w:tabs>
          <w:tab w:leader="none" w:pos="35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82" w:name="page283"/>
    <w:bookmarkEnd w:id="282"/>
    <w:p>
      <w:pPr>
        <w:ind w:left="1112" w:firstLine="652"/>
        <w:spacing w:after="0" w:line="271" w:lineRule="auto"/>
        <w:tabs>
          <w:tab w:leader="none" w:pos="2278" w:val="left"/>
        </w:tabs>
        <w:numPr>
          <w:ilvl w:val="1"/>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its duties in accordance with the Finance Documents and any instructions given to it by the Majority Lenders, which instructions shall be binding on all Lenders party hereto; and</w:t>
      </w:r>
    </w:p>
    <w:p>
      <w:pPr>
        <w:spacing w:after="0" w:line="157" w:lineRule="exact"/>
        <w:rPr>
          <w:rFonts w:ascii="Times New Roman" w:cs="Times New Roman" w:eastAsia="Times New Roman" w:hAnsi="Times New Roman"/>
          <w:sz w:val="22"/>
          <w:szCs w:val="22"/>
          <w:color w:val="auto"/>
        </w:rPr>
      </w:pPr>
    </w:p>
    <w:p>
      <w:pPr>
        <w:jc w:val="both"/>
        <w:ind w:left="1112" w:firstLine="652"/>
        <w:spacing w:after="0" w:line="263" w:lineRule="auto"/>
        <w:tabs>
          <w:tab w:leader="none" w:pos="2438" w:val="left"/>
        </w:tabs>
        <w:numPr>
          <w:ilvl w:val="1"/>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so instructed by the Majority Lenders, refrain from exercising any right, power, authority or discretion vested in it hereunder or under the other Finance Documents (other than rights arising under this </w:t>
      </w:r>
      <w:r>
        <w:rPr>
          <w:rFonts w:ascii="Times New Roman" w:cs="Times New Roman" w:eastAsia="Times New Roman" w:hAnsi="Times New Roman"/>
          <w:sz w:val="22"/>
          <w:szCs w:val="22"/>
          <w:u w:val="single" w:color="auto"/>
          <w:color w:val="auto"/>
        </w:rPr>
        <w:t>Section 11.3(b)(iii)</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472" w:firstLine="644"/>
        <w:spacing w:after="0" w:line="251" w:lineRule="auto"/>
        <w:tabs>
          <w:tab w:leader="none" w:pos="1587"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serving as the Administrative Agent hereunder or under any other Finance Document shall have the same rights and powers in its capacity as a Lender as any other Lender and may exercise the same as though it were not the Administrative Agent. Each such Person and its Affiliates may accept deposits from, lend money to, act as the financial advisor or in any other advisory capacity for and generally engage in any kind of business with the Borrower or Affiliates of the Borrower as if such Person were not the Administrative Agent hereunder and without any duty to account therefor to any Lender.</w:t>
      </w:r>
    </w:p>
    <w:p>
      <w:pPr>
        <w:spacing w:after="0" w:line="181" w:lineRule="exact"/>
        <w:rPr>
          <w:sz w:val="20"/>
          <w:szCs w:val="20"/>
          <w:color w:val="auto"/>
        </w:rPr>
      </w:pPr>
    </w:p>
    <w:p>
      <w:pPr>
        <w:ind w:left="472"/>
        <w:spacing w:after="0"/>
        <w:tabs>
          <w:tab w:leader="none" w:pos="1032"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u w:val="single" w:color="auto"/>
          <w:color w:val="auto"/>
        </w:rPr>
        <w:t>No Responsibility for Certain Conduct</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1572" w:hanging="456"/>
        <w:spacing w:after="0"/>
        <w:tabs>
          <w:tab w:leader="none" w:pos="1572"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expressed or implied herein, the Administrative Agent shall not</w:t>
      </w:r>
      <w:r>
        <w:rPr>
          <w:rFonts w:ascii="Times New Roman" w:cs="Times New Roman" w:eastAsia="Times New Roman" w:hAnsi="Times New Roman"/>
          <w:sz w:val="22"/>
          <w:szCs w:val="22"/>
          <w:i w:val="1"/>
          <w:iCs w:val="1"/>
          <w:color w:val="auto"/>
        </w:rPr>
        <w:t>:</w:t>
      </w:r>
    </w:p>
    <w:p>
      <w:pPr>
        <w:spacing w:after="0" w:line="223" w:lineRule="exact"/>
        <w:rPr>
          <w:rFonts w:ascii="Times New Roman" w:cs="Times New Roman" w:eastAsia="Times New Roman" w:hAnsi="Times New Roman"/>
          <w:sz w:val="22"/>
          <w:szCs w:val="22"/>
          <w:color w:val="auto"/>
        </w:rPr>
      </w:pPr>
    </w:p>
    <w:p>
      <w:pPr>
        <w:jc w:val="both"/>
        <w:ind w:left="1112" w:firstLine="652"/>
        <w:spacing w:after="0" w:line="255" w:lineRule="auto"/>
        <w:tabs>
          <w:tab w:leader="none" w:pos="2350"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bound to inquire as to (A) whether or not any representation made by any other Person in connection with any Finance Document is true, (B) the occurrence or otherwise of any Default or Event of Default, (C) the performance by any other Person of its obligations under any of the Finance Documents or</w:t>
      </w:r>
    </w:p>
    <w:p>
      <w:pPr>
        <w:ind w:left="111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any breach of or default by any other Person of its obligations under any of the Finance Documents;</w:t>
      </w:r>
    </w:p>
    <w:p>
      <w:pPr>
        <w:spacing w:after="0" w:line="195" w:lineRule="exact"/>
        <w:rPr>
          <w:rFonts w:ascii="Times New Roman" w:cs="Times New Roman" w:eastAsia="Times New Roman" w:hAnsi="Times New Roman"/>
          <w:sz w:val="22"/>
          <w:szCs w:val="22"/>
          <w:color w:val="auto"/>
        </w:rPr>
      </w:pPr>
    </w:p>
    <w:p>
      <w:pPr>
        <w:ind w:left="1112" w:firstLine="652"/>
        <w:spacing w:after="0" w:line="271" w:lineRule="auto"/>
        <w:tabs>
          <w:tab w:leader="none" w:pos="2257"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bound to account to any Person for any sum or the profit element of any sum received by it for its own account except as provided in this Agreement;</w:t>
      </w:r>
    </w:p>
    <w:p>
      <w:pPr>
        <w:spacing w:after="0" w:line="171" w:lineRule="exact"/>
        <w:rPr>
          <w:rFonts w:ascii="Times New Roman" w:cs="Times New Roman" w:eastAsia="Times New Roman" w:hAnsi="Times New Roman"/>
          <w:sz w:val="22"/>
          <w:szCs w:val="22"/>
          <w:color w:val="auto"/>
        </w:rPr>
      </w:pPr>
    </w:p>
    <w:p>
      <w:pPr>
        <w:jc w:val="both"/>
        <w:ind w:left="1112" w:firstLine="652"/>
        <w:spacing w:after="0" w:line="257" w:lineRule="auto"/>
        <w:tabs>
          <w:tab w:leader="none" w:pos="2300"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bound to disclose to any Person any information relating to the P1 Project or to any Person if such disclosure would or might in its opinion, constitute a breach of any applicable Government Rule or be otherwise actionable at the suit of any Person; or</w:t>
      </w:r>
    </w:p>
    <w:p>
      <w:pPr>
        <w:spacing w:after="0" w:line="172" w:lineRule="exact"/>
        <w:rPr>
          <w:rFonts w:ascii="Times New Roman" w:cs="Times New Roman" w:eastAsia="Times New Roman" w:hAnsi="Times New Roman"/>
          <w:sz w:val="22"/>
          <w:szCs w:val="22"/>
          <w:color w:val="auto"/>
        </w:rPr>
      </w:pPr>
    </w:p>
    <w:p>
      <w:pPr>
        <w:ind w:left="2292" w:hanging="528"/>
        <w:spacing w:after="0"/>
        <w:tabs>
          <w:tab w:leader="none" w:pos="2292"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under any fiduciary duties or obligation.</w:t>
      </w:r>
    </w:p>
    <w:p>
      <w:pPr>
        <w:spacing w:after="0" w:line="219" w:lineRule="exact"/>
        <w:rPr>
          <w:rFonts w:ascii="Times New Roman" w:cs="Times New Roman" w:eastAsia="Times New Roman" w:hAnsi="Times New Roman"/>
          <w:sz w:val="22"/>
          <w:szCs w:val="22"/>
          <w:color w:val="auto"/>
        </w:rPr>
      </w:pPr>
    </w:p>
    <w:p>
      <w:pPr>
        <w:jc w:val="both"/>
        <w:ind w:left="472" w:firstLine="644"/>
        <w:spacing w:after="0" w:line="253" w:lineRule="auto"/>
        <w:tabs>
          <w:tab w:leader="none" w:pos="1629"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no responsibility for the accuracy or completeness of any information supplied by any Person in connection with the P1 Project or for the legality, validity, effectiveness, adequacy or enforceability of any Finance Document or any other document referred to herein or provided for herein or therein or for any recitals, statements, representations or warranties made by any Loan Party or any other Person contained in this Agreement or any other Finance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2" w:hanging="352"/>
        <w:spacing w:after="0"/>
        <w:tabs>
          <w:tab w:leader="none" w:pos="352"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83" w:name="page284"/>
    <w:bookmarkEnd w:id="283"/>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in any certificate or other document referred to or provided for in or received by the Administrative Agent, hereunder or thereunder. The Administrative Agent shall not be liable as a result of any failure by any Loan Party or its Affiliates or any Person party hereto or to any other Finance Document to perform their respective obligations hereunder or under any other Finance Document or any document referred to or provided for herein or therein or as a result of taking or omitting to take any action hereunder or in relation to any Finance Document, except to the extent of the Administrative Agent’s gross negligence, fraud or willful misconduct.</w:t>
      </w:r>
    </w:p>
    <w:p>
      <w:pPr>
        <w:spacing w:after="0" w:line="181" w:lineRule="exact"/>
        <w:rPr>
          <w:sz w:val="20"/>
          <w:szCs w:val="20"/>
          <w:color w:val="auto"/>
        </w:rPr>
      </w:pPr>
    </w:p>
    <w:p>
      <w:pPr>
        <w:jc w:val="both"/>
        <w:ind w:left="660" w:firstLine="644"/>
        <w:spacing w:after="0" w:line="253" w:lineRule="auto"/>
        <w:tabs>
          <w:tab w:leader="none" w:pos="1845"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and agreed by each Lender (for itself and any Person claiming through it) that, except as expressly set forth herein, it has itself been and will continue to be, solely responsible for making its own independent appraisal of and investigations into, the financial condition, creditworthiness, condition, affairs, status and nature of each Person and, accordingly, each such Lender warrants to the Administrative Agent that it has not relied on and will not hereafter rely on the Administrative Agent:</w:t>
      </w:r>
    </w:p>
    <w:p>
      <w:pPr>
        <w:spacing w:after="0" w:line="178" w:lineRule="exact"/>
        <w:rPr>
          <w:rFonts w:ascii="Times New Roman" w:cs="Times New Roman" w:eastAsia="Times New Roman" w:hAnsi="Times New Roman"/>
          <w:sz w:val="22"/>
          <w:szCs w:val="22"/>
          <w:color w:val="auto"/>
        </w:rPr>
      </w:pPr>
    </w:p>
    <w:p>
      <w:pPr>
        <w:ind w:left="1300" w:firstLine="652"/>
        <w:spacing w:after="0" w:line="271" w:lineRule="auto"/>
        <w:tabs>
          <w:tab w:leader="none" w:pos="2598" w:val="left"/>
        </w:tabs>
        <w:numPr>
          <w:ilvl w:val="1"/>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its decision to enter into this Agreement or any other Finance Document or any amendment, waiver or other modification hereto or thereto;</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30" w:val="left"/>
        </w:tabs>
        <w:numPr>
          <w:ilvl w:val="1"/>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check or inquire on its behalf into the adequacy, accuracy or completeness or any information provided by any Person in connection with any of the Finance Documents or the transactions therein contemplated (whether or not such information has been or is hereafter circulated to such Person by the Administrative Agent); or</w:t>
      </w:r>
    </w:p>
    <w:p>
      <w:pPr>
        <w:spacing w:after="0" w:line="176" w:lineRule="exact"/>
        <w:rPr>
          <w:rFonts w:ascii="Times New Roman" w:cs="Times New Roman" w:eastAsia="Times New Roman" w:hAnsi="Times New Roman"/>
          <w:sz w:val="22"/>
          <w:szCs w:val="22"/>
          <w:color w:val="auto"/>
        </w:rPr>
      </w:pPr>
    </w:p>
    <w:p>
      <w:pPr>
        <w:ind w:left="1300" w:firstLine="652"/>
        <w:spacing w:after="0" w:line="271" w:lineRule="auto"/>
        <w:tabs>
          <w:tab w:leader="none" w:pos="2599" w:val="left"/>
        </w:tabs>
        <w:numPr>
          <w:ilvl w:val="1"/>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assess or keep under review on its behalf the financial condition, creditworthiness, condition, affairs, status or nature of any Person.</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44"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Defaults</w:t>
      </w:r>
      <w:r>
        <w:rPr>
          <w:rFonts w:ascii="Times New Roman" w:cs="Times New Roman" w:eastAsia="Times New Roman" w:hAnsi="Times New Roman"/>
          <w:sz w:val="22"/>
          <w:szCs w:val="22"/>
          <w:color w:val="auto"/>
        </w:rPr>
        <w:t>. The Administrative Agent shall not be deemed to have knowledge or notice of the occurrence of any Default or Event of Default unless the Administrative Agent has actual knowledge of such Default or Event of Default or has received a notice from a Lender, referring to this Agreement, describing such Default or Event of Default and stating that such notice is a “Notice of Default.” If the Administrative Agent has received notice from a Person describing a Default or Event of Default or receives such a “Notice of Default,” the Administrative Agent shall give prompt notice thereof to each other Agent. The Administrative Agent shall take such action with respect to such Default or Event of Default as is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hanging="352"/>
        <w:spacing w:after="0"/>
        <w:tabs>
          <w:tab w:leader="none" w:pos="5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84" w:name="page285"/>
    <w:bookmarkEnd w:id="284"/>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unless and until the Administrative Agent shall have received such directions, it may (but shall not be obligated to) take such action or refrain from taking such action, with respect to such Default or Event of Default as it shall deem advisable and in the best interest of the Lenders.</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No Liability</w:t>
      </w:r>
      <w:r>
        <w:rPr>
          <w:rFonts w:ascii="Times New Roman" w:cs="Times New Roman" w:eastAsia="Times New Roman" w:hAnsi="Times New Roman"/>
          <w:sz w:val="22"/>
          <w:szCs w:val="22"/>
          <w:color w:val="auto"/>
        </w:rPr>
        <w:t>. Neither the Administrative Agent nor any of its officers, directors, employees or agents shall be liable to any Person for any action taken or omitted under this Agreement or under the other Finance Documents or in connection therewith, except to the extent caused by the gross negligence, fraud or willful misconduct of Administrative Agent, as determined by a court of competent jurisdiction. The Lenders party hereto each (for itself and any Person claiming through it) hereby releases, waives, discharges and exculpates the Administrative Agent for any action taken or omitted under this Agreement or under the other Finance Documents or in connection therewith, except to the extent caused by the gross negligence, fraud or willful misconduct of the Administrative Agent as determined by a court of competent jurisdiction. The Administrative Agent will not be liable for any delay (or any related consequences) in crediting an account with an amount required under any Finance Document to be paid by the Administrative Agent if the Administrative Agent has taken all necessary steps as soon as reasonably practicable to comply with the regulations or operating procedures of any recognized clearing or settlement system used by the Administrative Agent for that purpose.</w:t>
      </w:r>
    </w:p>
    <w:p>
      <w:pPr>
        <w:spacing w:after="0" w:line="20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Indemnification of Agent by Borrower</w:t>
      </w:r>
      <w:r>
        <w:rPr>
          <w:rFonts w:ascii="Times New Roman" w:cs="Times New Roman" w:eastAsia="Times New Roman" w:hAnsi="Times New Roman"/>
          <w:sz w:val="22"/>
          <w:szCs w:val="22"/>
          <w:color w:val="auto"/>
        </w:rPr>
        <w:t>. The Borrower shall indemnify each Agent and each of their respective affiliates, permitted successors and permitted assigns and the officers, directors, employees, agents, advisors, controlling Persons, representatives and members of each of the foregoing (each, an “</w:t>
      </w:r>
      <w:r>
        <w:rPr>
          <w:rFonts w:ascii="Times New Roman" w:cs="Times New Roman" w:eastAsia="Times New Roman" w:hAnsi="Times New Roman"/>
          <w:sz w:val="22"/>
          <w:szCs w:val="22"/>
          <w:u w:val="single" w:color="auto"/>
          <w:color w:val="auto"/>
        </w:rPr>
        <w:t>Agent Indemnitee</w:t>
      </w:r>
      <w:r>
        <w:rPr>
          <w:rFonts w:ascii="Times New Roman" w:cs="Times New Roman" w:eastAsia="Times New Roman" w:hAnsi="Times New Roman"/>
          <w:sz w:val="22"/>
          <w:szCs w:val="22"/>
          <w:color w:val="auto"/>
        </w:rPr>
        <w:t>”) from and hold each of them harmless against, any and all liabilities (including removal and remedial actions), obligations, losses, damages, penalties, claims, actions, judgments, suits, costs, expenses and disbursements (including reasonable attorneys’ and consultants’ fees and disbursements) (“</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imposed on or asserted against any such Persons based on or arising or resulting from any of the transactions contemplated by this Agreement and the other Finance Documents (including the enforcement of the Guaranty), except to the extent such Indemnified Liabilities are determined pursuant to a final, non-appealable judgment by a court of competent jurisdiction to have resulted from the gross negligence or willful misconduct of an Agent Indemnitee. The Borrower shall indemnify each Agent against any Indemnified Liability incurred by such Agent as a result of investigating any event which it reasonably believes is a Default or Event of Default or acting or relying on any notice, request or instruction of the Borrower. Without limitation of the foregoing, the Borrower shall reimburse the Agents promptly upon demand for its share of any out-of-pocket expenses (including legal fees and expenses and any transaction-related expenses relating to the maintenance of an IntraLinks (or equivalent) website) incurred by it in connection with the preparation, execution, administration, amendment, waiver, modification and enforcement of or legal advice in respect of rights or responsibilities under, the Finance Documents. The provisions of this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shall survive the rescission or termination of this Agreement and the other Finance Documents. This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shall not apply with respect to Taxes other than Taxes that represent losses, claims, damages etc.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0" w:hanging="352"/>
        <w:spacing w:after="0"/>
        <w:tabs>
          <w:tab w:leader="none" w:pos="54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85" w:name="page286"/>
    <w:bookmarkEnd w:id="285"/>
    <w:p>
      <w:pPr>
        <w:ind w:left="472"/>
        <w:spacing w:after="0"/>
        <w:tabs>
          <w:tab w:leader="none" w:pos="1032"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u w:val="single" w:color="auto"/>
          <w:color w:val="auto"/>
        </w:rPr>
        <w:t>Resignation and Removal</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472" w:firstLine="644"/>
        <w:spacing w:after="0" w:line="271" w:lineRule="auto"/>
        <w:tabs>
          <w:tab w:leader="none" w:pos="1603"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the Administrative Agent may resign its appointment hereunder at any time without providing any reason therefor by giving prior written notice to that effect to each of the other parties hereto.</w:t>
      </w:r>
    </w:p>
    <w:p>
      <w:pPr>
        <w:spacing w:after="0" w:line="171" w:lineRule="exact"/>
        <w:rPr>
          <w:rFonts w:ascii="Times New Roman" w:cs="Times New Roman" w:eastAsia="Times New Roman" w:hAnsi="Times New Roman"/>
          <w:sz w:val="22"/>
          <w:szCs w:val="22"/>
          <w:color w:val="auto"/>
        </w:rPr>
      </w:pPr>
    </w:p>
    <w:p>
      <w:pPr>
        <w:jc w:val="both"/>
        <w:ind w:left="472" w:firstLine="644"/>
        <w:spacing w:after="0" w:line="257" w:lineRule="auto"/>
        <w:tabs>
          <w:tab w:leader="none" w:pos="1651"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the Majority Lenders may remove the Administrative Agent from its appointment hereunder with or without cause by giving prior written notice to that effect to the Administrative Agent and the Borrower.</w:t>
      </w:r>
    </w:p>
    <w:p>
      <w:pPr>
        <w:spacing w:after="0" w:line="173" w:lineRule="exact"/>
        <w:rPr>
          <w:sz w:val="20"/>
          <w:szCs w:val="20"/>
          <w:color w:val="auto"/>
        </w:rPr>
      </w:pPr>
    </w:p>
    <w:p>
      <w:pPr>
        <w:ind w:left="472"/>
        <w:spacing w:after="0"/>
        <w:tabs>
          <w:tab w:leader="none" w:pos="1032"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u w:val="single" w:color="auto"/>
          <w:color w:val="auto"/>
        </w:rPr>
        <w:t>Successor Administrative Agent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572" w:hanging="456"/>
        <w:spacing w:after="0"/>
        <w:tabs>
          <w:tab w:leader="none" w:pos="1572"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resignation or removal pursuant to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 xml:space="preserve"> shall be effective until:</w:t>
      </w:r>
    </w:p>
    <w:p>
      <w:pPr>
        <w:spacing w:after="0" w:line="233" w:lineRule="exact"/>
        <w:rPr>
          <w:rFonts w:ascii="Times New Roman" w:cs="Times New Roman" w:eastAsia="Times New Roman" w:hAnsi="Times New Roman"/>
          <w:sz w:val="22"/>
          <w:szCs w:val="22"/>
          <w:color w:val="auto"/>
        </w:rPr>
      </w:pPr>
    </w:p>
    <w:p>
      <w:pPr>
        <w:ind w:left="1112" w:firstLine="652"/>
        <w:spacing w:after="0" w:line="271" w:lineRule="auto"/>
        <w:tabs>
          <w:tab w:leader="none" w:pos="2363"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successor for the Administrative Agent is appointed in accordance with (and subject to) the provisions of this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1112" w:firstLine="652"/>
        <w:spacing w:after="0" w:line="257" w:lineRule="auto"/>
        <w:tabs>
          <w:tab w:leader="none" w:pos="2311"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resigning or removed Administrative Agent has transferred to its successor all of its rights and obligations in its capacity as an Administrative Agent under this Agreement and the other Finance Documents; and</w:t>
      </w:r>
    </w:p>
    <w:p>
      <w:pPr>
        <w:spacing w:after="0" w:line="172" w:lineRule="exact"/>
        <w:rPr>
          <w:rFonts w:ascii="Times New Roman" w:cs="Times New Roman" w:eastAsia="Times New Roman" w:hAnsi="Times New Roman"/>
          <w:sz w:val="22"/>
          <w:szCs w:val="22"/>
          <w:color w:val="auto"/>
        </w:rPr>
      </w:pPr>
    </w:p>
    <w:p>
      <w:pPr>
        <w:jc w:val="both"/>
        <w:ind w:left="1112" w:firstLine="652"/>
        <w:spacing w:after="0" w:line="263" w:lineRule="auto"/>
        <w:tabs>
          <w:tab w:leader="none" w:pos="2390"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Administrative Agent has executed and delivered an agreement to be bound by the terms of this Agreement and the other Finance Documents and to perform all duties required of the Administrative Agent hereunder and under the other Finance Documents.</w:t>
      </w:r>
    </w:p>
    <w:p>
      <w:pPr>
        <w:spacing w:after="0" w:line="167" w:lineRule="exact"/>
        <w:rPr>
          <w:rFonts w:ascii="Times New Roman" w:cs="Times New Roman" w:eastAsia="Times New Roman" w:hAnsi="Times New Roman"/>
          <w:sz w:val="22"/>
          <w:szCs w:val="22"/>
          <w:color w:val="auto"/>
        </w:rPr>
      </w:pPr>
    </w:p>
    <w:p>
      <w:pPr>
        <w:jc w:val="both"/>
        <w:ind w:left="472" w:firstLine="644"/>
        <w:spacing w:after="0" w:line="248" w:lineRule="auto"/>
        <w:tabs>
          <w:tab w:leader="none" w:pos="1622"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Administrative Agent has given notice of its resignation pursuant to </w:t>
      </w:r>
      <w:r>
        <w:rPr>
          <w:rFonts w:ascii="Times New Roman" w:cs="Times New Roman" w:eastAsia="Times New Roman" w:hAnsi="Times New Roman"/>
          <w:sz w:val="22"/>
          <w:szCs w:val="22"/>
          <w:u w:val="single" w:color="auto"/>
          <w:color w:val="auto"/>
        </w:rPr>
        <w:t>Section 11.8(a)</w:t>
      </w:r>
      <w:r>
        <w:rPr>
          <w:rFonts w:ascii="Times New Roman" w:cs="Times New Roman" w:eastAsia="Times New Roman" w:hAnsi="Times New Roman"/>
          <w:sz w:val="22"/>
          <w:szCs w:val="22"/>
          <w:color w:val="auto"/>
        </w:rPr>
        <w:t xml:space="preserve"> or if the Majority Lenders give the Administrative Agent notice of removal thereof pursuant to </w:t>
      </w:r>
      <w:r>
        <w:rPr>
          <w:rFonts w:ascii="Times New Roman" w:cs="Times New Roman" w:eastAsia="Times New Roman" w:hAnsi="Times New Roman"/>
          <w:sz w:val="22"/>
          <w:szCs w:val="22"/>
          <w:u w:val="single" w:color="auto"/>
          <w:color w:val="auto"/>
        </w:rPr>
        <w:t>Section 11.8(b)</w:t>
      </w:r>
      <w:r>
        <w:rPr>
          <w:rFonts w:ascii="Times New Roman" w:cs="Times New Roman" w:eastAsia="Times New Roman" w:hAnsi="Times New Roman"/>
          <w:sz w:val="22"/>
          <w:szCs w:val="22"/>
          <w:color w:val="auto"/>
        </w:rPr>
        <w:t xml:space="preserve">, then a successor to the Administrative Agent may be appointed by the Majority Lenders (and, unless a Default or Event of Default has occurred and is continuing, with the written consent of the Borrower, which consent shall not unreasonably be withheld or delayed) during a ninety day period beginning on the date of such notice but, if no such successor is so appointed within ninety days after the above notice, the resigning or removed Administrative Agent may appoint such a successor. If a resigning or removed Administrative Agent appoints a successor, such successor shall (i) be authorized under all applicable Government Rules to exercise corporate trust powers, (ii) have a combined capital and surplus of at least $500,000,000, and (iii) be acceptable to the Majority Lenders (and, unless a Default or Event of Default has occurred and is continuing, the Borrower, approval by which shall not unreasonably be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Majority Lenders and the Borrower, if applicable, do not confirm such acceptance in writing within thirty days following selection of such a successor by the resigning or removed Administrative Agent or otherwise appoint a successor within such thirty day period, then the Majority Lenders and the Borrower, as the case may be, shall be deemed to have given such acceptance and such successor shall be deemed appointed as the successor to such resigning or removed Administrative Agent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2" w:hanging="352"/>
        <w:spacing w:after="0"/>
        <w:tabs>
          <w:tab w:leader="none" w:pos="352"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86" w:name="page287"/>
    <w:bookmarkEnd w:id="286"/>
    <w:p>
      <w:pPr>
        <w:ind w:left="1760" w:hanging="456"/>
        <w:spacing w:after="0"/>
        <w:tabs>
          <w:tab w:leader="none" w:pos="1760"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successor to the Administrative Agent is appointed under the provisions of this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then:</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408"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predecessor Administrative Agent shall be discharged from any further obligation hereunder (but without prejudice to any accrued liabilities);</w:t>
      </w:r>
    </w:p>
    <w:p>
      <w:pPr>
        <w:spacing w:after="0" w:line="171"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455"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resignation pursuant to </w:t>
      </w:r>
      <w:r>
        <w:rPr>
          <w:rFonts w:ascii="Times New Roman" w:cs="Times New Roman" w:eastAsia="Times New Roman" w:hAnsi="Times New Roman"/>
          <w:sz w:val="22"/>
          <w:szCs w:val="22"/>
          <w:u w:val="single" w:color="auto"/>
          <w:color w:val="auto"/>
        </w:rPr>
        <w:t>Section 11.8(a)</w:t>
      </w:r>
      <w:r>
        <w:rPr>
          <w:rFonts w:ascii="Times New Roman" w:cs="Times New Roman" w:eastAsia="Times New Roman" w:hAnsi="Times New Roman"/>
          <w:sz w:val="22"/>
          <w:szCs w:val="22"/>
          <w:color w:val="auto"/>
        </w:rPr>
        <w:t xml:space="preserve"> or removal pursuant to </w:t>
      </w:r>
      <w:r>
        <w:rPr>
          <w:rFonts w:ascii="Times New Roman" w:cs="Times New Roman" w:eastAsia="Times New Roman" w:hAnsi="Times New Roman"/>
          <w:sz w:val="22"/>
          <w:szCs w:val="22"/>
          <w:u w:val="single" w:color="auto"/>
          <w:color w:val="auto"/>
        </w:rPr>
        <w:t>Section 11.8(b)</w:t>
      </w:r>
      <w:r>
        <w:rPr>
          <w:rFonts w:ascii="Times New Roman" w:cs="Times New Roman" w:eastAsia="Times New Roman" w:hAnsi="Times New Roman"/>
          <w:sz w:val="22"/>
          <w:szCs w:val="22"/>
          <w:color w:val="auto"/>
        </w:rPr>
        <w:t xml:space="preserve"> of the predecessor Administrative Agent notwithstanding, the provisions of this Agreement shall inure to the predecessor Administrative Agent’s benefit as to any actions taken or omitted to be taken by it under this Agreement and the other Finance Documents while it was Administrative Agent;</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550"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Administrative Agent and each of the other parties hereto shall have the same rights and obligations amongst themselves as they would have had if such successor Administrative Agent had been a party hereto beginning on the date of this Agreement; and</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59"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predecessor Administrative Agent shall make available to the successor Administrative Agent such documents and records and provide such assistance as the successor Administrative Agent may reasonably request for the purposes of performing its functions as Administrative Agent under the Finance Documents.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The Administrative Agent is hereby authorized by the Lenders party hereto to execute, deliver and perform each of the Finance Documents to which the Administrative Agent is or is intended to be a party.</w:t>
      </w:r>
    </w:p>
    <w:p>
      <w:pPr>
        <w:spacing w:after="0" w:line="14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u w:val="single" w:color="auto"/>
          <w:color w:val="auto"/>
        </w:rPr>
        <w:t>Administrative Agent as Lender</w:t>
      </w:r>
      <w:r>
        <w:rPr>
          <w:rFonts w:ascii="Times New Roman" w:cs="Times New Roman" w:eastAsia="Times New Roman" w:hAnsi="Times New Roman"/>
          <w:sz w:val="22"/>
          <w:szCs w:val="22"/>
          <w:color w:val="auto"/>
        </w:rPr>
        <w:t>. With respect to its Commitments and the Loans made by it, any Person serving as Administrative Agent hereunder shall have the same rights and powers under the Finance Documents as any other Lender and may exercise the same as though it were not the Administrative Agent. The term “Lender,” or “Secured Party,” when used with respect to the Administrative Agent, shall unless otherwise expressly indicated, include the Administrative Agent in its individual capacity. The Administrative Agent and its Affiliates may accept deposits from, lend money to, act as trustee under indentures of, act as financial advisor or in any other advisory capacity for and generally engage in any kind of business with, any Person as if the Administrative Agent were not the Administrative Agent hereunder, without any duty to account therefor to the Lenders, Lenders or Secured Parties.</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11.12 </w:t>
      </w:r>
      <w:r>
        <w:rPr>
          <w:rFonts w:ascii="Times New Roman" w:cs="Times New Roman" w:eastAsia="Times New Roman" w:hAnsi="Times New Roman"/>
          <w:sz w:val="22"/>
          <w:szCs w:val="22"/>
          <w:u w:val="single" w:color="auto"/>
          <w:color w:val="auto"/>
        </w:rPr>
        <w:t>Reliance by Administrative Agent</w:t>
      </w:r>
      <w:r>
        <w:rPr>
          <w:rFonts w:ascii="Times New Roman" w:cs="Times New Roman" w:eastAsia="Times New Roman" w:hAnsi="Times New Roman"/>
          <w:sz w:val="22"/>
          <w:szCs w:val="22"/>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hanging="35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87" w:name="page288"/>
    <w:bookmarkEnd w:id="287"/>
    <w:p>
      <w:pPr>
        <w:jc w:val="both"/>
        <w:spacing w:after="0" w:line="253" w:lineRule="auto"/>
        <w:rPr>
          <w:sz w:val="20"/>
          <w:szCs w:val="20"/>
          <w:color w:val="auto"/>
        </w:rPr>
      </w:pPr>
      <w:r>
        <w:rPr>
          <w:rFonts w:ascii="Times New Roman" w:cs="Times New Roman" w:eastAsia="Times New Roman" w:hAnsi="Times New Roman"/>
          <w:sz w:val="22"/>
          <w:szCs w:val="22"/>
          <w:color w:val="auto"/>
        </w:rPr>
        <w:t>must be fulfilled to the satisfaction of any Lender, the Administrative Agent may presume that such condition is satisfactory to such Lender unless the Administrative Agent has received notice to the contrary from such Lender prior to the making of such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11.13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xml:space="preserve">. The Administrative Agent may perform any and all of its duties and exercise any and all its rights and powers hereunder or under any other Finance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shall apply to any such sub-agent and to the Related Parties of the Administrative Agent, and shall apply to all of their respective activities in connection with their acting as or for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or supervision of such sub-agents.</w:t>
      </w:r>
    </w:p>
    <w:p>
      <w:pPr>
        <w:spacing w:after="0" w:line="19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11.14</w:t>
      </w:r>
      <w:r>
        <w:rPr>
          <w:sz w:val="20"/>
          <w:szCs w:val="20"/>
          <w:color w:val="auto"/>
        </w:rPr>
        <w:tab/>
      </w:r>
      <w:r>
        <w:rPr>
          <w:rFonts w:ascii="Times New Roman" w:cs="Times New Roman" w:eastAsia="Times New Roman" w:hAnsi="Times New Roman"/>
          <w:sz w:val="21"/>
          <w:szCs w:val="21"/>
          <w:u w:val="single" w:color="auto"/>
          <w:color w:val="auto"/>
        </w:rPr>
        <w:t>Erroneous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9" w:lineRule="auto"/>
        <w:tabs>
          <w:tab w:leader="none" w:pos="1775"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(i)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21"/>
          <w:szCs w:val="21"/>
          <w:u w:val="single" w:color="auto"/>
          <w:color w:val="auto"/>
        </w:rPr>
        <w:t>Payment Recipient</w:t>
      </w:r>
      <w:r>
        <w:rPr>
          <w:rFonts w:ascii="Times New Roman" w:cs="Times New Roman" w:eastAsia="Times New Roman" w:hAnsi="Times New Roman"/>
          <w:sz w:val="21"/>
          <w:szCs w:val="21"/>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 and (ii) demands in writing the return of such Erroneous Payment (or a portion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limiting any other rights or remedies (whether at law or in equity), the Administrative Agent may not make any such demand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with respect to an Erroneous Payment unless such demand is made within five Business Days of the date of receipt of such Erroneous Payment by the applicable Payment Recipient), such Erroneous Payment shall at all times remain the property of the Administrative Agent pending its return or repayment as contemplated below in this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xml:space="preserve">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0" w:hanging="352"/>
        <w:spacing w:after="0"/>
        <w:tabs>
          <w:tab w:leader="none" w:pos="5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88" w:name="page289"/>
    <w:bookmarkEnd w:id="288"/>
    <w:p>
      <w:pPr>
        <w:jc w:val="both"/>
        <w:ind w:left="472"/>
        <w:spacing w:after="0" w:line="250" w:lineRule="auto"/>
        <w:rPr>
          <w:sz w:val="20"/>
          <w:szCs w:val="20"/>
          <w:color w:val="auto"/>
        </w:rPr>
      </w:pPr>
      <w:r>
        <w:rPr>
          <w:rFonts w:ascii="Times New Roman" w:cs="Times New Roman" w:eastAsia="Times New Roman" w:hAnsi="Times New Roman"/>
          <w:sz w:val="22"/>
          <w:szCs w:val="22"/>
          <w:color w:val="auto"/>
        </w:rPr>
        <w:t xml:space="preserve">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conclusive, absent manifest error.</w:t>
      </w:r>
    </w:p>
    <w:p>
      <w:pPr>
        <w:spacing w:after="0" w:line="180" w:lineRule="exact"/>
        <w:rPr>
          <w:sz w:val="20"/>
          <w:szCs w:val="20"/>
          <w:color w:val="auto"/>
        </w:rPr>
      </w:pPr>
    </w:p>
    <w:p>
      <w:pPr>
        <w:jc w:val="both"/>
        <w:ind w:left="472" w:firstLine="644"/>
        <w:spacing w:after="0" w:line="250" w:lineRule="auto"/>
        <w:tabs>
          <w:tab w:leader="none" w:pos="1651"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179" w:lineRule="exact"/>
        <w:rPr>
          <w:rFonts w:ascii="Times New Roman" w:cs="Times New Roman" w:eastAsia="Times New Roman" w:hAnsi="Times New Roman"/>
          <w:sz w:val="22"/>
          <w:szCs w:val="22"/>
          <w:color w:val="auto"/>
        </w:rPr>
      </w:pPr>
    </w:p>
    <w:p>
      <w:pPr>
        <w:jc w:val="both"/>
        <w:ind w:left="1112" w:firstLine="652"/>
        <w:spacing w:after="0" w:line="256" w:lineRule="auto"/>
        <w:tabs>
          <w:tab w:leader="none" w:pos="2220" w:val="left"/>
        </w:tabs>
        <w:numPr>
          <w:ilvl w:val="1"/>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acknowledges and agrees that (A) in the case of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 error and mistake shall be presumed to have been made (absent written confirmation from the Administrative Agent to the contrary) or (B) an error and mistake has been made (in the case of immediately preceding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in each case, with respect to such payment, prepayment or repayment; and</w:t>
      </w:r>
    </w:p>
    <w:p>
      <w:pPr>
        <w:spacing w:after="0" w:line="176" w:lineRule="exact"/>
        <w:rPr>
          <w:rFonts w:ascii="Times New Roman" w:cs="Times New Roman" w:eastAsia="Times New Roman" w:hAnsi="Times New Roman"/>
          <w:sz w:val="22"/>
          <w:szCs w:val="22"/>
          <w:color w:val="auto"/>
        </w:rPr>
      </w:pPr>
    </w:p>
    <w:p>
      <w:pPr>
        <w:jc w:val="both"/>
        <w:ind w:left="1112" w:firstLine="652"/>
        <w:spacing w:after="0" w:line="251" w:lineRule="auto"/>
        <w:tabs>
          <w:tab w:leader="none" w:pos="2345" w:val="left"/>
        </w:tabs>
        <w:numPr>
          <w:ilvl w:val="1"/>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2"/>
          <w:szCs w:val="22"/>
          <w:u w:val="single" w:color="auto"/>
          <w:color w:val="auto"/>
        </w:rPr>
        <w:t>Section 11.14(a)</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472"/>
        <w:spacing w:after="0" w:line="257" w:lineRule="auto"/>
        <w:rPr>
          <w:sz w:val="20"/>
          <w:szCs w:val="20"/>
          <w:color w:val="auto"/>
        </w:rPr>
      </w:pPr>
      <w:r>
        <w:rPr>
          <w:rFonts w:ascii="Times New Roman" w:cs="Times New Roman" w:eastAsia="Times New Roman" w:hAnsi="Times New Roman"/>
          <w:sz w:val="22"/>
          <w:szCs w:val="22"/>
          <w:color w:val="auto"/>
        </w:rPr>
        <w:t xml:space="preserve">For the avoidance of doubt, the failure to deliver a notice to the Administrative Agent pursuant to this </w:t>
      </w:r>
      <w:r>
        <w:rPr>
          <w:rFonts w:ascii="Times New Roman" w:cs="Times New Roman" w:eastAsia="Times New Roman" w:hAnsi="Times New Roman"/>
          <w:sz w:val="22"/>
          <w:szCs w:val="22"/>
          <w:u w:val="single" w:color="auto"/>
          <w:color w:val="auto"/>
        </w:rPr>
        <w:t>Section 11.14(b)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Erroneous Payments</w:t>
      </w:r>
      <w:r>
        <w:rPr>
          <w:rFonts w:ascii="Times New Roman" w:cs="Times New Roman" w:eastAsia="Times New Roman" w:hAnsi="Times New Roman"/>
          <w:sz w:val="22"/>
          <w:szCs w:val="22"/>
          <w:color w:val="auto"/>
        </w:rPr>
        <w:t xml:space="preserve">) shall not have any effect on a Payment Recipient’s obligations pursuant to </w:t>
      </w:r>
      <w:r>
        <w:rPr>
          <w:rFonts w:ascii="Times New Roman" w:cs="Times New Roman" w:eastAsia="Times New Roman" w:hAnsi="Times New Roman"/>
          <w:sz w:val="22"/>
          <w:szCs w:val="22"/>
          <w:u w:val="single" w:color="auto"/>
          <w:color w:val="auto"/>
        </w:rPr>
        <w:t>Section 11.14(a)</w:t>
      </w:r>
      <w:r>
        <w:rPr>
          <w:rFonts w:ascii="Times New Roman" w:cs="Times New Roman" w:eastAsia="Times New Roman" w:hAnsi="Times New Roman"/>
          <w:sz w:val="22"/>
          <w:szCs w:val="22"/>
          <w:color w:val="auto"/>
        </w:rPr>
        <w:t xml:space="preserve"> or on whether or not an Erroneous Payment has been made.</w:t>
      </w:r>
    </w:p>
    <w:p>
      <w:pPr>
        <w:spacing w:after="0" w:line="173" w:lineRule="exact"/>
        <w:rPr>
          <w:sz w:val="20"/>
          <w:szCs w:val="20"/>
          <w:color w:val="auto"/>
        </w:rPr>
      </w:pPr>
    </w:p>
    <w:p>
      <w:pPr>
        <w:ind w:left="472" w:firstLine="644"/>
        <w:spacing w:after="0" w:line="284" w:lineRule="auto"/>
        <w:tabs>
          <w:tab w:leader="none" w:pos="1593"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authorizes the Administrative Agent to set off, net and apply any and all amounts at any time owing to such Lender under any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2" w:hanging="352"/>
        <w:spacing w:after="0"/>
        <w:tabs>
          <w:tab w:leader="none" w:pos="35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89" w:name="page290"/>
    <w:bookmarkEnd w:id="289"/>
    <w:p>
      <w:pPr>
        <w:jc w:val="both"/>
        <w:ind w:left="472"/>
        <w:spacing w:after="0" w:line="257" w:lineRule="auto"/>
        <w:rPr>
          <w:sz w:val="20"/>
          <w:szCs w:val="20"/>
          <w:color w:val="auto"/>
        </w:rPr>
      </w:pPr>
      <w:r>
        <w:rPr>
          <w:rFonts w:ascii="Times New Roman" w:cs="Times New Roman" w:eastAsia="Times New Roman" w:hAnsi="Times New Roman"/>
          <w:sz w:val="22"/>
          <w:szCs w:val="22"/>
          <w:color w:val="auto"/>
        </w:rPr>
        <w:t xml:space="preserve">Document, or otherwise payable or distributable by the Administrative Agent to such Lender under any Finance Document with respect to any payment of principal, interest, fees or other amounts, against any amount that the Administrative Agent has demanded to be returned under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left="472" w:firstLine="644"/>
        <w:spacing w:after="0" w:line="247" w:lineRule="auto"/>
        <w:tabs>
          <w:tab w:leader="none" w:pos="1603"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 Erroneous Payment (or portion thereof) is not recovered by the Administrative Agent for any reason, after demand therefor in accordance with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2"/>
          <w:szCs w:val="22"/>
          <w:u w:val="single" w:color="auto"/>
          <w:color w:val="auto"/>
        </w:rPr>
        <w:t>Erroneous Payment Return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Deficiency</w:t>
      </w:r>
      <w:r>
        <w:rPr>
          <w:rFonts w:ascii="Times New Roman" w:cs="Times New Roman" w:eastAsia="Times New Roman" w:hAnsi="Times New Roman"/>
          <w:sz w:val="22"/>
          <w:szCs w:val="22"/>
          <w:color w:val="auto"/>
        </w:rPr>
        <w:t>”), upon the Administrative Agent’s notice to such Lender at any time, then effective immediately (with the consideration therefor being acknowledged by the parties hereto), (i) such Lender shall be deemed to have assigned its Loans (but not its Commitments) in an amount equal to the Erroneous Payment Return Deficiency (or such lesser amount as the Administrative Agent may specify) (such assignment of the Loans (but not Commitments), the “</w:t>
      </w:r>
      <w:r>
        <w:rPr>
          <w:rFonts w:ascii="Times New Roman" w:cs="Times New Roman" w:eastAsia="Times New Roman" w:hAnsi="Times New Roman"/>
          <w:sz w:val="22"/>
          <w:szCs w:val="22"/>
          <w:u w:val="single" w:color="auto"/>
          <w:color w:val="auto"/>
        </w:rPr>
        <w:t>Erroneous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Deficiency Assignment</w:t>
      </w:r>
      <w:r>
        <w:rPr>
          <w:rFonts w:ascii="Times New Roman" w:cs="Times New Roman" w:eastAsia="Times New Roman" w:hAnsi="Times New Roman"/>
          <w:sz w:val="22"/>
          <w:szCs w:val="22"/>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(ii) the Administrative Agent as the assignee Lender shall be deemed to have acquired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(iv) the Administrative Agent and the Borrower shall each be deemed to have waived any consents required under this Agreement to any such Erroneous Payment Deficiency Assignment, and (v)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85" w:lineRule="exact"/>
        <w:rPr>
          <w:rFonts w:ascii="Times New Roman" w:cs="Times New Roman" w:eastAsia="Times New Roman" w:hAnsi="Times New Roman"/>
          <w:sz w:val="22"/>
          <w:szCs w:val="22"/>
          <w:color w:val="auto"/>
        </w:rPr>
      </w:pPr>
    </w:p>
    <w:p>
      <w:pPr>
        <w:jc w:val="both"/>
        <w:ind w:left="472" w:firstLine="644"/>
        <w:spacing w:after="0" w:line="250" w:lineRule="auto"/>
        <w:tabs>
          <w:tab w:leader="none" w:pos="1603"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(i) shall be reduced by the proceeds of prepayments or repayments of principal and interest, or other distribution in respect of principal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2" w:hanging="352"/>
        <w:spacing w:after="0"/>
        <w:tabs>
          <w:tab w:leader="none" w:pos="352"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90" w:name="page291"/>
    <w:bookmarkEnd w:id="290"/>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interest, received by the Administrative Agent on or with respect to any such Loans acquired from such Lender pursuant to an Erroneous Payment Deficiency Assignment (to the extent that any such Loans are then owned by the Administrative Agent) and (ii) may, in the sole discretion of the Administrative Agent, be reduced by any amount specified by the Administrative Agent in writing to the applicable Lender from time to time.</w:t>
      </w:r>
    </w:p>
    <w:p>
      <w:pPr>
        <w:spacing w:after="0" w:line="176" w:lineRule="exact"/>
        <w:rPr>
          <w:sz w:val="20"/>
          <w:szCs w:val="20"/>
          <w:color w:val="auto"/>
        </w:rPr>
      </w:pPr>
    </w:p>
    <w:p>
      <w:pPr>
        <w:jc w:val="both"/>
        <w:ind w:left="660" w:firstLine="644"/>
        <w:spacing w:after="0" w:line="247" w:lineRule="auto"/>
        <w:tabs>
          <w:tab w:leader="none" w:pos="1946"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(i)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Finance Documents with respect to such amount (the “</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xml:space="preserve">”) and (ii) an Erroneous Payment shall not pay, prepay, repay, discharge or otherwise satisfy any Obligations owed by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for the avoidance of doubt, immediately preceding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shall not apply to the extent any such Erroneous Payment is, and solely with respect to the amount of such Erroneous Payment that is, comprised of funds received by the Administrative Agent from, or on behalf of (including through the exercise of remedies under any Finance Document), the Borrower for the purpose of a payment on the Obligations.</w:t>
      </w:r>
    </w:p>
    <w:p>
      <w:pPr>
        <w:spacing w:after="0" w:line="18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24"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or in any other Finance Document, neither any Credit Party nor any of its respective Affiliates shall have any obligations or liabilities (including the payment of any assignment or processing fee payable to the Administrative Agent in connection therewith) directly or indirectly arising out of this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in respect of any Erroneous Payment (other than having consented to the assignment referenced in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above).</w:t>
      </w:r>
    </w:p>
    <w:p>
      <w:pPr>
        <w:spacing w:after="0" w:line="176" w:lineRule="exact"/>
        <w:rPr>
          <w:sz w:val="20"/>
          <w:szCs w:val="20"/>
          <w:color w:val="auto"/>
        </w:rPr>
      </w:pPr>
    </w:p>
    <w:p>
      <w:pPr>
        <w:jc w:val="both"/>
        <w:ind w:left="660" w:firstLine="644"/>
        <w:spacing w:after="0" w:line="256" w:lineRule="auto"/>
        <w:tabs>
          <w:tab w:leader="none" w:pos="1848"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shall survive the resignation or replacement of the Administrative Agent, any transfer of rights or obligations by, or the replacement of, a Lender, the termination of the applicable Commitments or the repayment, satisfaction or discharge of all Obligations (or any portion thereof) under any Finance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hanging="352"/>
        <w:spacing w:after="0"/>
        <w:tabs>
          <w:tab w:leader="none" w:pos="5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91" w:name="page292"/>
    <w:bookmarkEnd w:id="291"/>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96" w:lineRule="exact"/>
        <w:rPr>
          <w:sz w:val="20"/>
          <w:szCs w:val="20"/>
          <w:color w:val="auto"/>
        </w:rPr>
      </w:pPr>
    </w:p>
    <w:p>
      <w:pPr>
        <w:ind w:left="480"/>
        <w:spacing w:after="0"/>
        <w:tabs>
          <w:tab w:leader="none" w:pos="106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u w:val="single" w:color="auto"/>
          <w:color w:val="auto"/>
        </w:rPr>
        <w:t>Payment of Expenses, Etc.; Indemnification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480" w:firstLine="644"/>
        <w:spacing w:after="0" w:line="252" w:lineRule="auto"/>
        <w:tabs>
          <w:tab w:leader="none" w:pos="1745" w:val="left"/>
        </w:tabs>
        <w:numPr>
          <w:ilvl w:val="1"/>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reimburse (to the extent not already paid by the Borrower) (i) all reasonable and documented professional fees and costs of one legal counsel to the Lenders and the Agents and (ii) all reasonable and documented out-of-pocket expenses incurred by the Lenders, the Agents and legal counsel to the Lenders and the Agents in connection with the preparation and negotiation of the Finance Documents.</w:t>
      </w:r>
    </w:p>
    <w:p>
      <w:pPr>
        <w:spacing w:after="0" w:line="179" w:lineRule="exact"/>
        <w:rPr>
          <w:rFonts w:ascii="Times New Roman" w:cs="Times New Roman" w:eastAsia="Times New Roman" w:hAnsi="Times New Roman"/>
          <w:sz w:val="22"/>
          <w:szCs w:val="22"/>
          <w:color w:val="auto"/>
        </w:rPr>
      </w:pPr>
    </w:p>
    <w:p>
      <w:pPr>
        <w:jc w:val="both"/>
        <w:ind w:left="480" w:firstLine="644"/>
        <w:spacing w:after="0" w:line="259" w:lineRule="auto"/>
        <w:tabs>
          <w:tab w:leader="none" w:pos="1620" w:val="left"/>
        </w:tabs>
        <w:numPr>
          <w:ilvl w:val="1"/>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will pay (i) the reasonable and documented professional fees and costs of the Agents and one legal counsel to the Lenders and legal counsel to the Agents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the case of the continuation of an Event of Default, any Lender may retain separate counsel in the event of an actual conflict of interest (which may be multiple counsel, but only the least number necessary to resolve such conflict of interest) and the Borrower shall pay all reasonable and documented professional fees of such additional counsel) with respect to the administration of the transaction, the preservation of any of their respective rights under the Finance Documents or in connection with any amendments, waivers or consents or other implementation and administrative actions required under the Finance Documents, (ii) all fees payable to any Agent in connection with the performance of its duties under the Finance Documents in accordance with the relevant Fee Letter, (iii) all actual out-of-pocket costs and expenses incurred by any Lender or any Agent in connection with the occurrence of a Default or an Event of Default or the enforcement of any of its (or any Lender’s) rights or remedies under the Finance Documents following the occurrence of a Default or an Event of Default, and</w:t>
      </w:r>
    </w:p>
    <w:p>
      <w:pPr>
        <w:spacing w:after="0" w:line="5" w:lineRule="exact"/>
        <w:rPr>
          <w:rFonts w:ascii="Times New Roman" w:cs="Times New Roman" w:eastAsia="Times New Roman" w:hAnsi="Times New Roman"/>
          <w:sz w:val="21"/>
          <w:szCs w:val="21"/>
          <w:color w:val="auto"/>
        </w:rPr>
      </w:pPr>
    </w:p>
    <w:p>
      <w:pPr>
        <w:jc w:val="both"/>
        <w:ind w:left="480" w:hanging="4"/>
        <w:spacing w:after="0" w:line="246" w:lineRule="auto"/>
        <w:tabs>
          <w:tab w:leader="none" w:pos="85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preceding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all other actual out-of-pocket costs and expenses incurred by any Lender and any Agent in connection with the administration of the credit, the preservation of its rights under the Finance Documents and/or the performance of its duties thereunder and any consents, amendments, waivers or other modifications thereto and the transactions contemplated thereby. Notwithstanding the foregoing, in the event that either the Collateral Agent or the Administrative Agent reasonably believes that a conflict exists in using one counsel, each of the Collateral Agent or the Administrative Agent, as applicable, may engage its own counsel.</w:t>
      </w:r>
    </w:p>
    <w:p>
      <w:pPr>
        <w:spacing w:after="0" w:line="202" w:lineRule="exact"/>
        <w:rPr>
          <w:rFonts w:ascii="Times New Roman" w:cs="Times New Roman" w:eastAsia="Times New Roman" w:hAnsi="Times New Roman"/>
          <w:sz w:val="22"/>
          <w:szCs w:val="22"/>
          <w:color w:val="auto"/>
        </w:rPr>
      </w:pPr>
    </w:p>
    <w:p>
      <w:pPr>
        <w:ind w:left="480" w:right="20" w:firstLine="644"/>
        <w:spacing w:after="0" w:line="271" w:lineRule="auto"/>
        <w:tabs>
          <w:tab w:leader="none" w:pos="1591" w:val="left"/>
        </w:tabs>
        <w:numPr>
          <w:ilvl w:val="1"/>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costs and expenses described above in </w:t>
      </w:r>
      <w:r>
        <w:rPr>
          <w:rFonts w:ascii="Times New Roman" w:cs="Times New Roman" w:eastAsia="Times New Roman" w:hAnsi="Times New Roman"/>
          <w:sz w:val="22"/>
          <w:szCs w:val="22"/>
          <w:u w:val="single" w:color="auto"/>
          <w:color w:val="auto"/>
        </w:rPr>
        <w:t>Section 12.1(a)</w:t>
      </w:r>
      <w:r>
        <w:rPr>
          <w:rFonts w:ascii="Times New Roman" w:cs="Times New Roman" w:eastAsia="Times New Roman" w:hAnsi="Times New Roman"/>
          <w:sz w:val="22"/>
          <w:szCs w:val="22"/>
          <w:color w:val="auto"/>
        </w:rPr>
        <w:t xml:space="preserve"> shall be reimbursed by the Borrower regardless of whether or not Financial Close occurs.</w:t>
      </w:r>
    </w:p>
    <w:p>
      <w:pPr>
        <w:spacing w:after="0" w:line="157" w:lineRule="exact"/>
        <w:rPr>
          <w:rFonts w:ascii="Times New Roman" w:cs="Times New Roman" w:eastAsia="Times New Roman" w:hAnsi="Times New Roman"/>
          <w:sz w:val="22"/>
          <w:szCs w:val="22"/>
          <w:color w:val="auto"/>
        </w:rPr>
      </w:pPr>
    </w:p>
    <w:p>
      <w:pPr>
        <w:jc w:val="both"/>
        <w:ind w:left="480" w:firstLine="644"/>
        <w:spacing w:after="0" w:line="251" w:lineRule="auto"/>
        <w:tabs>
          <w:tab w:leader="none" w:pos="1626" w:val="left"/>
        </w:tabs>
        <w:numPr>
          <w:ilvl w:val="1"/>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each Lender and each Agent and each of their respective affiliates, permitted successors and permitted assigns and the officers, directors, employees, agents, advisors, controlling Persons and partners of each of the foregoing (each,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from and hold each of them harmless from and against all reasonable and documented costs, expenses (including reasonable fees, disbursements and other charges of counsel), losses, claims, damages, and liabilities of such Indemnitee arising out of or relating to any claim or any litigation or other proceeding (each, a “</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(regardless of whether such Indemnitee is a party thereto and regardless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0" w:hanging="352"/>
        <w:spacing w:after="0"/>
        <w:tabs>
          <w:tab w:leader="none" w:pos="3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60"/>
          </w:cols>
          <w:pgMar w:left="500" w:top="1418" w:right="339" w:bottom="1440" w:gutter="0" w:footer="0" w:header="0"/>
        </w:sectPr>
      </w:pPr>
    </w:p>
    <w:bookmarkStart w:id="292" w:name="page293"/>
    <w:bookmarkEnd w:id="292"/>
    <w:p>
      <w:pPr>
        <w:ind w:left="472"/>
        <w:spacing w:after="0"/>
        <w:rPr>
          <w:sz w:val="20"/>
          <w:szCs w:val="20"/>
          <w:color w:val="auto"/>
        </w:rPr>
      </w:pPr>
      <w:r>
        <w:rPr>
          <w:rFonts w:ascii="Times New Roman" w:cs="Times New Roman" w:eastAsia="Times New Roman" w:hAnsi="Times New Roman"/>
          <w:sz w:val="22"/>
          <w:szCs w:val="22"/>
          <w:color w:val="auto"/>
        </w:rPr>
        <w:t>whether such matter is initiated by a third party, a Loan Party, or by the Borrower or any of their respective Affiliates)</w:t>
      </w:r>
    </w:p>
    <w:p>
      <w:pPr>
        <w:spacing w:after="0" w:line="28" w:lineRule="exact"/>
        <w:rPr>
          <w:sz w:val="20"/>
          <w:szCs w:val="20"/>
          <w:color w:val="auto"/>
        </w:rPr>
      </w:pPr>
    </w:p>
    <w:p>
      <w:pPr>
        <w:ind w:left="472"/>
        <w:spacing w:after="0"/>
        <w:rPr>
          <w:sz w:val="20"/>
          <w:szCs w:val="20"/>
          <w:color w:val="auto"/>
        </w:rPr>
      </w:pPr>
      <w:r>
        <w:rPr>
          <w:rFonts w:ascii="Times New Roman" w:cs="Times New Roman" w:eastAsia="Times New Roman" w:hAnsi="Times New Roman"/>
          <w:sz w:val="22"/>
          <w:szCs w:val="22"/>
          <w:color w:val="auto"/>
        </w:rPr>
        <w:t>based on or arising or resulting from:</w:t>
      </w:r>
    </w:p>
    <w:p>
      <w:pPr>
        <w:spacing w:after="0" w:line="196" w:lineRule="exact"/>
        <w:rPr>
          <w:sz w:val="20"/>
          <w:szCs w:val="20"/>
          <w:color w:val="auto"/>
        </w:rPr>
      </w:pPr>
    </w:p>
    <w:p>
      <w:pPr>
        <w:jc w:val="both"/>
        <w:ind w:left="1112" w:firstLine="652"/>
        <w:spacing w:after="0" w:line="256" w:lineRule="auto"/>
        <w:tabs>
          <w:tab w:leader="none" w:pos="2324"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or delivery of this Agreement, any other Finance Document, or any agreement or instrument contemplated hereby or thereby, the performance by the parties hereto or thereto of their respective obligations hereunder or thereunder or the consummation of the transactions contemplated hereby or thereby, or the administration (other than expenses that do not constitute out-of-pocket expenses) or enforcement thereof;</w:t>
      </w:r>
    </w:p>
    <w:p>
      <w:pPr>
        <w:spacing w:after="0" w:line="176" w:lineRule="exact"/>
        <w:rPr>
          <w:rFonts w:ascii="Times New Roman" w:cs="Times New Roman" w:eastAsia="Times New Roman" w:hAnsi="Times New Roman"/>
          <w:sz w:val="22"/>
          <w:szCs w:val="22"/>
          <w:color w:val="auto"/>
        </w:rPr>
      </w:pPr>
    </w:p>
    <w:p>
      <w:pPr>
        <w:ind w:left="2252" w:hanging="488"/>
        <w:spacing w:after="0"/>
        <w:tabs>
          <w:tab w:leader="none" w:pos="2252"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or the use or proposed use of the proceeds therefrom;</w:t>
      </w:r>
    </w:p>
    <w:p>
      <w:pPr>
        <w:spacing w:after="0" w:line="219" w:lineRule="exact"/>
        <w:rPr>
          <w:rFonts w:ascii="Times New Roman" w:cs="Times New Roman" w:eastAsia="Times New Roman" w:hAnsi="Times New Roman"/>
          <w:sz w:val="22"/>
          <w:szCs w:val="22"/>
          <w:color w:val="auto"/>
        </w:rPr>
      </w:pPr>
    </w:p>
    <w:p>
      <w:pPr>
        <w:jc w:val="both"/>
        <w:ind w:left="1112" w:firstLine="652"/>
        <w:spacing w:after="0" w:line="250" w:lineRule="auto"/>
        <w:tabs>
          <w:tab w:leader="none" w:pos="2493"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actual or prospective claim (including Environmental Claims), litigation, investigation or proceeding relating to any of the foregoing, whether based on common law, contract, tort or any other theory, whether brought by any Loan Party or any of the Loan Parties’ members, managers or creditors or by any other Person, and regardless of whether any Indemnitee is a party thereto and whether or not any of the transactions contemplated hereunder or under any of the other Finance Documents is consummated, in all cases, whether or not caused by or arising, in whole or in part, out of the comparative, contributory or sole negligence of the Indemnitee; or</w:t>
      </w:r>
    </w:p>
    <w:p>
      <w:pPr>
        <w:spacing w:after="0" w:line="193" w:lineRule="exact"/>
        <w:rPr>
          <w:rFonts w:ascii="Times New Roman" w:cs="Times New Roman" w:eastAsia="Times New Roman" w:hAnsi="Times New Roman"/>
          <w:sz w:val="22"/>
          <w:szCs w:val="22"/>
          <w:color w:val="auto"/>
        </w:rPr>
      </w:pPr>
    </w:p>
    <w:p>
      <w:pPr>
        <w:jc w:val="both"/>
        <w:ind w:left="1112" w:firstLine="652"/>
        <w:spacing w:after="0" w:line="252" w:lineRule="auto"/>
        <w:tabs>
          <w:tab w:leader="none" w:pos="2381"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demand or liability for broker’s or finder’s or placement fees or similar commissions, whether or not payable by the Borrower, alleged to have been incurred in connection with such transactions, other than any broker’s or finder’s fees payable to Persons engaged by any Lender, or any Affiliates or Related Parties of any of the foregoing;</w:t>
      </w:r>
    </w:p>
    <w:p>
      <w:pPr>
        <w:spacing w:after="0" w:line="179" w:lineRule="exact"/>
        <w:rPr>
          <w:sz w:val="20"/>
          <w:szCs w:val="20"/>
          <w:color w:val="auto"/>
        </w:rPr>
      </w:pPr>
    </w:p>
    <w:p>
      <w:pPr>
        <w:jc w:val="both"/>
        <w:ind w:left="1112"/>
        <w:spacing w:after="0" w:line="26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Indemnitee will be indemnified for any cost, expense or liability to the extent determined in the final, non-appealable judgment of a court of competent jurisdiction to have resulted primarily from its gross negligence or willful misconduct.</w:t>
      </w:r>
    </w:p>
    <w:p>
      <w:pPr>
        <w:spacing w:after="0" w:line="167" w:lineRule="exact"/>
        <w:rPr>
          <w:sz w:val="20"/>
          <w:szCs w:val="20"/>
          <w:color w:val="auto"/>
        </w:rPr>
      </w:pPr>
    </w:p>
    <w:p>
      <w:pPr>
        <w:jc w:val="both"/>
        <w:ind w:left="472" w:firstLine="644"/>
        <w:spacing w:after="0" w:line="257" w:lineRule="auto"/>
        <w:tabs>
          <w:tab w:leader="none" w:pos="1656"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undertaking in the preceding paragraphs of this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may be unenforceable because it is violative of any law or public policy, the Borrower will contribute the maximum portion that it is permitted to pay and satisfy under applicable Government Rule to the payment and satisfaction of such undertaking.</w:t>
      </w:r>
    </w:p>
    <w:p>
      <w:pPr>
        <w:spacing w:after="0" w:line="186" w:lineRule="exact"/>
        <w:rPr>
          <w:rFonts w:ascii="Times New Roman" w:cs="Times New Roman" w:eastAsia="Times New Roman" w:hAnsi="Times New Roman"/>
          <w:sz w:val="22"/>
          <w:szCs w:val="22"/>
          <w:color w:val="auto"/>
        </w:rPr>
      </w:pPr>
    </w:p>
    <w:p>
      <w:pPr>
        <w:jc w:val="both"/>
        <w:ind w:left="472" w:firstLine="644"/>
        <w:spacing w:after="0" w:line="248" w:lineRule="auto"/>
        <w:tabs>
          <w:tab w:leader="none" w:pos="1588"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sums paid and costs incurred by any Indemnitee with respect to any matter indemnified hereunder shall be added to the Obligations and be secured by the Security Documents and, unless otherwise provided, shall be immediately due and payable promptly after demand therefor. Each such Indemnitee shall promptly notify the Borrower in a timely manner of any such amounts payable by the Borrower hereunder together with reasonable details and calculation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provide such notice shall not affect the Borrower’s obligations under this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2" w:hanging="352"/>
        <w:spacing w:after="0"/>
        <w:tabs>
          <w:tab w:leader="none" w:pos="352"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93" w:name="page294"/>
    <w:bookmarkEnd w:id="293"/>
    <w:p>
      <w:pPr>
        <w:jc w:val="both"/>
        <w:ind w:left="660" w:firstLine="644"/>
        <w:spacing w:after="0" w:line="251" w:lineRule="auto"/>
        <w:tabs>
          <w:tab w:leader="none" w:pos="1796"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Indemnitee pursuant to </w:t>
      </w:r>
      <w:r>
        <w:rPr>
          <w:rFonts w:ascii="Times New Roman" w:cs="Times New Roman" w:eastAsia="Times New Roman" w:hAnsi="Times New Roman"/>
          <w:sz w:val="22"/>
          <w:szCs w:val="22"/>
          <w:u w:val="single" w:color="auto"/>
          <w:color w:val="auto"/>
        </w:rPr>
        <w:t>Section 12.1(d)</w:t>
      </w:r>
      <w:r>
        <w:rPr>
          <w:rFonts w:ascii="Times New Roman" w:cs="Times New Roman" w:eastAsia="Times New Roman" w:hAnsi="Times New Roman"/>
          <w:sz w:val="22"/>
          <w:szCs w:val="22"/>
          <w:color w:val="auto"/>
        </w:rPr>
        <w:t xml:space="preserve"> above, within thirty days after the receipt by it of notice of any Claim for which indemnity may be sought by it or by any Person controlling it, from the Borrower on account of the agreements contained in this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shall notify the Borrower in writing of the commencement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failure to so notify shall not prejudice any Claim for which indemnity may be sought except to the extent that the Borrower is harmed thereby. This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shall not apply with respect to Taxes other than any Taxes that represent losses, claims, damages, etc. arising from any non-Tax claim.</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Upon the occurrence and during the continuance of any Event of Default, each Agent and Lender is hereby authorized at any time and from time to time, to the fullest extent permitted by law, to setoff and apply any and all deposits (general or special, time or demand, provisional or final) at any time held and other indebtedness at any time owing by such Agent or Lender or for the credit or the account of the Borrower against any Obligations of the Borrower owed to such Agent or Lender, irrespective of whether or not such Agent or Lender shall have made any demand hereunder and without presentment, protest or other notice of any kind to the Borrower, all of which are hereby expressly waived. Any exercise by an Agent or a Lender of its setoff rights hereunder shall be subject to the sharing provisions hereunder and, without limiting the waivers set forth in this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each Agent and Lender shall provide notice to the Borrower with respect to the exercise by it of any setoff rights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failure to give such notice shall not affect the validity of such setoff and application.</w:t>
      </w:r>
    </w:p>
    <w:p>
      <w:pPr>
        <w:spacing w:after="0" w:line="18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63" w:lineRule="auto"/>
        <w:tabs>
          <w:tab w:leader="none" w:pos="2007"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expressly provided herein or in any Finance Document, all notices and other communications provided for hereunder or thereunder shall be in writing and shall be considered as properly given (i) if delivered in person, (ii) if sent by overnight delivery service (including Federal Express, United Parcel Service and other similar overnight delivery services) if for inland delivery or international courier if for overseas delivery, (iii) in the event overnight delivery services are not readily available, if mailed by first class mail, postage prepaid, registered or certified with return receipt requested, or (iv) if transmitted by electronic communication as provided in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below. Any communication between the parties hereto or notices provided herein may be given delivered at its address and contact number specified in </w:t>
      </w:r>
      <w:r>
        <w:rPr>
          <w:rFonts w:ascii="Times New Roman" w:cs="Times New Roman" w:eastAsia="Times New Roman" w:hAnsi="Times New Roman"/>
          <w:sz w:val="21"/>
          <w:szCs w:val="21"/>
          <w:u w:val="single" w:color="auto"/>
          <w:color w:val="auto"/>
        </w:rPr>
        <w:t>Schedule 11.3</w:t>
      </w:r>
      <w:r>
        <w:rPr>
          <w:rFonts w:ascii="Times New Roman" w:cs="Times New Roman" w:eastAsia="Times New Roman" w:hAnsi="Times New Roman"/>
          <w:sz w:val="21"/>
          <w:szCs w:val="21"/>
          <w:color w:val="auto"/>
        </w:rPr>
        <w:t>, or at such other address and contact number as is designated by such party in a written notice to the other parties (by giving written notice to the other parties in the manner set forth herein) hereto.</w:t>
      </w:r>
    </w:p>
    <w:p>
      <w:pPr>
        <w:spacing w:after="0" w:line="169" w:lineRule="exact"/>
        <w:rPr>
          <w:rFonts w:ascii="Times New Roman" w:cs="Times New Roman" w:eastAsia="Times New Roman" w:hAnsi="Times New Roman"/>
          <w:sz w:val="21"/>
          <w:szCs w:val="21"/>
          <w:color w:val="auto"/>
        </w:rPr>
      </w:pPr>
    </w:p>
    <w:p>
      <w:pPr>
        <w:jc w:val="both"/>
        <w:ind w:left="660" w:firstLine="644"/>
        <w:spacing w:after="0" w:line="251" w:lineRule="auto"/>
        <w:tabs>
          <w:tab w:leader="none" w:pos="1857"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hereunder may be delivered or furnished by electronic communication (including email and Internet or intranet websites) pursuant to procedures approved by the Administrative Agent, the Collateral Agent and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pursuant to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if the party to receive the notice has notified Administrative Agent that it is incapable of receiving notice under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by electronic communication. Each of Borrower and each Lender may, in its discretion, agree to accept notices and other communications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hanging="352"/>
        <w:spacing w:after="0"/>
        <w:tabs>
          <w:tab w:leader="none" w:pos="54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94" w:name="page295"/>
    <w:bookmarkEnd w:id="294"/>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 xml:space="preserve">hereunder by electronic communication pursuant to procedures approved by them, respectively;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approval of such procedures may be limited to particular notices or communications. Any such notices and other communications furnished by electronic communication shall be in the form of attachments in.pdf format.</w:t>
      </w:r>
    </w:p>
    <w:p>
      <w:pPr>
        <w:spacing w:after="0" w:line="186" w:lineRule="exact"/>
        <w:rPr>
          <w:sz w:val="20"/>
          <w:szCs w:val="20"/>
          <w:color w:val="auto"/>
        </w:rPr>
      </w:pPr>
    </w:p>
    <w:p>
      <w:pPr>
        <w:jc w:val="both"/>
        <w:ind w:left="660" w:firstLine="644"/>
        <w:spacing w:after="0" w:line="248" w:lineRule="auto"/>
        <w:tabs>
          <w:tab w:leader="none" w:pos="1823"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communication delivered in person or by overnight courier service, or mailed by registered or certified mail, shall be effective when received by the addressee thereof during business hours on a business day in such Person’s location as indicated by such Person’s address in </w:t>
      </w:r>
      <w:r>
        <w:rPr>
          <w:rFonts w:ascii="Times New Roman" w:cs="Times New Roman" w:eastAsia="Times New Roman" w:hAnsi="Times New Roman"/>
          <w:sz w:val="22"/>
          <w:szCs w:val="22"/>
          <w:u w:val="single" w:color="auto"/>
          <w:color w:val="auto"/>
        </w:rPr>
        <w:t>Schedule 11.3</w:t>
      </w:r>
      <w:r>
        <w:rPr>
          <w:rFonts w:ascii="Times New Roman" w:cs="Times New Roman" w:eastAsia="Times New Roman" w:hAnsi="Times New Roman"/>
          <w:sz w:val="22"/>
          <w:szCs w:val="22"/>
          <w:color w:val="auto"/>
        </w:rPr>
        <w:t xml:space="preserve">, or at such other address as is designated by such Person in a written notice to the other parties hereto. Unless the Administrative Agent otherwise prescribes, (i) notices and other communication delivered through electronic communications as provided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above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notice or other communication is not given during normal business hours on a Business Day for recipient, it shall be deemed to have been given at the opening of business on the next Business Day for the recipient, and (ii) notices or communication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12.4 </w:t>
      </w:r>
      <w:r>
        <w:rPr>
          <w:rFonts w:ascii="Times New Roman" w:cs="Times New Roman" w:eastAsia="Times New Roman" w:hAnsi="Times New Roman"/>
          <w:sz w:val="21"/>
          <w:szCs w:val="21"/>
          <w:u w:val="single" w:color="auto"/>
          <w:color w:val="auto"/>
        </w:rPr>
        <w:t>No Third-Party Beneficiaries</w:t>
      </w:r>
      <w:r>
        <w:rPr>
          <w:rFonts w:ascii="Times New Roman" w:cs="Times New Roman" w:eastAsia="Times New Roman" w:hAnsi="Times New Roman"/>
          <w:sz w:val="21"/>
          <w:szCs w:val="21"/>
          <w:color w:val="auto"/>
        </w:rPr>
        <w:t>. The agreement of the Lenders to make the Loans to the Borrower, on the terms and conditions set forth in this Agreement, is solely for the benefit of the Credit Parties and the Secured Parties, and no other Person (including any contractor, subcontractor, supplier, workman, carrier, warehouseman or materialman furnishing labor, supplies, goods or services to or for the benefit of the P1 Project) shall have any benefit or any legal or equitable right or remedy under this Agreement or under any other Finance Document or with respect to any extension of credit contemplated by this Agreement.</w:t>
      </w:r>
    </w:p>
    <w:p>
      <w:pPr>
        <w:spacing w:after="0" w:line="16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No Waiver; Remedies Cumulative</w:t>
      </w:r>
      <w:r>
        <w:rPr>
          <w:rFonts w:ascii="Times New Roman" w:cs="Times New Roman" w:eastAsia="Times New Roman" w:hAnsi="Times New Roman"/>
          <w:sz w:val="22"/>
          <w:szCs w:val="22"/>
          <w:color w:val="auto"/>
        </w:rPr>
        <w:t>. Subject to applicable Government Rule, no failure or delay on the part of any Agent or any Lender in exercising any right, power or privilege hereunder or under any other Finance Document and no course of dealing between the Credit Parties or any of their respective Affiliates, on the one hand and any Secured Party, on the other hand, shall impair any such right, power or privilege or operate as a waiver thereof; nor shall any single or partial exercise of any right, power or privilege hereunder or under any other Finance Document preclude any other or further exercise thereof or the exercise of any other right, power or privilege hereunder or thereunder. The rights, powers and remedies herein or in any other Finance Document expressly provided are cumulative and not exclusive of any rights, powers or remedies which any party thereto would otherwise have. No notice to or demand on the Borrower in any case shall entitle any Credit Party to any other or further notice or demand in similar or other circumstances or constitute a waiver of the rights of any Secured Party to any other or further action in any circumstances without notice or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hanging="352"/>
        <w:spacing w:after="0"/>
        <w:tabs>
          <w:tab w:leader="none" w:pos="54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95" w:name="page296"/>
    <w:bookmarkEnd w:id="295"/>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12.7 </w:t>
      </w:r>
      <w:r>
        <w:rPr>
          <w:rFonts w:ascii="Times New Roman" w:cs="Times New Roman" w:eastAsia="Times New Roman" w:hAnsi="Times New Roman"/>
          <w:sz w:val="21"/>
          <w:szCs w:val="21"/>
          <w:u w:val="single" w:color="auto"/>
          <w:color w:val="auto"/>
        </w:rPr>
        <w:t>Amendments, Etc.</w:t>
      </w:r>
      <w:r>
        <w:rPr>
          <w:rFonts w:ascii="Times New Roman" w:cs="Times New Roman" w:eastAsia="Times New Roman" w:hAnsi="Times New Roman"/>
          <w:sz w:val="21"/>
          <w:szCs w:val="21"/>
          <w:color w:val="auto"/>
        </w:rPr>
        <w:t xml:space="preserve"> Neither this Agreement nor any other Finance Document (other than any Security Document, each of which may only be waived, amended or modified in accordance with the terms thereof) nor any provision hereof or thereof may be waived, amended or modified except pursuant to an agreement or agreements in writing entered into by the Borrower and the Majority Lenders and acknowledged by the Administrative Agent, or by the Borrower and the Administrative Agent with the consent of the Majority Lenders, and each such waiver or consent shall be effective only in the specific instance and for the specific purpose for which given;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agreement shall in any way (i) increase any Commitment of any Lender without the written consent of such Lender, (ii) reduce the principal amount of any Loan or reduce the rate of interest thereon, or reduce any fees payable hereunder, without the written consent of each Lender affected thereby, (iii) other than in accordance with the definition of “Final Maturity Date”, postpone the scheduled date of payment of the principal amount of any Loan under </w:t>
      </w:r>
      <w:r>
        <w:rPr>
          <w:rFonts w:ascii="Times New Roman" w:cs="Times New Roman" w:eastAsia="Times New Roman" w:hAnsi="Times New Roman"/>
          <w:sz w:val="21"/>
          <w:szCs w:val="21"/>
          <w:u w:val="single" w:color="auto"/>
          <w:color w:val="auto"/>
        </w:rPr>
        <w:t>Section 2.6(a)</w:t>
      </w:r>
      <w:r>
        <w:rPr>
          <w:rFonts w:ascii="Times New Roman" w:cs="Times New Roman" w:eastAsia="Times New Roman" w:hAnsi="Times New Roman"/>
          <w:sz w:val="21"/>
          <w:szCs w:val="21"/>
          <w:color w:val="auto"/>
        </w:rPr>
        <w:t xml:space="preserve"> or of any interest thereon, or any fees payable hereunder, or reduce the amount of, waive or excuse any such payment, without the written consent of each Lender affected thereby, (iv) change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without the consent of each Lender affected thereby, (v) change any of the provisions of this </w:t>
      </w:r>
      <w:r>
        <w:rPr>
          <w:rFonts w:ascii="Times New Roman" w:cs="Times New Roman" w:eastAsia="Times New Roman" w:hAnsi="Times New Roman"/>
          <w:sz w:val="21"/>
          <w:szCs w:val="21"/>
          <w:u w:val="single" w:color="auto"/>
          <w:color w:val="auto"/>
        </w:rPr>
        <w:t>Section 12.7</w:t>
      </w:r>
      <w:r>
        <w:rPr>
          <w:rFonts w:ascii="Times New Roman" w:cs="Times New Roman" w:eastAsia="Times New Roman" w:hAnsi="Times New Roman"/>
          <w:sz w:val="21"/>
          <w:szCs w:val="21"/>
          <w:color w:val="auto"/>
        </w:rPr>
        <w:t xml:space="preserve"> or the percentage in the definitions of the terms “Majority Lenders” or any other provision hereof specifying the number or percentage of Lenders required to waive, amend or modify any rights hereunder or make any determination or grant any consent hereunder, without the written consent of each Lender, (vi) release all or substantially all portions of the Collateral or release any Credit Party from its obligations under the Finance Documents without the written consent of each Lender (except to the extent specifically provided therefor in the Finance Documents); (vii) release all or substantially all of the value of the Guaranty without the written consent of each Lender (except to the extent specifically provided therefor in the Finance Documents); or (viii) contractually subordinate the Liens in favor of the Collateral Agent over the Collateral under and pursuant to the Finance Documents to Liens over the Collateral securing any other Indebtedness (it being understood that this </w:t>
      </w:r>
      <w:r>
        <w:rPr>
          <w:rFonts w:ascii="Times New Roman" w:cs="Times New Roman" w:eastAsia="Times New Roman" w:hAnsi="Times New Roman"/>
          <w:sz w:val="21"/>
          <w:szCs w:val="21"/>
          <w:u w:val="single" w:color="auto"/>
          <w:color w:val="auto"/>
        </w:rPr>
        <w:t>subclause (viii)</w:t>
      </w:r>
      <w:r>
        <w:rPr>
          <w:rFonts w:ascii="Times New Roman" w:cs="Times New Roman" w:eastAsia="Times New Roman" w:hAnsi="Times New Roman"/>
          <w:sz w:val="21"/>
          <w:szCs w:val="21"/>
          <w:color w:val="auto"/>
        </w:rPr>
        <w:t xml:space="preserve"> shall not (i) override the permission for (x) Permitted Liens or</w:t>
      </w:r>
    </w:p>
    <w:p>
      <w:pPr>
        <w:spacing w:after="0" w:line="5" w:lineRule="exact"/>
        <w:rPr>
          <w:sz w:val="20"/>
          <w:szCs w:val="20"/>
          <w:color w:val="auto"/>
        </w:rPr>
      </w:pPr>
    </w:p>
    <w:p>
      <w:pPr>
        <w:jc w:val="both"/>
        <w:ind w:firstLine="8"/>
        <w:spacing w:after="0" w:line="260" w:lineRule="auto"/>
        <w:tabs>
          <w:tab w:leader="none" w:pos="309"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expressly permitted by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as in effect on the Financial Close or (ii) apply to the incurrence of financing provided to the Borrower pursuant to Section 364 of the Bankruptcy Code or any similar proceeding under any other applicable debtor relief laws) without the written consent of each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such agreement shall amend, modify or otherwise affect the rights or duties of any Agent without the prior written consent of such Agent. Notwithstanding anything herein to the contrary, the Credit Parties and the Agents party thereto may (but shall not be obligated to) amend or supplement any Finance Document without the consent of any Lender (1) to cure any ambiguity, defect or inconsistency which is not material, (2) to make any change that would provide any additional rights or benefits to the Lenders, (3) to make, complete or confirm any grant of Collateral permitted or required by any of the Security Documents, including to secure any Permitted Indebtedness that may be secured by a Permitted Lien on the Collateral, or any release of any Collateral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hanging="352"/>
        <w:spacing w:after="0"/>
        <w:tabs>
          <w:tab w:leader="none" w:pos="54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96" w:name="page297"/>
    <w:bookmarkEnd w:id="296"/>
    <w:p>
      <w:pPr>
        <w:jc w:val="both"/>
        <w:spacing w:after="0" w:line="263" w:lineRule="auto"/>
        <w:rPr>
          <w:sz w:val="20"/>
          <w:szCs w:val="20"/>
          <w:color w:val="auto"/>
        </w:rPr>
      </w:pPr>
      <w:r>
        <w:rPr>
          <w:rFonts w:ascii="Times New Roman" w:cs="Times New Roman" w:eastAsia="Times New Roman" w:hAnsi="Times New Roman"/>
          <w:sz w:val="21"/>
          <w:szCs w:val="21"/>
          <w:color w:val="auto"/>
        </w:rPr>
        <w:t>otherwise permitted under the terms of this Agreement and the Security Documents, (4) to revise any schedule to reflect any change in notice information, (5) to revise the account number for the RP Account as may be necessary to reflect the replacement of the Collateral Agent or the Depositary or as may be required by internal procedures of the Collateral Agent or the Depositary,</w:t>
      </w:r>
    </w:p>
    <w:p>
      <w:pPr>
        <w:spacing w:after="0" w:line="2" w:lineRule="exact"/>
        <w:rPr>
          <w:sz w:val="20"/>
          <w:szCs w:val="20"/>
          <w:color w:val="auto"/>
        </w:rPr>
      </w:pPr>
    </w:p>
    <w:p>
      <w:pPr>
        <w:jc w:val="both"/>
        <w:ind w:firstLine="8"/>
        <w:spacing w:after="0" w:line="247" w:lineRule="auto"/>
        <w:tabs>
          <w:tab w:leader="none" w:pos="313"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or join Subsidiary Guarantors in accordance with this Agreement, or (7) to revise the name of the Collateral Agent on any UCC financing statement or other Security Document as may be necessary to reflect the replacement of the Collateral Agent. Any such amendment, modification, or supplement that is set forth in a writing signed by the Administrative Agent and the Borrower shall be binding on the Loan Parties, the Agents and the Lenders and where any Finance Document expressly provides that the Administrative Agent or any other Agent may waive, amend, or modify such Finance Document or any provision thereof, or consent to any act or action of the Borrower, the Administrative Agent or such other Agent may do so without the further consent of the Lenders and any such waiver, amendment, modification, or consent that is set forth in a writing signed by the Administrative Agent or such other Agent, as applicable, shall be binding on the Agents and the Lenders.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Each Lender shall be bound by any waiver, amendment, or modification authorized in accordance with this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 xml:space="preserve"> and any waiver, amendment, or modification authorized in accordance with this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 xml:space="preserve"> shall bind any Person subsequently acquiring a Loan from such Lender. Any agreement or agreements that the Administrative Agent executes and delivers to waive, amend, or modify any Finance Document in accordance with this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 xml:space="preserve"> shall be binding on the Lenders and each of the Agents without the further consent of the Lenders or the other Agents.</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12.8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the different parties hereto on separate counterparts, each of which, when executed and delivered, shall be effective for purposes of binding the parties hereto, but all of which shall together constitute one and the same instrument. Delivery of an executed counterpart of a signature page of this Agreement by electronic means will for all purposes be treated as the equivalent of delivery of a manually executed counterpart of this Agreement.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Government Rule, including the Federal Electronic Signatures in Global and National Commerce Act, the New York State Electronic Signatures and Records Act, or any other similar state laws based on the Uniform Electronic Transactions Act</w:t>
      </w:r>
      <w:r>
        <w:rPr>
          <w:rFonts w:ascii="Times New Roman" w:cs="Times New Roman" w:eastAsia="Times New Roman" w:hAnsi="Times New Roman"/>
          <w:sz w:val="22"/>
          <w:szCs w:val="22"/>
          <w:u w:val="single" w:color="auto"/>
          <w:color w:val="auto"/>
        </w:rPr>
        <w: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12.9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12.10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covenants, agreements, representations and warranties made by the Borrower herein and in the certificates or other instruments delivered in connection with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hanging="352"/>
        <w:spacing w:after="0"/>
        <w:tabs>
          <w:tab w:leader="none" w:pos="54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97" w:name="page298"/>
    <w:bookmarkEnd w:id="297"/>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pursuant to this Agreement shall be considered to have been relied upon by the other parties hereto and shall survive the execution and delivery of this Agreement and the making of any Loans regardless of any investigation made by any such other party or on its behalf, and shall continue in full force and effect as long as the principal of or any accrued interest on the Loan or any fee or any other amount payable under this Agreement is outstanding and unpaid. The provisions of </w:t>
      </w:r>
      <w:r>
        <w:rPr>
          <w:rFonts w:ascii="Times New Roman" w:cs="Times New Roman" w:eastAsia="Times New Roman" w:hAnsi="Times New Roman"/>
          <w:sz w:val="22"/>
          <w:szCs w:val="22"/>
          <w:u w:val="single" w:color="auto"/>
          <w:color w:val="auto"/>
        </w:rPr>
        <w:t>Sections 9.1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12.17</w:t>
      </w:r>
      <w:r>
        <w:rPr>
          <w:rFonts w:ascii="Times New Roman" w:cs="Times New Roman" w:eastAsia="Times New Roman" w:hAnsi="Times New Roman"/>
          <w:sz w:val="22"/>
          <w:szCs w:val="22"/>
          <w:color w:val="auto"/>
        </w:rPr>
        <w:t xml:space="preserve"> shall survive and remain in full force and effect regardless of the consummation of the transactions contemplated hereby, the repayment of the Loans, the expiration or termination of the Commitments or the termination of this Agreement or any provision hereof.</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12.11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and the Table of Contents used herein are for convenience of reference only, are not part of this Agreement and shall not affect the construction of, or be taken into consideration in interpreting, this Agreement.</w:t>
      </w:r>
    </w:p>
    <w:p>
      <w:pPr>
        <w:spacing w:after="0" w:line="14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12.12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the other Finance Documents, and the documents referred to herein, embody the entire agreement and understanding of the parties hereto and supersede all prior agreements and understandings of the parties hereto relating to the subject matter herein contained. All covenants of the Loan Parties set forth in this Agreement and the other Finance Documents (including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and all Defaults and Events of Default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be given independent effect so that, in the event that a particular action or condition is not permitted by the terms of any such covenant or would result in a Default, the fact that such event or condition could be permitted by an exception to, or be otherwise within the limitations of, another covenant or another Default or Event of Default shall not avoid the occurrence of a Default or Event of Default in the event that such action is taken or condition exists</w:t>
      </w:r>
      <w:r>
        <w:rPr>
          <w:rFonts w:ascii="Times New Roman" w:cs="Times New Roman" w:eastAsia="Times New Roman" w:hAnsi="Times New Roman"/>
          <w:sz w:val="22"/>
          <w:szCs w:val="22"/>
          <w:u w:val="single" w:color="auto"/>
          <w:color w:val="auto"/>
        </w:rPr>
        <w:t>.</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12.13 </w:t>
      </w: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The obligations of the Loan Parties under this Agreement shall be automatically reinstated if and to the extent that for any reason any payment by or on behalf of the Borrower in respect of the Obligations is rescinded or must be otherwise restored by any holder of any of the Obligations, whether as a result of any proceedings in bankruptcy or reorganization or otherwise, and the Borrower agrees that it will indemnify each Secured Party on demand for all reasonable and documented costs and expenses (including fees of counsel) incurred by such Secured Party in connection with such rescission or restoration, including any such reasonable and documented costs and expenses incurred in defending against any claim alleging that such payment constituted a preference, fraudulent transfer or similar payment under any bankruptcy, insolvency or similar law.</w:t>
      </w:r>
    </w:p>
    <w:p>
      <w:pPr>
        <w:spacing w:after="0" w:line="187"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12.14</w:t>
      </w:r>
      <w:r>
        <w:rPr>
          <w:sz w:val="20"/>
          <w:szCs w:val="20"/>
          <w:color w:val="auto"/>
        </w:rPr>
        <w:tab/>
      </w:r>
      <w:r>
        <w:rPr>
          <w:rFonts w:ascii="Times New Roman" w:cs="Times New Roman" w:eastAsia="Times New Roman" w:hAnsi="Times New Roman"/>
          <w:sz w:val="21"/>
          <w:szCs w:val="21"/>
          <w:u w:val="single" w:color="auto"/>
          <w:color w:val="auto"/>
        </w:rPr>
        <w:t>Governing Law; Submission to Jurisdiction; Venue; Waiver of Jury Trial; Waiver of Consequential Damages, Etc.</w:t>
      </w:r>
    </w:p>
    <w:p>
      <w:pPr>
        <w:spacing w:after="0" w:line="220" w:lineRule="exact"/>
        <w:rPr>
          <w:sz w:val="20"/>
          <w:szCs w:val="20"/>
          <w:color w:val="auto"/>
        </w:rPr>
      </w:pPr>
    </w:p>
    <w:p>
      <w:pPr>
        <w:ind w:left="1760" w:hanging="456"/>
        <w:spacing w:after="0"/>
        <w:tabs>
          <w:tab w:leader="none" w:pos="1760" w:val="left"/>
        </w:tabs>
        <w:numPr>
          <w:ilvl w:val="1"/>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construed in accordance with and governed by the law of the State of New York.</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4" w:lineRule="auto"/>
        <w:tabs>
          <w:tab w:leader="none" w:pos="1821" w:val="left"/>
        </w:tabs>
        <w:numPr>
          <w:ilvl w:val="1"/>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permitted by applicable Government Rule, any legal action or proceeding with respect to this Agreement or any other Finance Document shall, except as provided in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 xml:space="preserve"> below, be brought in the courts of</w:t>
      </w:r>
    </w:p>
    <w:p>
      <w:pPr>
        <w:spacing w:after="0" w:line="1"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0" w:hanging="352"/>
        <w:spacing w:after="0"/>
        <w:tabs>
          <w:tab w:leader="none" w:pos="5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298" w:name="page299"/>
    <w:bookmarkEnd w:id="298"/>
    <w:p>
      <w:pPr>
        <w:jc w:val="both"/>
        <w:ind w:left="472"/>
        <w:spacing w:after="0" w:line="248" w:lineRule="auto"/>
        <w:rPr>
          <w:sz w:val="20"/>
          <w:szCs w:val="20"/>
          <w:color w:val="auto"/>
        </w:rPr>
      </w:pPr>
      <w:r>
        <w:rPr>
          <w:rFonts w:ascii="Times New Roman" w:cs="Times New Roman" w:eastAsia="Times New Roman" w:hAnsi="Times New Roman"/>
          <w:sz w:val="22"/>
          <w:szCs w:val="22"/>
          <w:color w:val="auto"/>
        </w:rPr>
        <w:t xml:space="preserve">New York in the County of New York or (ii) the United States for the Southern District of New York, and any appellate court from any thereof and, by execution and delivery of this Agreement, each party hereto hereby irrevocably accepts and submits for itself and in respect of its property, generally and unconditionally, to the exclusive jurisdiction of the aforesaid courts. Each party hereto agrees that a judgment, after exhaustion of all available appeals, in any such action or proceeding shall be conclusive and binding upon it, and may be enforced in any other jurisdiction, including by a suit upon such judgment, a certified copy of which shall be conclusive evidence of the judgment. Each of the parties hereto hereby expressly and irrevocably waives the benefit of jurisdiction derived from each of its present or future domicile or otherwise in any such action or proceeding. Nothing in this Agreement or in any other Finance Document shall affect any right that any party hereto may otherwise have to bring any action or proceeding relating to this Agreement or any other Finance Document against the Loan Parties or their properties in the courts of any jurisdiction if applicable Government Rule does not permit a claim, action or proceeding referred to in the first sentence of this </w:t>
      </w:r>
      <w:r>
        <w:rPr>
          <w:rFonts w:ascii="Times New Roman" w:cs="Times New Roman" w:eastAsia="Times New Roman" w:hAnsi="Times New Roman"/>
          <w:sz w:val="22"/>
          <w:szCs w:val="22"/>
          <w:u w:val="single" w:color="auto"/>
          <w:color w:val="auto"/>
        </w:rPr>
        <w:t>Section 12.14(b)</w:t>
      </w:r>
      <w:r>
        <w:rPr>
          <w:rFonts w:ascii="Times New Roman" w:cs="Times New Roman" w:eastAsia="Times New Roman" w:hAnsi="Times New Roman"/>
          <w:sz w:val="22"/>
          <w:szCs w:val="22"/>
          <w:color w:val="auto"/>
        </w:rPr>
        <w:t xml:space="preserve"> to be filed, heard or determined in or by the courts specified therein.</w:t>
      </w:r>
    </w:p>
    <w:p>
      <w:pPr>
        <w:spacing w:after="0" w:line="184" w:lineRule="exact"/>
        <w:rPr>
          <w:sz w:val="20"/>
          <w:szCs w:val="20"/>
          <w:color w:val="auto"/>
        </w:rPr>
      </w:pPr>
    </w:p>
    <w:p>
      <w:pPr>
        <w:jc w:val="both"/>
        <w:ind w:left="472" w:firstLine="644"/>
        <w:spacing w:after="0" w:line="253" w:lineRule="auto"/>
        <w:tabs>
          <w:tab w:leader="none" w:pos="1666"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waives any objection that it may now have or hereafter have to the laying of the venue of any suit, action or proceeding arising out of or relating to this Agreement or any other Finance Document brought in the Supreme Court of the State of New York, County of New York or in the United States District Court for the Southern District of New York, and hereby further irrevocably waives any claim that any such suit, action or proceeding brought in any such court has been brought in an inconvenient forum.</w:t>
      </w:r>
    </w:p>
    <w:p>
      <w:pPr>
        <w:spacing w:after="0" w:line="178" w:lineRule="exact"/>
        <w:rPr>
          <w:rFonts w:ascii="Times New Roman" w:cs="Times New Roman" w:eastAsia="Times New Roman" w:hAnsi="Times New Roman"/>
          <w:sz w:val="22"/>
          <w:szCs w:val="22"/>
          <w:color w:val="auto"/>
        </w:rPr>
      </w:pPr>
    </w:p>
    <w:p>
      <w:pPr>
        <w:jc w:val="both"/>
        <w:ind w:left="472" w:firstLine="644"/>
        <w:spacing w:after="0" w:line="250" w:lineRule="auto"/>
        <w:tabs>
          <w:tab w:leader="none" w:pos="1621"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any Loan Party has or hereafter may acquire any immunity from jurisdiction of any court or from any legal process (whether through service or notice, attachment prior to judgment, attachment in aid of execution, execution or otherwise) with respect to itself or its property, such Loan Party hereby irrevocably and unconditionally waives such immunity in respect of its obligations under the Finance Documents and, without limiting the generality of the foregoing, agrees that the waiver set forth in this </w:t>
      </w:r>
      <w:r>
        <w:rPr>
          <w:rFonts w:ascii="Times New Roman" w:cs="Times New Roman" w:eastAsia="Times New Roman" w:hAnsi="Times New Roman"/>
          <w:sz w:val="22"/>
          <w:szCs w:val="22"/>
          <w:u w:val="single" w:color="auto"/>
          <w:color w:val="auto"/>
        </w:rPr>
        <w:t>Section 12.14(d)</w:t>
      </w:r>
      <w:r>
        <w:rPr>
          <w:rFonts w:ascii="Times New Roman" w:cs="Times New Roman" w:eastAsia="Times New Roman" w:hAnsi="Times New Roman"/>
          <w:sz w:val="22"/>
          <w:szCs w:val="22"/>
          <w:color w:val="auto"/>
        </w:rPr>
        <w:t xml:space="preserve"> shall have the fullest scope permitted under the Foreign Sovereign Immunities Act of 1976 of the United States and is intended to be irrevocable for purposes of such act.</w:t>
      </w:r>
    </w:p>
    <w:p>
      <w:pPr>
        <w:spacing w:after="0" w:line="193" w:lineRule="exact"/>
        <w:rPr>
          <w:rFonts w:ascii="Times New Roman" w:cs="Times New Roman" w:eastAsia="Times New Roman" w:hAnsi="Times New Roman"/>
          <w:sz w:val="22"/>
          <w:szCs w:val="22"/>
          <w:color w:val="auto"/>
        </w:rPr>
      </w:pPr>
    </w:p>
    <w:p>
      <w:pPr>
        <w:jc w:val="both"/>
        <w:ind w:left="472" w:firstLine="644"/>
        <w:spacing w:after="0" w:line="252" w:lineRule="auto"/>
        <w:tabs>
          <w:tab w:leader="none" w:pos="1614"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u w:val="single" w:color="auto"/>
          <w:color w:val="auto"/>
        </w:rPr>
        <w:t>Section 12.14</w:t>
      </w:r>
      <w:r>
        <w:rPr>
          <w:rFonts w:ascii="Times New Roman" w:cs="Times New Roman" w:eastAsia="Times New Roman" w:hAnsi="Times New Roman"/>
          <w:sz w:val="22"/>
          <w:szCs w:val="22"/>
          <w:color w:val="auto"/>
        </w:rPr>
        <w:t xml:space="preserve"> shall limit the right of the Secured Parties to refer any claim against the Loan Parties to any court of competent jurisdiction outside of the State of New York, nor shall the taking of proceedings by any Secured Party before the courts in one or more jurisdictions preclude the taking of proceedings in any other jurisdiction whether concurrently or not.</w:t>
      </w:r>
    </w:p>
    <w:p>
      <w:pPr>
        <w:spacing w:after="0" w:line="179" w:lineRule="exact"/>
        <w:rPr>
          <w:rFonts w:ascii="Times New Roman" w:cs="Times New Roman" w:eastAsia="Times New Roman" w:hAnsi="Times New Roman"/>
          <w:sz w:val="22"/>
          <w:szCs w:val="22"/>
          <w:color w:val="auto"/>
        </w:rPr>
      </w:pPr>
    </w:p>
    <w:p>
      <w:pPr>
        <w:jc w:val="both"/>
        <w:ind w:left="472" w:firstLine="644"/>
        <w:spacing w:after="0" w:line="263" w:lineRule="auto"/>
        <w:tabs>
          <w:tab w:leader="none" w:pos="1619"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HEREBY EXPRESSLY WAIVES ANY RIGHT TO TRIAL BY JURY OF ANY CLAIM, DEMAND, ACTION OR CAUSE OF ACTION ARISING UNDER ANY FINANCE DOCUMENT OR IN ANY WAY CONNECTED WITH OR RELATED OR INCIDENTAL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52" w:hanging="352"/>
        <w:spacing w:after="0"/>
        <w:tabs>
          <w:tab w:leader="none" w:pos="352"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299" w:name="page300"/>
    <w:bookmarkEnd w:id="299"/>
    <w:p>
      <w:pPr>
        <w:jc w:val="both"/>
        <w:ind w:left="472"/>
        <w:spacing w:after="0" w:line="249" w:lineRule="auto"/>
        <w:rPr>
          <w:sz w:val="20"/>
          <w:szCs w:val="20"/>
          <w:color w:val="auto"/>
        </w:rPr>
      </w:pPr>
      <w:r>
        <w:rPr>
          <w:rFonts w:ascii="Times New Roman" w:cs="Times New Roman" w:eastAsia="Times New Roman" w:hAnsi="Times New Roman"/>
          <w:sz w:val="22"/>
          <w:szCs w:val="22"/>
          <w:color w:val="auto"/>
        </w:rPr>
        <w:t>DEALINGS OF THE PARTIES HERETO OR ANY OF THEM WITH RESPECT TO ANY FINANCE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95" w:lineRule="exact"/>
        <w:rPr>
          <w:sz w:val="20"/>
          <w:szCs w:val="20"/>
          <w:color w:val="auto"/>
        </w:rPr>
      </w:pPr>
    </w:p>
    <w:p>
      <w:pPr>
        <w:jc w:val="both"/>
        <w:ind w:left="472" w:firstLine="644"/>
        <w:spacing w:after="0" w:line="247" w:lineRule="auto"/>
        <w:tabs>
          <w:tab w:leader="none" w:pos="1613"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any indemnification obligations of the Borrower under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or any other indemnification provisions of the Borrower under any other Finance Document, to the fullest extent permitted by applicable Government Rule, no party hereto shall assert, and each party hereto hereby waives, any claim against any other party hereto or their Related Parties, on any theory of liability, for special, indirect, consequential or punitive damages (as opposed to direct or actual damages) arising out of, in connection with, or as a result of, this Agreement, any other Finance Document or any agreement or instrument contemplated hereby, the transactions contemplated hereby or thereby, any Loan or the use of the proceeds thereof. No party hereto or its Related Parties shall be liable for any damages arising from the use by unintended recipients of any information or other materials distributed by it through telecommunications, electronic or other information transmission systems in connection with this Agreement or the other Finance Documents or the transactions contemplated hereby or thereby.</w:t>
      </w:r>
    </w:p>
    <w:p>
      <w:pPr>
        <w:spacing w:after="0" w:line="191" w:lineRule="exact"/>
        <w:rPr>
          <w:sz w:val="20"/>
          <w:szCs w:val="20"/>
          <w:color w:val="auto"/>
        </w:rPr>
      </w:pPr>
    </w:p>
    <w:p>
      <w:pPr>
        <w:ind w:left="472"/>
        <w:spacing w:after="0"/>
        <w:tabs>
          <w:tab w:leader="none" w:pos="1152" w:val="left"/>
        </w:tabs>
        <w:rPr>
          <w:sz w:val="20"/>
          <w:szCs w:val="20"/>
          <w:color w:val="auto"/>
        </w:rPr>
      </w:pPr>
      <w:r>
        <w:rPr>
          <w:rFonts w:ascii="Times New Roman" w:cs="Times New Roman" w:eastAsia="Times New Roman" w:hAnsi="Times New Roman"/>
          <w:sz w:val="22"/>
          <w:szCs w:val="22"/>
          <w:color w:val="auto"/>
        </w:rPr>
        <w:t>12.15</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left="472" w:firstLine="644"/>
        <w:spacing w:after="0" w:line="248" w:lineRule="auto"/>
        <w:tabs>
          <w:tab w:leader="none" w:pos="1616"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Assignments Generally</w:t>
      </w:r>
      <w:r>
        <w:rPr>
          <w:rFonts w:ascii="Times New Roman" w:cs="Times New Roman" w:eastAsia="Times New Roman" w:hAnsi="Times New Roman"/>
          <w:sz w:val="22"/>
          <w:szCs w:val="22"/>
          <w:color w:val="auto"/>
        </w:rPr>
        <w:t>. The provisions of this Agreement shall be binding upon and inure to the benefit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parties hereto and their respective successors and assigns permitted hereby, except that (i) no Loan Party shall assign or otherwise transfer any of its rights or obligations hereunder without the prior written consent of each Lender and the Administrative Agent (and any attempted assignment or transfer by any Loan Party without such consent shall be null and void), (ii) no assignments shall be made to a Defaulting Lender, and (iii) no Lender may assign or otherwise transfer its rights or obligations hereunder except in accordance with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Nothing in this Agreement, expressed or implied, shall be construed to confer upon any Person (other than the parties hereto, their respective successors and assigns permitted hereby and, to the extent expressly contemplated hereby, the Related Parties of each of the Administrative Agent and the Lenders) any legal or equitable right, remedy or claim under or by reason of this Agreement.</w:t>
      </w:r>
    </w:p>
    <w:p>
      <w:pPr>
        <w:spacing w:after="0" w:line="180" w:lineRule="exact"/>
        <w:rPr>
          <w:rFonts w:ascii="Times New Roman" w:cs="Times New Roman" w:eastAsia="Times New Roman" w:hAnsi="Times New Roman"/>
          <w:sz w:val="22"/>
          <w:szCs w:val="22"/>
          <w:color w:val="auto"/>
        </w:rPr>
      </w:pPr>
    </w:p>
    <w:p>
      <w:pPr>
        <w:ind w:left="472" w:firstLine="644"/>
        <w:spacing w:after="0" w:line="287" w:lineRule="auto"/>
        <w:tabs>
          <w:tab w:leader="none" w:pos="1655"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Assignments by Lenders</w:t>
      </w:r>
      <w:r>
        <w:rPr>
          <w:rFonts w:ascii="Times New Roman" w:cs="Times New Roman" w:eastAsia="Times New Roman" w:hAnsi="Times New Roman"/>
          <w:sz w:val="22"/>
          <w:szCs w:val="22"/>
          <w:color w:val="auto"/>
        </w:rPr>
        <w:t>. Any Lender may assign to one or more Persons all or a portion of its rights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under this Agreement (including all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2" w:hanging="352"/>
        <w:spacing w:after="0"/>
        <w:tabs>
          <w:tab w:leader="none" w:pos="352"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300" w:name="page301"/>
    <w:bookmarkEnd w:id="300"/>
    <w:p>
      <w:pPr>
        <w:ind w:left="660"/>
        <w:spacing w:after="0" w:line="271" w:lineRule="auto"/>
        <w:rPr>
          <w:sz w:val="20"/>
          <w:szCs w:val="20"/>
          <w:color w:val="auto"/>
        </w:rPr>
      </w:pPr>
      <w:r>
        <w:rPr>
          <w:rFonts w:ascii="Times New Roman" w:cs="Times New Roman" w:eastAsia="Times New Roman" w:hAnsi="Times New Roman"/>
          <w:sz w:val="22"/>
          <w:szCs w:val="22"/>
          <w:color w:val="auto"/>
        </w:rPr>
        <w:t xml:space="preserve">portion of the Loans at the time owing to it) with the prior written consent of the Administrative Agent (which consent shall not be unreasonably 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w:t>
      </w:r>
    </w:p>
    <w:p>
      <w:pPr>
        <w:spacing w:after="0" w:line="158" w:lineRule="exact"/>
        <w:rPr>
          <w:sz w:val="20"/>
          <w:szCs w:val="20"/>
          <w:color w:val="auto"/>
        </w:rPr>
      </w:pPr>
    </w:p>
    <w:p>
      <w:pPr>
        <w:jc w:val="both"/>
        <w:ind w:left="1300" w:firstLine="652"/>
        <w:spacing w:after="0" w:line="263" w:lineRule="auto"/>
        <w:tabs>
          <w:tab w:leader="none" w:pos="2372"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an assignment to a Lender or an Affiliate (or an Approved Fund of a Lender), the consent of the Borrower shall be required, which consent shall not be unreasonably withheld, conditioned or delayed;</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439"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an assignment to a Lender or an Affiliate (or an Approved Fund) of a Lender, or an assignment of the entire remaining amount of the assigning Lender’s Commitment(s) or Loans, the amount of the Commitment(s) and Loans of the assigning Lender subject to each such assignment (determined as of the date the Assignment and Assumption with respect to such assignment is delivered to the Administrative Agent) shall not be less than $5,000,000 (or an integral multiple of $1,000,000 in excess thereof) unless each of the Borrower and the Administrative Agent otherwise consent;</w:t>
      </w:r>
    </w:p>
    <w:p>
      <w:pPr>
        <w:spacing w:after="0" w:line="181" w:lineRule="exact"/>
        <w:rPr>
          <w:rFonts w:ascii="Times New Roman" w:cs="Times New Roman" w:eastAsia="Times New Roman" w:hAnsi="Times New Roman"/>
          <w:sz w:val="22"/>
          <w:szCs w:val="22"/>
          <w:color w:val="auto"/>
        </w:rPr>
      </w:pPr>
    </w:p>
    <w:p>
      <w:pPr>
        <w:ind w:left="1300" w:firstLine="652"/>
        <w:spacing w:after="0" w:line="271" w:lineRule="auto"/>
        <w:tabs>
          <w:tab w:leader="none" w:pos="2542"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w:t>
      </w:r>
    </w:p>
    <w:p>
      <w:pPr>
        <w:spacing w:after="0" w:line="157" w:lineRule="exact"/>
        <w:rPr>
          <w:rFonts w:ascii="Times New Roman" w:cs="Times New Roman" w:eastAsia="Times New Roman" w:hAnsi="Times New Roman"/>
          <w:sz w:val="22"/>
          <w:szCs w:val="22"/>
          <w:color w:val="auto"/>
        </w:rPr>
      </w:pPr>
    </w:p>
    <w:p>
      <w:pPr>
        <w:ind w:left="1300" w:firstLine="652"/>
        <w:spacing w:after="0" w:line="284" w:lineRule="auto"/>
        <w:tabs>
          <w:tab w:leader="none" w:pos="2509"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an Assignment and Assumption, together with a processing and recordation fee of $3,500;</w:t>
      </w:r>
    </w:p>
    <w:p>
      <w:pPr>
        <w:spacing w:after="0" w:line="143" w:lineRule="exact"/>
        <w:rPr>
          <w:rFonts w:ascii="Times New Roman" w:cs="Times New Roman" w:eastAsia="Times New Roman" w:hAnsi="Times New Roman"/>
          <w:sz w:val="22"/>
          <w:szCs w:val="22"/>
          <w:color w:val="auto"/>
        </w:rPr>
      </w:pPr>
    </w:p>
    <w:p>
      <w:pPr>
        <w:ind w:left="1300" w:firstLine="652"/>
        <w:spacing w:after="0" w:line="271" w:lineRule="auto"/>
        <w:tabs>
          <w:tab w:leader="none" w:pos="2464"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the Administrative Agent an Administrative Questionnaire; and</w:t>
      </w:r>
    </w:p>
    <w:p>
      <w:pPr>
        <w:spacing w:after="0" w:line="157"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shall satisfy all “know your customer” or similar identification procedures required by</w:t>
      </w:r>
    </w:p>
    <w:p>
      <w:pPr>
        <w:spacing w:after="0" w:line="2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(x) any consent of the Borrower otherwise required under this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shall not be required if any Event of Default has occurred and is continuing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 long as such Event of Default is not an Event of Default under </w:t>
      </w:r>
      <w:r>
        <w:rPr>
          <w:rFonts w:ascii="Times New Roman" w:cs="Times New Roman" w:eastAsia="Times New Roman" w:hAnsi="Times New Roman"/>
          <w:sz w:val="21"/>
          <w:szCs w:val="21"/>
          <w:u w:val="single" w:color="auto"/>
          <w:color w:val="auto"/>
        </w:rPr>
        <w:t>Section 7.1(a)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7.1(d)</w:t>
      </w:r>
      <w:r>
        <w:rPr>
          <w:rFonts w:ascii="Times New Roman" w:cs="Times New Roman" w:eastAsia="Times New Roman" w:hAnsi="Times New Roman"/>
          <w:sz w:val="21"/>
          <w:szCs w:val="21"/>
          <w:color w:val="auto"/>
        </w:rPr>
        <w:t xml:space="preserve">, such consent by the Borrower (which shall not be unreasonably withheld, conditioned or delayed) shall be required until the expiration of the time period specified in the final paragraph of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xml:space="preserve">) and (y) in the event of a Default, the Borrower’s consent (not to be unreasonably withheld, conditioned or delayed) shall continue to be required during (A) any applicable cure period in respect of such Default and (B) for so long as the P1 Project Company and the Lenders under the P1 Financing Documents or the Borrower and the Lenders hereunder are actively and in good faith negotiating the terms of a waiver or amendment with respect to any such Default. Upon acceptance and recording pursuant to </w:t>
      </w:r>
      <w:r>
        <w:rPr>
          <w:rFonts w:ascii="Times New Roman" w:cs="Times New Roman" w:eastAsia="Times New Roman" w:hAnsi="Times New Roman"/>
          <w:sz w:val="21"/>
          <w:szCs w:val="21"/>
          <w:u w:val="single" w:color="auto"/>
          <w:color w:val="auto"/>
        </w:rPr>
        <w:t>paragraph (c)</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12.15</w:t>
      </w:r>
      <w:r>
        <w:rPr>
          <w:rFonts w:ascii="Times New Roman" w:cs="Times New Roman" w:eastAsia="Times New Roman" w:hAnsi="Times New Roman"/>
          <w:sz w:val="21"/>
          <w:szCs w:val="21"/>
          <w:color w:val="auto"/>
        </w:rPr>
        <w:t>,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0" w:hanging="352"/>
        <w:spacing w:after="0"/>
        <w:tabs>
          <w:tab w:leader="none" w:pos="54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301" w:name="page302"/>
    <w:bookmarkEnd w:id="301"/>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9.1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12.1</w:t>
      </w:r>
      <w:r>
        <w:rPr>
          <w:rFonts w:ascii="Times New Roman" w:cs="Times New Roman" w:eastAsia="Times New Roman" w:hAnsi="Times New Roman"/>
          <w:sz w:val="22"/>
          <w:szCs w:val="22"/>
          <w:color w:val="auto"/>
        </w:rPr>
        <w:t xml:space="preserve">) with respect to facts and circumstances occurring prior to the effective date of such Assignment and Assumption. Any assignment or transfer by a Lender of rights or obligations under this Agreement that does not comply with this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paragraph (e)(e)</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660" w:firstLine="644"/>
        <w:spacing w:after="0" w:line="250" w:lineRule="auto"/>
        <w:tabs>
          <w:tab w:leader="none" w:pos="1912"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Maintenance of Register by the Administrative Agent</w:t>
      </w:r>
      <w:r>
        <w:rPr>
          <w:rFonts w:ascii="Times New Roman" w:cs="Times New Roman" w:eastAsia="Times New Roman" w:hAnsi="Times New Roman"/>
          <w:sz w:val="22"/>
          <w:szCs w:val="22"/>
          <w:color w:val="auto"/>
        </w:rPr>
        <w:t>. The Administrative Agent, acting solely for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purpose as a non-fiduciary agent of the Borrower, shall maintain at one of its offices in New York City a copy of each Assignment and Assumption delivered to it and a register for the recordation of the names and addresses of the Lenders, and the Commitments of, and principal amount of the Loans (including stated interest)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89"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Effectiveness of Assignments</w:t>
      </w:r>
      <w:r>
        <w:rPr>
          <w:rFonts w:ascii="Times New Roman" w:cs="Times New Roman" w:eastAsia="Times New Roman" w:hAnsi="Times New Roman"/>
          <w:sz w:val="22"/>
          <w:szCs w:val="22"/>
          <w:color w:val="auto"/>
        </w:rPr>
        <w:t>. Upon its receipt of a duly completed Assignment and Assumption executed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xml:space="preserve"> and any written consent to such assignment required by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912"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Participations</w:t>
      </w:r>
      <w:r>
        <w:rPr>
          <w:rFonts w:ascii="Times New Roman" w:cs="Times New Roman" w:eastAsia="Times New Roman" w:hAnsi="Times New Roman"/>
          <w:sz w:val="22"/>
          <w:szCs w:val="22"/>
          <w:color w:val="auto"/>
        </w:rPr>
        <w:t>. Subject to clause (i) below, any Lender may, without the consent of the Borrower,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sell participations to one or more banks or other entities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and the other Finance Documents (including all or a portion of its Commitments and the Loans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such Lender’s obligations under this Agreement and the other Finance Documents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and the other Finance Documents. Any agreement or instrument pursuant to which a Lender sells such a participation shall provide that such Lender shall retain the sole right to enforce this Agreement and the other Finance Documents and to approve any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0" w:hanging="352"/>
        <w:spacing w:after="0"/>
        <w:tabs>
          <w:tab w:leader="none" w:pos="5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302" w:name="page303"/>
    <w:bookmarkEnd w:id="302"/>
    <w:p>
      <w:pPr>
        <w:jc w:val="both"/>
        <w:ind w:left="472"/>
        <w:spacing w:after="0" w:line="260" w:lineRule="auto"/>
        <w:rPr>
          <w:sz w:val="20"/>
          <w:szCs w:val="20"/>
          <w:color w:val="auto"/>
        </w:rPr>
      </w:pPr>
      <w:r>
        <w:rPr>
          <w:rFonts w:ascii="Times New Roman" w:cs="Times New Roman" w:eastAsia="Times New Roman" w:hAnsi="Times New Roman"/>
          <w:sz w:val="21"/>
          <w:szCs w:val="21"/>
          <w:color w:val="auto"/>
        </w:rPr>
        <w:t xml:space="preserve">modification or waiver of any provision of this Agreement or any other Finance Document. Subject to </w:t>
      </w:r>
      <w:r>
        <w:rPr>
          <w:rFonts w:ascii="Times New Roman" w:cs="Times New Roman" w:eastAsia="Times New Roman" w:hAnsi="Times New Roman"/>
          <w:sz w:val="21"/>
          <w:szCs w:val="21"/>
          <w:u w:val="single" w:color="auto"/>
          <w:color w:val="auto"/>
        </w:rPr>
        <w:t>paragraph (f)</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12.15</w:t>
      </w:r>
      <w:r>
        <w:rPr>
          <w:rFonts w:ascii="Times New Roman" w:cs="Times New Roman" w:eastAsia="Times New Roman" w:hAnsi="Times New Roman"/>
          <w:sz w:val="21"/>
          <w:szCs w:val="21"/>
          <w:color w:val="auto"/>
        </w:rPr>
        <w:t xml:space="preserve">, the Borrower agrees that each Participant shall be entitled to the benefits of </w:t>
      </w:r>
      <w:r>
        <w:rPr>
          <w:rFonts w:ascii="Times New Roman" w:cs="Times New Roman" w:eastAsia="Times New Roman" w:hAnsi="Times New Roman"/>
          <w:sz w:val="21"/>
          <w:szCs w:val="21"/>
          <w:u w:val="single" w:color="auto"/>
          <w:color w:val="auto"/>
        </w:rPr>
        <w:t>Sections 9.1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9.3</w:t>
      </w:r>
      <w:r>
        <w:rPr>
          <w:rFonts w:ascii="Times New Roman" w:cs="Times New Roman" w:eastAsia="Times New Roman" w:hAnsi="Times New Roman"/>
          <w:sz w:val="21"/>
          <w:szCs w:val="21"/>
          <w:color w:val="auto"/>
        </w:rPr>
        <w:t xml:space="preserve">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12.15 ; provided</w:t>
      </w:r>
      <w:r>
        <w:rPr>
          <w:rFonts w:ascii="Times New Roman" w:cs="Times New Roman" w:eastAsia="Times New Roman" w:hAnsi="Times New Roman"/>
          <w:sz w:val="21"/>
          <w:szCs w:val="21"/>
          <w:color w:val="auto"/>
        </w:rPr>
        <w:t xml:space="preserve">, that such Participant (A) agrees to be subject to the provisions of </w:t>
      </w:r>
      <w:r>
        <w:rPr>
          <w:rFonts w:ascii="Times New Roman" w:cs="Times New Roman" w:eastAsia="Times New Roman" w:hAnsi="Times New Roman"/>
          <w:sz w:val="21"/>
          <w:szCs w:val="21"/>
          <w:u w:val="single" w:color="auto"/>
          <w:color w:val="auto"/>
        </w:rPr>
        <w:t>Sections 9.4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9.5</w:t>
      </w:r>
      <w:r>
        <w:rPr>
          <w:rFonts w:ascii="Times New Roman" w:cs="Times New Roman" w:eastAsia="Times New Roman" w:hAnsi="Times New Roman"/>
          <w:sz w:val="21"/>
          <w:szCs w:val="21"/>
          <w:color w:val="auto"/>
        </w:rPr>
        <w:t xml:space="preserve"> as if it were an assignee under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above. Each Lender that grants a participation shall, acting solely for this purpose as a non-fiduciary agent of the Borrower, maintain a register on which it enters the name and address of each Participant and the principal and interest amount of each Participant’s interest in the Loan or other obligations under the Finance Documents held by it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Lender shall have any obligation to disclose all or any portion of the Participant Register to any Person (including the identity of any Participant or any information relating to a Participant’s interest in any Commitments, Loans, or its other Obligations under any Finance Document) except to the extent that such disclosure is necessary to establish that the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81" w:lineRule="exact"/>
        <w:rPr>
          <w:sz w:val="20"/>
          <w:szCs w:val="20"/>
          <w:color w:val="auto"/>
        </w:rPr>
      </w:pPr>
    </w:p>
    <w:p>
      <w:pPr>
        <w:jc w:val="both"/>
        <w:ind w:left="472" w:firstLine="644"/>
        <w:spacing w:after="0" w:line="251" w:lineRule="auto"/>
        <w:tabs>
          <w:tab w:leader="none" w:pos="1552"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Limitations on Rights of Participants</w:t>
      </w:r>
      <w:r>
        <w:rPr>
          <w:rFonts w:ascii="Times New Roman" w:cs="Times New Roman" w:eastAsia="Times New Roman" w:hAnsi="Times New Roman"/>
          <w:sz w:val="22"/>
          <w:szCs w:val="22"/>
          <w:color w:val="auto"/>
        </w:rPr>
        <w:t>. A Participant shall not be entitled to receive any greater payment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Sections 9.1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9.3</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unless the sale of the participation to such Participant is made with the Borrower’s prior written consent or except to the extent such entitlement to receive a greater payment results from a Change in Law that occurs after the Participant acquired the applicable participation.</w:t>
      </w:r>
    </w:p>
    <w:p>
      <w:pPr>
        <w:spacing w:after="0" w:line="189" w:lineRule="exact"/>
        <w:rPr>
          <w:rFonts w:ascii="Times New Roman" w:cs="Times New Roman" w:eastAsia="Times New Roman" w:hAnsi="Times New Roman"/>
          <w:sz w:val="22"/>
          <w:szCs w:val="22"/>
          <w:color w:val="auto"/>
        </w:rPr>
      </w:pPr>
    </w:p>
    <w:p>
      <w:pPr>
        <w:jc w:val="both"/>
        <w:ind w:left="472" w:firstLine="644"/>
        <w:spacing w:after="0" w:line="252" w:lineRule="auto"/>
        <w:tabs>
          <w:tab w:leader="none" w:pos="1588"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Pledges</w:t>
      </w:r>
      <w:r>
        <w:rPr>
          <w:rFonts w:ascii="Times New Roman" w:cs="Times New Roman" w:eastAsia="Times New Roman" w:hAnsi="Times New Roman"/>
          <w:sz w:val="22"/>
          <w:szCs w:val="22"/>
          <w:color w:val="auto"/>
        </w:rPr>
        <w:t>. Any Lender may at any time, and without notice to, or consent by, any other Person, pledge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assign a security interest in all or any portion of its rights under this Agreement to secure obligations of such Lender, including any such pledge or assignment to a Federal Reserve Bank or other central bank (whether in the United States or any other jurisdiction), and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xml:space="preserve">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pledge or assignment of a security interest shall release a Lender from any of its obligations hereunder or substitute any such pledgee or assignee for such Lender as a party hereto.</w:t>
      </w:r>
    </w:p>
    <w:p>
      <w:pPr>
        <w:spacing w:after="0" w:line="174" w:lineRule="exact"/>
        <w:rPr>
          <w:rFonts w:ascii="Times New Roman" w:cs="Times New Roman" w:eastAsia="Times New Roman" w:hAnsi="Times New Roman"/>
          <w:sz w:val="22"/>
          <w:szCs w:val="22"/>
          <w:color w:val="auto"/>
        </w:rPr>
      </w:pPr>
    </w:p>
    <w:p>
      <w:pPr>
        <w:jc w:val="both"/>
        <w:ind w:left="472" w:firstLine="644"/>
        <w:spacing w:after="0" w:line="259" w:lineRule="auto"/>
        <w:tabs>
          <w:tab w:leader="none" w:pos="1628"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Securities Trade</w:t>
      </w:r>
      <w:r>
        <w:rPr>
          <w:rFonts w:ascii="Times New Roman" w:cs="Times New Roman" w:eastAsia="Times New Roman" w:hAnsi="Times New Roman"/>
          <w:sz w:val="22"/>
          <w:szCs w:val="22"/>
          <w:color w:val="auto"/>
        </w:rPr>
        <w:t>. Anything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contrary notwithstanding, no Lender may assign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interest in any Loan held by it hereunder to any Credit Party or any Affiliate of any Credit Party without the prior written consent of each other Lender.</w:t>
      </w:r>
    </w:p>
    <w:p>
      <w:pPr>
        <w:spacing w:after="0" w:line="166" w:lineRule="exact"/>
        <w:rPr>
          <w:rFonts w:ascii="Times New Roman" w:cs="Times New Roman" w:eastAsia="Times New Roman" w:hAnsi="Times New Roman"/>
          <w:sz w:val="22"/>
          <w:szCs w:val="22"/>
          <w:color w:val="auto"/>
        </w:rPr>
      </w:pPr>
    </w:p>
    <w:p>
      <w:pPr>
        <w:ind w:left="1532" w:hanging="416"/>
        <w:spacing w:after="0"/>
        <w:tabs>
          <w:tab w:leader="none" w:pos="1532"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Disqualified Institutions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2" w:hanging="352"/>
        <w:spacing w:after="0"/>
        <w:tabs>
          <w:tab w:leader="none" w:pos="352"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303" w:name="page304"/>
    <w:bookmarkEnd w:id="303"/>
    <w:p>
      <w:pPr>
        <w:jc w:val="both"/>
        <w:ind w:left="1112" w:firstLine="652"/>
        <w:spacing w:after="0" w:line="259" w:lineRule="auto"/>
        <w:tabs>
          <w:tab w:leader="none" w:pos="2234" w:val="left"/>
        </w:tabs>
        <w:numPr>
          <w:ilvl w:val="1"/>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assignment or participation shall be made to any Person that was a Disqualified Institution as of the date (the “</w:t>
      </w:r>
      <w:r>
        <w:rPr>
          <w:rFonts w:ascii="Times New Roman" w:cs="Times New Roman" w:eastAsia="Times New Roman" w:hAnsi="Times New Roman"/>
          <w:sz w:val="21"/>
          <w:szCs w:val="21"/>
          <w:u w:val="single" w:color="auto"/>
          <w:color w:val="auto"/>
        </w:rPr>
        <w:t>Trade Date</w:t>
      </w:r>
      <w:r>
        <w:rPr>
          <w:rFonts w:ascii="Times New Roman" w:cs="Times New Roman" w:eastAsia="Times New Roman" w:hAnsi="Times New Roman"/>
          <w:sz w:val="21"/>
          <w:szCs w:val="21"/>
          <w:color w:val="auto"/>
        </w:rPr>
        <w:t>”) on which the assigning Lender entered into a binding agreement to sell and assign all or a portion of its rights and obligations under this Agreement (including through a participation) to such Person (unless the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or any Person that the Borrower removes from the DQ List (including as a result of the delivery of a notice pursuant to, or the expiration of the notice period referred to in, the definition of “Disqualified Institution”), (A) any additional designation or removal permitted by the foregoing shall not apply retroactively to any prior or pending assignment or participation, as applicable, to any Lender or Participant and</w:t>
      </w:r>
    </w:p>
    <w:p>
      <w:pPr>
        <w:spacing w:after="0" w:line="10" w:lineRule="exact"/>
        <w:rPr>
          <w:rFonts w:ascii="Times New Roman" w:cs="Times New Roman" w:eastAsia="Times New Roman" w:hAnsi="Times New Roman"/>
          <w:sz w:val="21"/>
          <w:szCs w:val="21"/>
          <w:color w:val="auto"/>
        </w:rPr>
      </w:pPr>
    </w:p>
    <w:p>
      <w:pPr>
        <w:jc w:val="both"/>
        <w:ind w:left="1112" w:firstLine="4"/>
        <w:spacing w:after="0" w:line="247" w:lineRule="auto"/>
        <w:tabs>
          <w:tab w:leader="none" w:pos="1499"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designation or removal after Financial Close of a Person as a Disqualified Institution shall become effective three Business Days after such designation or removal. Any assignment or participation in violation of this </w:t>
      </w:r>
      <w:r>
        <w:rPr>
          <w:rFonts w:ascii="Times New Roman" w:cs="Times New Roman" w:eastAsia="Times New Roman" w:hAnsi="Times New Roman"/>
          <w:sz w:val="22"/>
          <w:szCs w:val="22"/>
          <w:u w:val="single" w:color="auto"/>
          <w:color w:val="auto"/>
        </w:rPr>
        <w:t>Section 12.15(i)(i)</w:t>
      </w:r>
      <w:r>
        <w:rPr>
          <w:rFonts w:ascii="Times New Roman" w:cs="Times New Roman" w:eastAsia="Times New Roman" w:hAnsi="Times New Roman"/>
          <w:sz w:val="22"/>
          <w:szCs w:val="22"/>
          <w:color w:val="auto"/>
        </w:rPr>
        <w:t xml:space="preserve"> shall not be void, but the other provisions of this </w:t>
      </w:r>
      <w:r>
        <w:rPr>
          <w:rFonts w:ascii="Times New Roman" w:cs="Times New Roman" w:eastAsia="Times New Roman" w:hAnsi="Times New Roman"/>
          <w:sz w:val="22"/>
          <w:szCs w:val="22"/>
          <w:u w:val="single" w:color="auto"/>
          <w:color w:val="auto"/>
        </w:rPr>
        <w:t>Section 12.15(i)</w:t>
      </w:r>
      <w:r>
        <w:rPr>
          <w:rFonts w:ascii="Times New Roman" w:cs="Times New Roman" w:eastAsia="Times New Roman" w:hAnsi="Times New Roman"/>
          <w:sz w:val="22"/>
          <w:szCs w:val="22"/>
          <w:color w:val="auto"/>
        </w:rPr>
        <w:t xml:space="preserve"> shall apply. The Borrower shall deliver notices of any designation or removal of a Disqualified Institution to the Administrative Agent via email to Lodagencyservices@us.mufg.jp and AgencyDesk@us.sc.mufg.jp.</w:t>
      </w:r>
    </w:p>
    <w:p>
      <w:pPr>
        <w:spacing w:after="0" w:line="186" w:lineRule="exact"/>
        <w:rPr>
          <w:rFonts w:ascii="Times New Roman" w:cs="Times New Roman" w:eastAsia="Times New Roman" w:hAnsi="Times New Roman"/>
          <w:sz w:val="22"/>
          <w:szCs w:val="22"/>
          <w:color w:val="auto"/>
        </w:rPr>
      </w:pPr>
    </w:p>
    <w:p>
      <w:pPr>
        <w:jc w:val="both"/>
        <w:ind w:left="1112" w:firstLine="652"/>
        <w:spacing w:after="0" w:line="259" w:lineRule="auto"/>
        <w:tabs>
          <w:tab w:leader="none" w:pos="2345" w:val="left"/>
        </w:tabs>
        <w:numPr>
          <w:ilvl w:val="1"/>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assignment or participation is made to any Disqualified Institution without the Borrower’s prior written consent in violation of </w:t>
      </w:r>
      <w:r>
        <w:rPr>
          <w:rFonts w:ascii="Times New Roman" w:cs="Times New Roman" w:eastAsia="Times New Roman" w:hAnsi="Times New Roman"/>
          <w:sz w:val="21"/>
          <w:szCs w:val="21"/>
          <w:u w:val="single" w:color="auto"/>
          <w:color w:val="auto"/>
        </w:rPr>
        <w:t>Section 12.15(i)(i)</w:t>
      </w:r>
      <w:r>
        <w:rPr>
          <w:rFonts w:ascii="Times New Roman" w:cs="Times New Roman" w:eastAsia="Times New Roman" w:hAnsi="Times New Roman"/>
          <w:sz w:val="21"/>
          <w:szCs w:val="21"/>
          <w:color w:val="auto"/>
        </w:rPr>
        <w:t xml:space="preserve"> above, or if any Person becomes a Disqualified Institution after the applicable Trade Date, the Borrower may, at its sole expense and effort, upon notice to the applicable Disqualified Institution and the Administrative Agent, (A) in accordance with the requirements of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terminate any Commitment of such Disqualified Institution or terminate any Commitment of a Lender which has sold a participation to a Participant which is a Disqualified Institution and repay all obligations of the Borrower owing to such Disqualified Institution in connection with such Commitment, (B) in the case of outstanding Loans held by Disqualified Institutions, purchase or prepay such Loans by paying the lesser of (x) the principal amount thereof and (y) the amount that such Disqualified Institution paid to acquire such Loans or such participation in such Loans, in each case plus accrued interest, accrued fees and all other amounts (other than principal amounts) payable to it hereunder, or (C) require such Disqualified Institution to assign, without recourse (in accordance with and subject to the restrictions contained in this </w:t>
      </w:r>
      <w:r>
        <w:rPr>
          <w:rFonts w:ascii="Times New Roman" w:cs="Times New Roman" w:eastAsia="Times New Roman" w:hAnsi="Times New Roman"/>
          <w:sz w:val="21"/>
          <w:szCs w:val="21"/>
          <w:u w:val="single" w:color="auto"/>
          <w:color w:val="auto"/>
        </w:rPr>
        <w:t>Section 12.15(i)</w:t>
      </w:r>
      <w:r>
        <w:rPr>
          <w:rFonts w:ascii="Times New Roman" w:cs="Times New Roman" w:eastAsia="Times New Roman" w:hAnsi="Times New Roman"/>
          <w:sz w:val="21"/>
          <w:szCs w:val="21"/>
          <w:color w:val="auto"/>
        </w:rPr>
        <w:t>), all of its interest, rights and obligations under this Agreement to one or more other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52" w:hanging="352"/>
        <w:spacing w:after="0"/>
        <w:tabs>
          <w:tab w:leader="none" w:pos="352"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304" w:name="page305"/>
    <w:bookmarkEnd w:id="304"/>
    <w:p>
      <w:pPr>
        <w:ind w:left="2640" w:hanging="688"/>
        <w:spacing w:after="0"/>
        <w:tabs>
          <w:tab w:leader="none" w:pos="2640" w:val="left"/>
        </w:tabs>
        <w:numPr>
          <w:ilvl w:val="1"/>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Disqualified Institutions</w:t>
      </w:r>
    </w:p>
    <w:p>
      <w:pPr>
        <w:spacing w:after="0" w:line="27" w:lineRule="exact"/>
        <w:rPr>
          <w:rFonts w:ascii="Times New Roman" w:cs="Times New Roman" w:eastAsia="Times New Roman" w:hAnsi="Times New Roman"/>
          <w:sz w:val="22"/>
          <w:szCs w:val="22"/>
          <w:color w:val="auto"/>
        </w:rPr>
      </w:pPr>
    </w:p>
    <w:p>
      <w:pPr>
        <w:jc w:val="both"/>
        <w:ind w:left="1300" w:firstLine="4"/>
        <w:spacing w:after="0" w:line="258" w:lineRule="auto"/>
        <w:tabs>
          <w:tab w:leader="none" w:pos="1675" w:val="left"/>
        </w:tabs>
        <w:numPr>
          <w:ilvl w:val="0"/>
          <w:numId w:val="4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will not (x) have the right to receive information, reports or other materials provided to the Lenders by the Borrower or the Administrative Agent,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Finance Documents, each Disqualified Institution will be deemed to have consented in the same proportion as the Lenders that are not Disqualified Institutions consented to such matter, and (y) for purposes of voting on any debtor relief plan, each Disqualified Institution party hereto hereby agrees (1) not to vote on such debtor relief plan, (2) if such Disqualified Institution does vote on such debtor relief plan notwithstanding the restriction in the foregoing </w:t>
      </w:r>
      <w:r>
        <w:rPr>
          <w:rFonts w:ascii="Times New Roman" w:cs="Times New Roman" w:eastAsia="Times New Roman" w:hAnsi="Times New Roman"/>
          <w:sz w:val="21"/>
          <w:szCs w:val="21"/>
          <w:u w:val="single" w:color="auto"/>
          <w:color w:val="auto"/>
        </w:rPr>
        <w:t>clause (1)</w:t>
      </w:r>
      <w:r>
        <w:rPr>
          <w:rFonts w:ascii="Times New Roman" w:cs="Times New Roman" w:eastAsia="Times New Roman" w:hAnsi="Times New Roman"/>
          <w:sz w:val="21"/>
          <w:szCs w:val="21"/>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debtor relief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1"/>
          <w:szCs w:val="21"/>
          <w:u w:val="single" w:color="auto"/>
          <w:color w:val="auto"/>
        </w:rPr>
        <w:t>clause (2)</w:t>
      </w:r>
      <w:r>
        <w:rPr>
          <w:rFonts w:ascii="Times New Roman" w:cs="Times New Roman" w:eastAsia="Times New Roman" w:hAnsi="Times New Roman"/>
          <w:sz w:val="21"/>
          <w:szCs w:val="21"/>
          <w:color w:val="auto"/>
        </w:rPr>
        <w:t>.</w:t>
      </w:r>
    </w:p>
    <w:p>
      <w:pPr>
        <w:spacing w:after="0" w:line="183" w:lineRule="exact"/>
        <w:rPr>
          <w:rFonts w:ascii="Times New Roman" w:cs="Times New Roman" w:eastAsia="Times New Roman" w:hAnsi="Times New Roman"/>
          <w:sz w:val="21"/>
          <w:szCs w:val="21"/>
          <w:color w:val="auto"/>
        </w:rPr>
      </w:pPr>
    </w:p>
    <w:p>
      <w:pPr>
        <w:jc w:val="both"/>
        <w:ind w:left="1300" w:firstLine="652"/>
        <w:spacing w:after="0" w:line="255" w:lineRule="auto"/>
        <w:tabs>
          <w:tab w:leader="none" w:pos="2564" w:val="left"/>
        </w:tabs>
        <w:numPr>
          <w:ilvl w:val="1"/>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 w:cs="Times New Roman" w:eastAsia="Times New Roman" w:hAnsi="Times New Roman"/>
          <w:sz w:val="22"/>
          <w:szCs w:val="22"/>
          <w:u w:val="single" w:color="auto"/>
          <w:color w:val="auto"/>
        </w:rPr>
        <w:t>DQ List</w:t>
      </w:r>
      <w:r>
        <w:rPr>
          <w:rFonts w:ascii="Times New Roman" w:cs="Times New Roman" w:eastAsia="Times New Roman" w:hAnsi="Times New Roman"/>
          <w:sz w:val="22"/>
          <w:szCs w:val="22"/>
          <w:color w:val="auto"/>
        </w:rPr>
        <w:t>”) on an intranet website and notified to the Lenders or</w:t>
      </w:r>
    </w:p>
    <w:p>
      <w:pPr>
        <w:ind w:left="1640" w:hanging="336"/>
        <w:spacing w:after="0"/>
        <w:tabs>
          <w:tab w:leader="none" w:pos="1640"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the DQ List to each Lender requesting the same.</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12.16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Each Lender hereby notifies the Loan Parties that pursuant to the requirements of the PATRIOT Act, it is required to obtain, verify and record information that identifies each Loan Party, which information includes the name and address of such Loan Party and other information that will allow such Lender to identify each Loan Party in accordance with the PATRIOT Act.</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12.17 </w:t>
      </w:r>
      <w:r>
        <w:rPr>
          <w:rFonts w:ascii="Times New Roman" w:cs="Times New Roman" w:eastAsia="Times New Roman" w:hAnsi="Times New Roman"/>
          <w:sz w:val="22"/>
          <w:szCs w:val="22"/>
          <w:u w:val="single" w:color="auto"/>
          <w:color w:val="auto"/>
        </w:rPr>
        <w:t>Limited Recourse</w:t>
      </w:r>
      <w:r>
        <w:rPr>
          <w:rFonts w:ascii="Times New Roman" w:cs="Times New Roman" w:eastAsia="Times New Roman" w:hAnsi="Times New Roman"/>
          <w:sz w:val="22"/>
          <w:szCs w:val="22"/>
          <w:color w:val="auto"/>
        </w:rPr>
        <w:t xml:space="preserve">. The obligations of the Loan Parties under this Agreement and the other Finance Documents to which such Person is party thereto shall be secured solely by the Security Documents. Subject to the final paragraph of this </w:t>
      </w:r>
      <w:r>
        <w:rPr>
          <w:rFonts w:ascii="Times New Roman" w:cs="Times New Roman" w:eastAsia="Times New Roman" w:hAnsi="Times New Roman"/>
          <w:sz w:val="22"/>
          <w:szCs w:val="22"/>
          <w:u w:val="single" w:color="auto"/>
          <w:color w:val="auto"/>
        </w:rPr>
        <w:t>Section 12.17</w:t>
      </w:r>
      <w:r>
        <w:rPr>
          <w:rFonts w:ascii="Times New Roman" w:cs="Times New Roman" w:eastAsia="Times New Roman" w:hAnsi="Times New Roman"/>
          <w:sz w:val="22"/>
          <w:szCs w:val="22"/>
          <w:color w:val="auto"/>
        </w:rPr>
        <w:t>, no recourse shall be had for the payment of any Obligations under any Loan or upon any other obligation, covenant or agreement under this Agreement or any other Finance Document, against the Pledgor or any incorporator, direct or indirect stockholder, member, partner, officer, director, employee or agent as such (including members of any management committee or similar body), whether past, present or future, of a Loan Party or any Affiliate or direct or indirect parent thereof or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0" w:hanging="352"/>
        <w:spacing w:after="0"/>
        <w:tabs>
          <w:tab w:leader="none" w:pos="54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305" w:name="page306"/>
    <w:bookmarkEnd w:id="305"/>
    <w:p>
      <w:pPr>
        <w:jc w:val="both"/>
        <w:spacing w:after="0" w:line="251" w:lineRule="auto"/>
        <w:rPr>
          <w:sz w:val="20"/>
          <w:szCs w:val="20"/>
          <w:color w:val="auto"/>
        </w:rPr>
      </w:pPr>
      <w:r>
        <w:rPr>
          <w:rFonts w:ascii="Times New Roman" w:cs="Times New Roman" w:eastAsia="Times New Roman" w:hAnsi="Times New Roman"/>
          <w:sz w:val="22"/>
          <w:szCs w:val="22"/>
          <w:color w:val="auto"/>
        </w:rPr>
        <w:t>successor corporation thereto or any Excluded Subsidiary (each, hereinafter, a “</w:t>
      </w:r>
      <w:r>
        <w:rPr>
          <w:rFonts w:ascii="Times New Roman" w:cs="Times New Roman" w:eastAsia="Times New Roman" w:hAnsi="Times New Roman"/>
          <w:sz w:val="22"/>
          <w:szCs w:val="22"/>
          <w:u w:val="single" w:color="auto"/>
          <w:color w:val="auto"/>
        </w:rPr>
        <w:t>Non-Recourse Person</w:t>
      </w:r>
      <w:r>
        <w:rPr>
          <w:rFonts w:ascii="Times New Roman" w:cs="Times New Roman" w:eastAsia="Times New Roman" w:hAnsi="Times New Roman"/>
          <w:sz w:val="22"/>
          <w:szCs w:val="22"/>
          <w:color w:val="auto"/>
        </w:rPr>
        <w:t xml:space="preserve"> ”), whether by virtue of any constitutional provision, statute or rule of law or by the enforcement of any assessment or penalty or otherwise. Notwithstanding the foregoing to the contrary, nothing In this </w:t>
      </w:r>
      <w:r>
        <w:rPr>
          <w:rFonts w:ascii="Times New Roman" w:cs="Times New Roman" w:eastAsia="Times New Roman" w:hAnsi="Times New Roman"/>
          <w:sz w:val="22"/>
          <w:szCs w:val="22"/>
          <w:u w:val="single" w:color="auto"/>
          <w:color w:val="auto"/>
        </w:rPr>
        <w:t>Section 12.17</w:t>
      </w:r>
      <w:r>
        <w:rPr>
          <w:rFonts w:ascii="Times New Roman" w:cs="Times New Roman" w:eastAsia="Times New Roman" w:hAnsi="Times New Roman"/>
          <w:sz w:val="22"/>
          <w:szCs w:val="22"/>
          <w:color w:val="auto"/>
        </w:rPr>
        <w:t xml:space="preserve"> shall impair or in any way limit any liabilities or obligations of any Non-Recourse Person: (i) under or pursuant to any Finance Document to which such Non-Recourse Person is party (but then only to the extent set forth in and arising under such Finance Document) or (ii) for misappropriation of funds, fraud, gross negligence, or willful misconduct.</w:t>
      </w:r>
    </w:p>
    <w:p>
      <w:pPr>
        <w:spacing w:after="0" w:line="181"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12.18</w:t>
      </w:r>
      <w:r>
        <w:rPr>
          <w:sz w:val="20"/>
          <w:szCs w:val="20"/>
          <w:color w:val="auto"/>
        </w:rPr>
        <w:tab/>
      </w:r>
      <w:r>
        <w:rPr>
          <w:rFonts w:ascii="Times New Roman" w:cs="Times New Roman" w:eastAsia="Times New Roman" w:hAnsi="Times New Roman"/>
          <w:sz w:val="21"/>
          <w:szCs w:val="21"/>
          <w:u w:val="single" w:color="auto"/>
          <w:color w:val="auto"/>
        </w:rPr>
        <w:t>Treatment of Certain Information; Confidentiality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660" w:firstLine="644"/>
        <w:spacing w:after="0" w:line="251" w:lineRule="auto"/>
        <w:tabs>
          <w:tab w:leader="none" w:pos="1874"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acknowledges that (i) from time to time financial advisory, investment banking and other services may be offered or provided to it (in connection with this Agreement or otherwise) by each Lender or by one or more subsidiaries or affiliates of such Lender and (ii) information delivered to each Lender by any Credit Party may be provided to each such subsidiary and affiliate, it being understood that any such subsidiary or affiliate receiving such information shall agree with the relevant Lender to be bound by the provisions of </w:t>
      </w:r>
      <w:r>
        <w:rPr>
          <w:rFonts w:ascii="Times New Roman" w:cs="Times New Roman" w:eastAsia="Times New Roman" w:hAnsi="Times New Roman"/>
          <w:sz w:val="22"/>
          <w:szCs w:val="22"/>
          <w:u w:val="single" w:color="auto"/>
          <w:color w:val="auto"/>
        </w:rPr>
        <w:t>Section 12.18(b)</w:t>
      </w:r>
      <w:r>
        <w:rPr>
          <w:rFonts w:ascii="Times New Roman" w:cs="Times New Roman" w:eastAsia="Times New Roman" w:hAnsi="Times New Roman"/>
          <w:sz w:val="22"/>
          <w:szCs w:val="22"/>
          <w:color w:val="auto"/>
        </w:rPr>
        <w:t xml:space="preserve"> as if it were a Lender under this Agreement.</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0" w:lineRule="auto"/>
        <w:tabs>
          <w:tab w:leader="none" w:pos="1816" w:val="left"/>
        </w:tabs>
        <w:numPr>
          <w:ilvl w:val="0"/>
          <w:numId w:val="4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Lenders hereby agrees (on behalf of itself and each of its Affiliates and to its and its Affiliates’ respective shareholders, members, partners, directors, officers, employees, agents, advisors, auditors, service providers, and representatives) to keep confidential, in accordance with its customary procedures for handling confidential information of this nature and in accordance with safe and sound banking practices, any information supplied to it by or on behalf of any Credit Party in connection with the Finance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Agreement shall limit the disclosure of any such information (i) to the extent requested by any regulatory authority or required by any applicable Government Rule or judicial process, (ii) to counsel for any of the Lenders or any Agent, so long as counsel to such parties agrees, with the relevant Lenders before receiving such information, to maintain the confidentiality of the information as provided in this </w:t>
      </w:r>
      <w:r>
        <w:rPr>
          <w:rFonts w:ascii="Times New Roman" w:cs="Times New Roman" w:eastAsia="Times New Roman" w:hAnsi="Times New Roman"/>
          <w:sz w:val="21"/>
          <w:szCs w:val="21"/>
          <w:u w:val="single" w:color="auto"/>
          <w:color w:val="auto"/>
        </w:rPr>
        <w:t>Section 12.18(b)</w:t>
      </w:r>
      <w:r>
        <w:rPr>
          <w:rFonts w:ascii="Times New Roman" w:cs="Times New Roman" w:eastAsia="Times New Roman" w:hAnsi="Times New Roman"/>
          <w:sz w:val="21"/>
          <w:szCs w:val="21"/>
          <w:color w:val="auto"/>
        </w:rPr>
        <w:t xml:space="preserve">, (iii) to any direct or indirect provider of credit protection to any Lender (so long as each such provider agrees with the relevant Lender, before receiving such information, to maintain the confidentiality of the information as provided in this </w:t>
      </w:r>
      <w:r>
        <w:rPr>
          <w:rFonts w:ascii="Times New Roman" w:cs="Times New Roman" w:eastAsia="Times New Roman" w:hAnsi="Times New Roman"/>
          <w:sz w:val="21"/>
          <w:szCs w:val="21"/>
          <w:u w:val="single" w:color="auto"/>
          <w:color w:val="auto"/>
        </w:rPr>
        <w:t>Section 12.18(b)</w:t>
      </w:r>
      <w:r>
        <w:rPr>
          <w:rFonts w:ascii="Times New Roman" w:cs="Times New Roman" w:eastAsia="Times New Roman" w:hAnsi="Times New Roman"/>
          <w:sz w:val="21"/>
          <w:szCs w:val="21"/>
          <w:color w:val="auto"/>
        </w:rPr>
        <w:t xml:space="preserve">) or any bank examiners, rating agencies, auditors or accountants, (iv) to any Agent or any other Lender (or any subsidiary or affiliate of any Lender referred to in </w:t>
      </w:r>
      <w:r>
        <w:rPr>
          <w:rFonts w:ascii="Times New Roman" w:cs="Times New Roman" w:eastAsia="Times New Roman" w:hAnsi="Times New Roman"/>
          <w:sz w:val="21"/>
          <w:szCs w:val="21"/>
          <w:u w:val="single" w:color="auto"/>
          <w:color w:val="auto"/>
        </w:rPr>
        <w:t>Section 12.18(a)</w:t>
      </w:r>
      <w:r>
        <w:rPr>
          <w:rFonts w:ascii="Times New Roman" w:cs="Times New Roman" w:eastAsia="Times New Roman" w:hAnsi="Times New Roman"/>
          <w:sz w:val="21"/>
          <w:szCs w:val="21"/>
          <w:color w:val="auto"/>
        </w:rPr>
        <w:t xml:space="preserve">), (v) after notice to any Credit Party (to the extent such prior notice is legally permitted), in connection with any litigation to which any one or more of the Lenders or any Agent is a party and pursuant to which such Lender or any Agent has been compelled or required to disclose such information upon the advice of counsel to such Lender or Agent, (vi) to any experts engaged by any Agent or any Lender in connection with this Agreement and the transactions contemplated by this Agreement and the other Finance Documents, so long as such parties agree with the relevant Lender, before receiving such information, to maintain the confidentiality of the information as provided in this </w:t>
      </w:r>
      <w:r>
        <w:rPr>
          <w:rFonts w:ascii="Times New Roman" w:cs="Times New Roman" w:eastAsia="Times New Roman" w:hAnsi="Times New Roman"/>
          <w:sz w:val="21"/>
          <w:szCs w:val="21"/>
          <w:u w:val="single" w:color="auto"/>
          <w:color w:val="auto"/>
        </w:rPr>
        <w:t>Section 12.18(b)</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hanging="352"/>
        <w:spacing w:after="0"/>
        <w:tabs>
          <w:tab w:leader="none" w:pos="54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306" w:name="page307"/>
    <w:bookmarkEnd w:id="306"/>
    <w:p>
      <w:pPr>
        <w:jc w:val="both"/>
        <w:ind w:left="660" w:hanging="4"/>
        <w:spacing w:after="0" w:line="248" w:lineRule="auto"/>
        <w:tabs>
          <w:tab w:leader="none" w:pos="1103"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such information is required to be disclosed to a Government Authority in connection with a tax audit or dispute, (viii) in connection with any Event of Default and any enforcement or collection proceedings resulting from such Event of Default or in connection with the negotiation of any restructuring or “work out” (whether or not consummated) of the obligations of any Credit Party under the Finance Documents, (ix) subject to an agreement entered into with the relevant Lender before any such information is provided to it and containing provisions substantially the same as those of this </w:t>
      </w:r>
      <w:r>
        <w:rPr>
          <w:rFonts w:ascii="Times New Roman" w:cs="Times New Roman" w:eastAsia="Times New Roman" w:hAnsi="Times New Roman"/>
          <w:sz w:val="22"/>
          <w:szCs w:val="22"/>
          <w:u w:val="single" w:color="auto"/>
          <w:color w:val="auto"/>
        </w:rPr>
        <w:t>Section 12.18</w:t>
      </w:r>
      <w:r>
        <w:rPr>
          <w:rFonts w:ascii="Times New Roman" w:cs="Times New Roman" w:eastAsia="Times New Roman" w:hAnsi="Times New Roman"/>
          <w:sz w:val="22"/>
          <w:szCs w:val="22"/>
          <w:color w:val="auto"/>
        </w:rPr>
        <w:t xml:space="preserve">, to any assignee or participant (or prospective assignee or participant) or (x) to pledgees or assignees of a Lender pursuant to </w:t>
      </w:r>
      <w:r>
        <w:rPr>
          <w:rFonts w:ascii="Times New Roman" w:cs="Times New Roman" w:eastAsia="Times New Roman" w:hAnsi="Times New Roman"/>
          <w:sz w:val="22"/>
          <w:szCs w:val="22"/>
          <w:u w:val="single" w:color="auto"/>
          <w:color w:val="auto"/>
        </w:rPr>
        <w:t>Section 12.15(d)</w:t>
      </w:r>
      <w:r>
        <w:rPr>
          <w:rFonts w:ascii="Times New Roman" w:cs="Times New Roman" w:eastAsia="Times New Roman" w:hAnsi="Times New Roman"/>
          <w:sz w:val="22"/>
          <w:szCs w:val="22"/>
          <w:color w:val="auto"/>
        </w:rPr>
        <w:t xml:space="preserve">. In no event shall any Lender or any Agent be obligated or required to return any materials furnished by any Credit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confidential information retained by such Lender or Agent shall continue to be subject to the provisions of this </w:t>
      </w:r>
      <w:r>
        <w:rPr>
          <w:rFonts w:ascii="Times New Roman" w:cs="Times New Roman" w:eastAsia="Times New Roman" w:hAnsi="Times New Roman"/>
          <w:sz w:val="22"/>
          <w:szCs w:val="22"/>
          <w:u w:val="single" w:color="auto"/>
          <w:color w:val="auto"/>
        </w:rPr>
        <w:t>Section 12.18(b)</w:t>
      </w:r>
      <w:r>
        <w:rPr>
          <w:rFonts w:ascii="Times New Roman" w:cs="Times New Roman" w:eastAsia="Times New Roman" w:hAnsi="Times New Roman"/>
          <w:sz w:val="22"/>
          <w:szCs w:val="22"/>
          <w:color w:val="auto"/>
        </w:rPr>
        <w:t xml:space="preserve">. The obligations of each Lender under this </w:t>
      </w:r>
      <w:r>
        <w:rPr>
          <w:rFonts w:ascii="Times New Roman" w:cs="Times New Roman" w:eastAsia="Times New Roman" w:hAnsi="Times New Roman"/>
          <w:sz w:val="22"/>
          <w:szCs w:val="22"/>
          <w:u w:val="single" w:color="auto"/>
          <w:color w:val="auto"/>
        </w:rPr>
        <w:t>Section 12.18</w:t>
      </w:r>
      <w:r>
        <w:rPr>
          <w:rFonts w:ascii="Times New Roman" w:cs="Times New Roman" w:eastAsia="Times New Roman" w:hAnsi="Times New Roman"/>
          <w:sz w:val="22"/>
          <w:szCs w:val="22"/>
          <w:color w:val="auto"/>
        </w:rPr>
        <w:t xml:space="preserve"> shall supersede and replace the obligations of such Lender under any confidentiality letter or other confidentiality obligation, in respect of this financing effective prior to the date of the execution and delivery of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12.19 </w:t>
      </w:r>
      <w:r>
        <w:rPr>
          <w:rFonts w:ascii="Times New Roman" w:cs="Times New Roman" w:eastAsia="Times New Roman" w:hAnsi="Times New Roman"/>
          <w:sz w:val="22"/>
          <w:szCs w:val="22"/>
          <w:u w:val="single" w:color="auto"/>
          <w:color w:val="auto"/>
        </w:rPr>
        <w:t>Coordinating Lead Arranger</w:t>
      </w:r>
      <w:r>
        <w:rPr>
          <w:rFonts w:ascii="Times New Roman" w:cs="Times New Roman" w:eastAsia="Times New Roman" w:hAnsi="Times New Roman"/>
          <w:sz w:val="22"/>
          <w:szCs w:val="22"/>
          <w:color w:val="auto"/>
        </w:rPr>
        <w:t>. The parties agree that the Coordinating Lead Arranger, in its capacity as such, shall not have any duties (including any fiduciary or advisory duties), obligations, liability or responsibility under or in connection with this Agreement and the other Finance Documents.</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12.20 </w:t>
      </w:r>
      <w:r>
        <w:rPr>
          <w:rFonts w:ascii="Times New Roman" w:cs="Times New Roman" w:eastAsia="Times New Roman" w:hAnsi="Times New Roman"/>
          <w:sz w:val="22"/>
          <w:szCs w:val="22"/>
          <w:u w:val="single" w:color="auto"/>
          <w:color w:val="auto"/>
        </w:rPr>
        <w:t>Restricted Lenders</w:t>
      </w:r>
      <w:r>
        <w:rPr>
          <w:rFonts w:ascii="Times New Roman" w:cs="Times New Roman" w:eastAsia="Times New Roman" w:hAnsi="Times New Roman"/>
          <w:sz w:val="22"/>
          <w:szCs w:val="22"/>
          <w:color w:val="auto"/>
        </w:rPr>
        <w:t xml:space="preserve">. Notwithstanding anything to the contrary in </w:t>
      </w:r>
      <w:r>
        <w:rPr>
          <w:rFonts w:ascii="Times New Roman" w:cs="Times New Roman" w:eastAsia="Times New Roman" w:hAnsi="Times New Roman"/>
          <w:sz w:val="22"/>
          <w:szCs w:val="22"/>
          <w:u w:val="single" w:color="auto"/>
          <w:color w:val="auto"/>
        </w:rPr>
        <w:t>Section 4.15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5.5(a)(iii)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of this Agreement, in relation to each Lender that is incorporated in a non-US jurisdiction or that otherwise notifies the Administrative Agent to this effect (each a “</w:t>
      </w:r>
      <w:r>
        <w:rPr>
          <w:rFonts w:ascii="Times New Roman" w:cs="Times New Roman" w:eastAsia="Times New Roman" w:hAnsi="Times New Roman"/>
          <w:sz w:val="22"/>
          <w:szCs w:val="22"/>
          <w:u w:val="single" w:color="auto"/>
          <w:color w:val="auto"/>
        </w:rPr>
        <w:t>Restricted Lender</w:t>
      </w:r>
      <w:r>
        <w:rPr>
          <w:rFonts w:ascii="Times New Roman" w:cs="Times New Roman" w:eastAsia="Times New Roman" w:hAnsi="Times New Roman"/>
          <w:sz w:val="22"/>
          <w:szCs w:val="22"/>
          <w:color w:val="auto"/>
        </w:rPr>
        <w:t>”), the representations and undertakings in the provisions of such Sections shall only apply for the benefit of such Restricted Lender and shall only be given by the Borrower to such Restricted Lender to the extent that the sanctions provisions would not result in any violation of, conflict with or liability under (i) EU Regulation (EC) 2271/96, (ii) section 7 of the foreign trade rules (AWV) (Außenwirtschaftsverordnung) (in connection with section 4 paragraph 1 no. 3 and Section 19 paragraph 3 no. 1(a) foreign trade law (AWG) (Außenwirtschaftsgesetz)), or (iii) a similar anti-boycott statute or other applicable Government Rule as in effect in that Restricted Lender’s home jurisdiction.</w:t>
      </w:r>
    </w:p>
    <w:p>
      <w:pPr>
        <w:spacing w:after="0" w:line="182"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12.21</w:t>
      </w:r>
      <w:r>
        <w:rPr>
          <w:sz w:val="20"/>
          <w:szCs w:val="20"/>
          <w:color w:val="auto"/>
        </w:rPr>
        <w:tab/>
      </w:r>
      <w:r>
        <w:rPr>
          <w:rFonts w:ascii="Times New Roman" w:cs="Times New Roman" w:eastAsia="Times New Roman" w:hAnsi="Times New Roman"/>
          <w:sz w:val="21"/>
          <w:szCs w:val="21"/>
          <w:u w:val="single" w:color="auto"/>
          <w:color w:val="auto"/>
        </w:rPr>
        <w:t>Acknowledgment Regarding Any Supported QFCs</w:t>
      </w:r>
    </w:p>
    <w:p>
      <w:pPr>
        <w:spacing w:after="0" w:line="233" w:lineRule="exact"/>
        <w:rPr>
          <w:sz w:val="20"/>
          <w:szCs w:val="20"/>
          <w:color w:val="auto"/>
        </w:rPr>
      </w:pPr>
    </w:p>
    <w:p>
      <w:pPr>
        <w:jc w:val="both"/>
        <w:ind w:left="660" w:firstLine="644"/>
        <w:spacing w:after="0" w:line="250" w:lineRule="auto"/>
        <w:tabs>
          <w:tab w:leader="none" w:pos="1776"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P1 Financing Documents provide support, through a guarantee or otherwise, for Hedge Agreements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P1 Financing Documents and any Supported QFC may in fact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0" w:hanging="352"/>
        <w:spacing w:after="0"/>
        <w:tabs>
          <w:tab w:leader="none" w:pos="54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240"/>
          </w:cols>
          <w:pgMar w:left="320" w:top="1422" w:right="339" w:bottom="1440" w:gutter="0" w:footer="0" w:header="0"/>
        </w:sectPr>
      </w:pPr>
    </w:p>
    <w:bookmarkStart w:id="307" w:name="page308"/>
    <w:bookmarkEnd w:id="307"/>
    <w:p>
      <w:pPr>
        <w:ind w:left="472"/>
        <w:spacing w:after="0" w:line="271" w:lineRule="auto"/>
        <w:rPr>
          <w:sz w:val="20"/>
          <w:szCs w:val="20"/>
          <w:color w:val="auto"/>
        </w:rPr>
      </w:pPr>
      <w:r>
        <w:rPr>
          <w:rFonts w:ascii="Times New Roman" w:cs="Times New Roman" w:eastAsia="Times New Roman" w:hAnsi="Times New Roman"/>
          <w:sz w:val="22"/>
          <w:szCs w:val="22"/>
          <w:color w:val="auto"/>
        </w:rPr>
        <w:t>stated to be governed by the laws of the State of New York and/or of the United States or any other state of the United States):</w:t>
      </w:r>
    </w:p>
    <w:p>
      <w:pPr>
        <w:spacing w:after="0" w:line="158" w:lineRule="exact"/>
        <w:rPr>
          <w:sz w:val="20"/>
          <w:szCs w:val="20"/>
          <w:color w:val="auto"/>
        </w:rPr>
      </w:pPr>
    </w:p>
    <w:p>
      <w:pPr>
        <w:jc w:val="both"/>
        <w:ind w:left="472" w:firstLine="644"/>
        <w:spacing w:after="0" w:line="248" w:lineRule="auto"/>
        <w:tabs>
          <w:tab w:leader="none" w:pos="1602"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P1 Financing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P1 Financing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7" w:lineRule="exact"/>
        <w:rPr>
          <w:rFonts w:ascii="Times New Roman" w:cs="Times New Roman" w:eastAsia="Times New Roman" w:hAnsi="Times New Roman"/>
          <w:sz w:val="22"/>
          <w:szCs w:val="22"/>
          <w:color w:val="auto"/>
        </w:rPr>
      </w:pPr>
    </w:p>
    <w:p>
      <w:pPr>
        <w:ind w:left="1552" w:hanging="436"/>
        <w:spacing w:after="0"/>
        <w:tabs>
          <w:tab w:leader="none" w:pos="1552"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12.21</w:t>
      </w:r>
      <w:r>
        <w:rPr>
          <w:rFonts w:ascii="Times New Roman" w:cs="Times New Roman" w:eastAsia="Times New Roman" w:hAnsi="Times New Roman"/>
          <w:sz w:val="22"/>
          <w:szCs w:val="22"/>
          <w:color w:val="auto"/>
        </w:rPr>
        <w:t>, the following terms have the following meanings:</w:t>
      </w:r>
    </w:p>
    <w:p>
      <w:pPr>
        <w:spacing w:after="0" w:line="220" w:lineRule="exact"/>
        <w:rPr>
          <w:sz w:val="20"/>
          <w:szCs w:val="20"/>
          <w:color w:val="auto"/>
        </w:rPr>
      </w:pPr>
    </w:p>
    <w:p>
      <w:pPr>
        <w:ind w:left="1112"/>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71" w:lineRule="exact"/>
        <w:rPr>
          <w:sz w:val="20"/>
          <w:szCs w:val="20"/>
          <w:color w:val="auto"/>
        </w:rPr>
      </w:pPr>
    </w:p>
    <w:p>
      <w:pPr>
        <w:ind w:left="111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20" w:lineRule="exact"/>
        <w:rPr>
          <w:sz w:val="20"/>
          <w:szCs w:val="20"/>
          <w:color w:val="auto"/>
        </w:rPr>
      </w:pPr>
    </w:p>
    <w:p>
      <w:pPr>
        <w:ind w:left="2372" w:hanging="608"/>
        <w:spacing w:after="0"/>
        <w:tabs>
          <w:tab w:leader="none" w:pos="2372"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w:t>
      </w:r>
    </w:p>
    <w:p>
      <w:pPr>
        <w:spacing w:after="0" w:line="27" w:lineRule="exact"/>
        <w:rPr>
          <w:rFonts w:ascii="Times New Roman" w:cs="Times New Roman" w:eastAsia="Times New Roman" w:hAnsi="Times New Roman"/>
          <w:sz w:val="22"/>
          <w:szCs w:val="22"/>
          <w:color w:val="auto"/>
        </w:rPr>
      </w:pPr>
    </w:p>
    <w:p>
      <w:pPr>
        <w:ind w:left="111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252.82(b);</w:t>
      </w:r>
    </w:p>
    <w:p>
      <w:pPr>
        <w:spacing w:after="0" w:line="195" w:lineRule="exact"/>
        <w:rPr>
          <w:rFonts w:ascii="Times New Roman" w:cs="Times New Roman" w:eastAsia="Times New Roman" w:hAnsi="Times New Roman"/>
          <w:sz w:val="22"/>
          <w:szCs w:val="22"/>
          <w:color w:val="auto"/>
        </w:rPr>
      </w:pPr>
    </w:p>
    <w:p>
      <w:pPr>
        <w:ind w:left="2272" w:hanging="508"/>
        <w:spacing w:after="0"/>
        <w:tabs>
          <w:tab w:leader="none" w:pos="2272" w:val="left"/>
        </w:tabs>
        <w:numPr>
          <w:ilvl w:val="0"/>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 § 47.3(b);</w:t>
      </w:r>
    </w:p>
    <w:p>
      <w:pPr>
        <w:spacing w:after="0" w:line="39" w:lineRule="exact"/>
        <w:rPr>
          <w:rFonts w:ascii="Times New Roman" w:cs="Times New Roman" w:eastAsia="Times New Roman" w:hAnsi="Times New Roman"/>
          <w:sz w:val="21"/>
          <w:szCs w:val="21"/>
          <w:color w:val="auto"/>
        </w:rPr>
      </w:pPr>
    </w:p>
    <w:p>
      <w:pPr>
        <w:ind w:left="1112"/>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209" w:lineRule="exact"/>
        <w:rPr>
          <w:rFonts w:ascii="Times New Roman" w:cs="Times New Roman" w:eastAsia="Times New Roman" w:hAnsi="Times New Roman"/>
          <w:sz w:val="21"/>
          <w:szCs w:val="21"/>
          <w:color w:val="auto"/>
        </w:rPr>
      </w:pPr>
    </w:p>
    <w:p>
      <w:pPr>
        <w:ind w:left="2312" w:hanging="548"/>
        <w:spacing w:after="0"/>
        <w:tabs>
          <w:tab w:leader="none" w:pos="2312" w:val="left"/>
        </w:tabs>
        <w:numPr>
          <w:ilvl w:val="0"/>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231" w:lineRule="exact"/>
        <w:rPr>
          <w:sz w:val="20"/>
          <w:szCs w:val="20"/>
          <w:color w:val="auto"/>
        </w:rPr>
      </w:pPr>
    </w:p>
    <w:p>
      <w:pPr>
        <w:ind w:left="1112"/>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85" w:lineRule="exact"/>
        <w:rPr>
          <w:sz w:val="20"/>
          <w:szCs w:val="20"/>
          <w:color w:val="auto"/>
        </w:rPr>
      </w:pPr>
    </w:p>
    <w:p>
      <w:pPr>
        <w:ind w:left="1112"/>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2" w:hanging="352"/>
        <w:spacing w:after="0"/>
        <w:tabs>
          <w:tab w:leader="none" w:pos="352"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11052"/>
          </w:cols>
          <w:pgMar w:left="508" w:top="1422" w:right="339" w:bottom="1440" w:gutter="0" w:footer="0" w:header="0"/>
        </w:sectPr>
      </w:pPr>
    </w:p>
    <w:bookmarkStart w:id="308" w:name="page309"/>
    <w:bookmarkEnd w:id="308"/>
    <w:p>
      <w:pPr>
        <w:spacing w:after="0" w:line="200" w:lineRule="exact"/>
        <w:rPr>
          <w:sz w:val="20"/>
          <w:szCs w:val="20"/>
          <w:color w:val="auto"/>
        </w:rPr>
      </w:pPr>
    </w:p>
    <w:p>
      <w:pPr>
        <w:spacing w:after="0" w:line="237"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0" w:hanging="352"/>
        <w:spacing w:after="0"/>
        <w:tabs>
          <w:tab w:leader="none" w:pos="36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and Guaranty Agreement (NextDecade LNG)</w:t>
      </w:r>
    </w:p>
    <w:p>
      <w:pPr>
        <w:sectPr>
          <w:pgSz w:w="11900" w:h="16838" w:orient="portrait"/>
          <w:cols w:equalWidth="0" w:num="1">
            <w:col w:w="9959"/>
          </w:cols>
          <w:pgMar w:left="500" w:top="1440" w:right="1440" w:bottom="1440" w:gutter="0" w:footer="0" w:header="0"/>
        </w:sectPr>
      </w:pPr>
    </w:p>
    <w:bookmarkStart w:id="309" w:name="page310"/>
    <w:bookmarkEnd w:id="30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and acknowledged by their respective officers or representatives hereunto duly authorized, as of the date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NEXTDECADE LNG, LLC</w:t>
      </w:r>
    </w:p>
    <w:p>
      <w:pPr>
        <w:spacing w:after="0" w:line="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2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Brent Wahl</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Brent Wahl</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RIO GRANDE LNG SUPER HOLDINGS, LLC</w:t>
      </w:r>
    </w:p>
    <w:p>
      <w:pPr>
        <w:spacing w:after="0" w:line="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Subsidiary Guarantor</w:t>
      </w:r>
    </w:p>
    <w:p>
      <w:pPr>
        <w:spacing w:after="0" w:line="200" w:lineRule="exact"/>
        <w:rPr>
          <w:sz w:val="20"/>
          <w:szCs w:val="20"/>
          <w:color w:val="auto"/>
        </w:rPr>
      </w:pPr>
    </w:p>
    <w:p>
      <w:pPr>
        <w:spacing w:after="0" w:line="22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Brent Wahl</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Brent Wahl</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right="11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RIO GRANDE LNG INTERMEDIATE SUPER HOLDINGS, LLC </w:t>
      </w:r>
      <w:r>
        <w:rPr>
          <w:rFonts w:ascii="Times New Roman" w:cs="Times New Roman" w:eastAsia="Times New Roman" w:hAnsi="Times New Roman"/>
          <w:sz w:val="22"/>
          <w:szCs w:val="22"/>
          <w:color w:val="auto"/>
        </w:rPr>
        <w:t>as Subsidiary Guarantor</w:t>
      </w:r>
    </w:p>
    <w:p>
      <w:pPr>
        <w:spacing w:after="0" w:line="38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Brent Wahl</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Brent Wahl</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RGLNG Holdco Credit Agreement</w:t>
      </w:r>
    </w:p>
    <w:p>
      <w:pPr>
        <w:sectPr>
          <w:pgSz w:w="11900" w:h="16838" w:orient="portrait"/>
          <w:cols w:equalWidth="0" w:num="1">
            <w:col w:w="11240"/>
          </w:cols>
          <w:pgMar w:left="320" w:top="1422" w:right="339" w:bottom="1440" w:gutter="0" w:footer="0" w:header="0"/>
        </w:sectPr>
      </w:pPr>
    </w:p>
    <w:bookmarkStart w:id="310" w:name="page311"/>
    <w:bookmarkEnd w:id="310"/>
    <w:p>
      <w:pPr>
        <w:ind w:left="2780"/>
        <w:spacing w:after="0"/>
        <w:rPr>
          <w:sz w:val="20"/>
          <w:szCs w:val="20"/>
          <w:color w:val="auto"/>
        </w:rPr>
      </w:pPr>
      <w:r>
        <w:rPr>
          <w:rFonts w:ascii="Times New Roman" w:cs="Times New Roman" w:eastAsia="Times New Roman" w:hAnsi="Times New Roman"/>
          <w:sz w:val="22"/>
          <w:szCs w:val="22"/>
          <w:b w:val="1"/>
          <w:bCs w:val="1"/>
          <w:color w:val="auto"/>
        </w:rPr>
        <w:t>MUFG BANK, LTD.</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Lawrence Blat</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Lawrence Blat</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RGLNG Holdco Credit Agreement</w:t>
      </w:r>
    </w:p>
    <w:p>
      <w:pPr>
        <w:sectPr>
          <w:pgSz w:w="11900" w:h="16838" w:orient="portrait"/>
          <w:cols w:equalWidth="0" w:num="1">
            <w:col w:w="9019"/>
          </w:cols>
          <w:pgMar w:left="1440" w:top="1418" w:right="1440" w:bottom="1440" w:gutter="0" w:footer="0" w:header="0"/>
        </w:sectPr>
      </w:pPr>
    </w:p>
    <w:bookmarkStart w:id="311" w:name="page312"/>
    <w:bookmarkEnd w:id="311"/>
    <w:p>
      <w:pPr>
        <w:ind w:left="2780"/>
        <w:spacing w:after="0"/>
        <w:rPr>
          <w:sz w:val="20"/>
          <w:szCs w:val="20"/>
          <w:color w:val="auto"/>
        </w:rPr>
      </w:pPr>
      <w:r>
        <w:rPr>
          <w:rFonts w:ascii="Times New Roman" w:cs="Times New Roman" w:eastAsia="Times New Roman" w:hAnsi="Times New Roman"/>
          <w:sz w:val="22"/>
          <w:szCs w:val="22"/>
          <w:b w:val="1"/>
          <w:bCs w:val="1"/>
          <w:color w:val="auto"/>
        </w:rPr>
        <w:t>MUFG BANK, LTD.</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Chip Lewis</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Chip Lewis</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RGLNG Holdco Credit Agreement</w:t>
      </w:r>
    </w:p>
    <w:p>
      <w:pPr>
        <w:sectPr>
          <w:pgSz w:w="11900" w:h="16838" w:orient="portrait"/>
          <w:cols w:equalWidth="0" w:num="1">
            <w:col w:w="9019"/>
          </w:cols>
          <w:pgMar w:left="1440" w:top="1418" w:right="1440" w:bottom="1440" w:gutter="0" w:footer="0" w:header="0"/>
        </w:sectPr>
      </w:pPr>
    </w:p>
    <w:bookmarkStart w:id="312" w:name="page313"/>
    <w:bookmarkEnd w:id="312"/>
    <w:p>
      <w:pPr>
        <w:jc w:val="center"/>
        <w:spacing w:after="0"/>
        <w:rPr>
          <w:sz w:val="20"/>
          <w:szCs w:val="20"/>
          <w:color w:val="auto"/>
        </w:rPr>
      </w:pPr>
      <w:r>
        <w:rPr>
          <w:rFonts w:ascii="Times New Roman" w:cs="Times New Roman" w:eastAsia="Times New Roman" w:hAnsi="Times New Roman"/>
          <w:sz w:val="22"/>
          <w:szCs w:val="22"/>
          <w:color w:val="auto"/>
        </w:rPr>
        <w:t>Schedule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Credit Agreement</w:t>
      </w:r>
    </w:p>
    <w:p>
      <w:pPr>
        <w:spacing w:after="0" w:line="209"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shall have the following meanings: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xml:space="preserve">” means, for any day, a rate per annum equal to the highest of (a) the Prime Rate in effect on such day as determined by the Administrative Agent, (b) the Federal Funds Effective Rate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0.50% and (c) Term SOFR for a one-month tenor in effect on such day (or, if such day is not a Business Day, on the immediately preceding Business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1.0%. Any change in the ABR due to a change in the Prime Rate, the Federal Funds Effective Rate or Term SOFR shall be effective from and including the effective date of such change in the Prime Rate, the Federal Funds Effective Rate, or Term SOFR, respectively.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Borrowing</w:t>
      </w:r>
      <w:r>
        <w:rPr>
          <w:rFonts w:ascii="Times New Roman" w:cs="Times New Roman" w:eastAsia="Times New Roman" w:hAnsi="Times New Roman"/>
          <w:sz w:val="22"/>
          <w:szCs w:val="22"/>
          <w:color w:val="auto"/>
        </w:rPr>
        <w:t>” means, as to any Borrowing, the ABR Loans comprising such Borrowing.</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Loan</w:t>
      </w:r>
      <w:r>
        <w:rPr>
          <w:rFonts w:ascii="Times New Roman" w:cs="Times New Roman" w:eastAsia="Times New Roman" w:hAnsi="Times New Roman"/>
          <w:sz w:val="22"/>
          <w:szCs w:val="22"/>
          <w:color w:val="auto"/>
        </w:rPr>
        <w:t>” means a Loan that bears interest at a rate based on ABR.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 Term SOFR Determination Day</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means MUFG Bank, Ltd., not in its individual capacity, but solely as Administrative Agent hereunder, and each other Person that may, from time to time, be appointed as successor Administrative Agent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 questionnaire, in a form supplied by the Administrative Agent, completed by a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another Person that directly or indirectly Controls, is under common Control with or is Controlled by, such Person and, if such Person is an individual, any member of the immediate family (including parents, spouse, children and siblings) of such individual and any trust whose principal beneficiary is such individual or one or more members of such immediate family and any Person who is Controlled by any such member or trust. Notwithstanding the foregoing, the definition of “Affiliate” shall not encompass (a) any individual solely by reason of his or her being a director, officer, manager or employee of any Person or (b) any Person solely by reason of their capacity as a Secured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Indemnitee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means the Administrative Agent, the Collateral Agent and/or the Depositary (as the context requires).</w:t>
      </w:r>
    </w:p>
    <w:p>
      <w:pPr>
        <w:sectPr>
          <w:pgSz w:w="11900" w:h="16838" w:orient="portrait"/>
          <w:cols w:equalWidth="0" w:num="1">
            <w:col w:w="11240"/>
          </w:cols>
          <w:pgMar w:left="320" w:top="1422" w:right="339" w:bottom="1440" w:gutter="0" w:footer="0" w:header="0"/>
        </w:sectPr>
      </w:pPr>
    </w:p>
    <w:bookmarkStart w:id="313" w:name="page314"/>
    <w:bookmarkEnd w:id="313"/>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Interest Loan Commitment</w:t>
      </w:r>
      <w:r>
        <w:rPr>
          <w:rFonts w:ascii="Times New Roman" w:cs="Times New Roman" w:eastAsia="Times New Roman" w:hAnsi="Times New Roman"/>
          <w:sz w:val="21"/>
          <w:szCs w:val="21"/>
          <w:color w:val="auto"/>
        </w:rPr>
        <w:t xml:space="preserve">” means $12,500,000, as the same may be reduced in accordance with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Revolving Loan Commitment</w:t>
      </w:r>
      <w:r>
        <w:rPr>
          <w:rFonts w:ascii="Times New Roman" w:cs="Times New Roman" w:eastAsia="Times New Roman" w:hAnsi="Times New Roman"/>
          <w:sz w:val="21"/>
          <w:szCs w:val="21"/>
          <w:color w:val="auto"/>
        </w:rPr>
        <w:t xml:space="preserve">” means $50,000,000, as the same may be reduced in accordance with </w:t>
      </w:r>
      <w:r>
        <w:rPr>
          <w:rFonts w:ascii="Times New Roman" w:cs="Times New Roman" w:eastAsia="Times New Roman" w:hAnsi="Times New Roman"/>
          <w:sz w:val="21"/>
          <w:szCs w:val="21"/>
          <w:u w:val="single" w:color="auto"/>
          <w:color w:val="auto"/>
        </w:rPr>
        <w:t>Section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8.4</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ascribed thereto in the introductory paragraph.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AML Laws</w:t>
      </w:r>
      <w:r>
        <w:rPr>
          <w:rFonts w:ascii="Times New Roman" w:cs="Times New Roman" w:eastAsia="Times New Roman" w:hAnsi="Times New Roman"/>
          <w:sz w:val="21"/>
          <w:szCs w:val="21"/>
          <w:color w:val="auto"/>
        </w:rPr>
        <w:t>” means (i) the USA Patriot Act of 2001, (ii) the U.S. Money Laundering Control Act of 1986, as amended,</w:t>
      </w:r>
    </w:p>
    <w:p>
      <w:pPr>
        <w:spacing w:after="0" w:line="39" w:lineRule="exact"/>
        <w:rPr>
          <w:sz w:val="20"/>
          <w:szCs w:val="20"/>
          <w:color w:val="auto"/>
        </w:rPr>
      </w:pPr>
    </w:p>
    <w:p>
      <w:pPr>
        <w:ind w:left="400" w:hanging="392"/>
        <w:spacing w:after="0"/>
        <w:tabs>
          <w:tab w:leader="none" w:pos="400"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Secrecy Act, 31 U.S.C. sections 5301 et seq., (iv) Laundering of Monetary Instruments, 18 U.S.C. section 1956,</w:t>
      </w:r>
    </w:p>
    <w:p>
      <w:pPr>
        <w:spacing w:after="0" w:line="3" w:lineRule="exact"/>
        <w:rPr>
          <w:rFonts w:ascii="Times New Roman" w:cs="Times New Roman" w:eastAsia="Times New Roman" w:hAnsi="Times New Roman"/>
          <w:sz w:val="22"/>
          <w:szCs w:val="22"/>
          <w:color w:val="auto"/>
        </w:rPr>
      </w:pPr>
    </w:p>
    <w:p>
      <w:pPr>
        <w:jc w:val="both"/>
        <w:ind w:firstLine="8"/>
        <w:spacing w:after="0" w:line="249" w:lineRule="auto"/>
        <w:tabs>
          <w:tab w:leader="none" w:pos="320"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Monetary Transactions in Property Derived from Specified Unlawful Activity, 18 U.S.C. section 1957, (vi) the Financial Recordkeeping and Reporting of Currency and Foreign Transactions Regulations (Title 31 Part 103 of the US Code of Federal Regulations), and (vii) any other similar laws, rules, and regulations of any jurisdiction applicable to the Borrower or any other Credit Party from time to time concerning or relating to anti-money laundering.</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the U.S. Foreign Corrupt Practices Act of 1977, 15 U.S.C. §§78m, 78dd-1 through 78dd-3 and 78ff, et seq., and all similar laws, rules, and regulations of any jurisdiction prohibiting bribery or corruption applicable to the Borrower or any of its subsidiaries.</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means any of the following (a) Section 1 of Executive Order 13224 of September 24, 2001, Blocking Property and Prohibiting Transactions With Persons Who Commit, Threaten to Commit, or Support Terrorism (Title 12, Part 595 of the U.S. Code of Federal Regulations), (b) the Terrorism Sanctions Regulations (Title 31 Part 595 of the U.S. Code of Federal Regulations), (c) the Terrorism List Governments Sanctions Regulations (Title 31 Part 596 of the U.S. Code of Federal Regulations), (d) the Foreign Terrorist Organizations Sanctions Regulations (Title 31 Part 597 of the U.S. Code of Federal Regulations), (e) any other similar federal Government Rule having the force of law and relating to combatting terrorist acts or acts of war, and (f) any regulations promulgated under any of the foregoing.</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means (a) in respect of Loans that are SOFR Loans, 4.50% and (b) in respect of Loans that are ABR Loans, 3.50%.</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administered or managed by (a) a Lender, (b) an Affiliate of a Lender, or (c) an entity or an Affiliate of an entity that administers or manages a Lender.</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12.15), and accepted by the Administrative Agent,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any other form approved by the Administrative Agent.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means (a) with respect to any Person that is a corporation, the chairman, president, senior vice president, vice president, treasurer, assistant treasurer, attorney-</w:t>
      </w:r>
    </w:p>
    <w:p>
      <w:pPr>
        <w:sectPr>
          <w:pgSz w:w="11900" w:h="16838" w:orient="portrait"/>
          <w:cols w:equalWidth="0" w:num="1">
            <w:col w:w="11240"/>
          </w:cols>
          <w:pgMar w:left="320" w:top="1422" w:right="339" w:bottom="1440" w:gutter="0" w:footer="0" w:header="0"/>
        </w:sectPr>
      </w:pPr>
    </w:p>
    <w:bookmarkStart w:id="314" w:name="page315"/>
    <w:bookmarkEnd w:id="314"/>
    <w:p>
      <w:pPr>
        <w:jc w:val="both"/>
        <w:spacing w:after="0" w:line="268" w:lineRule="auto"/>
        <w:rPr>
          <w:sz w:val="20"/>
          <w:szCs w:val="20"/>
          <w:color w:val="auto"/>
        </w:rPr>
      </w:pPr>
      <w:r>
        <w:rPr>
          <w:rFonts w:ascii="Times New Roman" w:cs="Times New Roman" w:eastAsia="Times New Roman" w:hAnsi="Times New Roman"/>
          <w:sz w:val="21"/>
          <w:szCs w:val="21"/>
          <w:color w:val="auto"/>
        </w:rPr>
        <w:t>in-fact, secretary, assistant secretary, or authorized signatory of such Person, (b) with respect to any Person that is a partnership, the chairman, president, senior vice president, vice president, treasurer, assistant treasurer, attorney-in-fact, secretary, assistant secretary, or authorized signatory of a general partner of such Person, and (c) with respect to any Person that is a limited liability company, the chairman, president, senior vice president, vice president, treasurer, assistant treasurer, attorney-in-fact, secretary, assistant secretary, authorized signatory, the manager, the managing member, or a duly appointed officer of such Person.</w:t>
      </w:r>
    </w:p>
    <w:p>
      <w:pPr>
        <w:spacing w:after="0" w:line="1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the period commencing on the Financial Close and ending on the earlier to occur of (a) the date that is five Business Days prior to the Final Maturity Date and (b) the date Commitments are terminated upon the occurrence and during the continuance of an Event of Default.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means, as of any date of determination and with respect to the then-current Benchmark, as applicable,</w:t>
      </w:r>
    </w:p>
    <w:p>
      <w:pPr>
        <w:spacing w:after="0" w:line="39" w:lineRule="exact"/>
        <w:rPr>
          <w:sz w:val="20"/>
          <w:szCs w:val="20"/>
          <w:color w:val="auto"/>
        </w:rPr>
      </w:pPr>
    </w:p>
    <w:p>
      <w:pPr>
        <w:jc w:val="both"/>
        <w:ind w:firstLine="8"/>
        <w:spacing w:after="0" w:line="246" w:lineRule="auto"/>
        <w:tabs>
          <w:tab w:leader="none" w:pos="294"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2.12(d)</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11 U.S.C. § 101 et. seq.</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 2.12(a)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with respect to any Benchmark Transition Event, the sum of: (a) the alternate benchmark rate that has been selected by the Administrative Agent and</w:t>
      </w:r>
    </w:p>
    <w:p>
      <w:pPr>
        <w:sectPr>
          <w:pgSz w:w="11900" w:h="16838" w:orient="portrait"/>
          <w:cols w:equalWidth="0" w:num="1">
            <w:col w:w="11240"/>
          </w:cols>
          <w:pgMar w:left="320" w:top="1422" w:right="339" w:bottom="1440" w:gutter="0" w:footer="0" w:header="0"/>
        </w:sectPr>
      </w:pPr>
    </w:p>
    <w:bookmarkStart w:id="315" w:name="page316"/>
    <w:bookmarkEnd w:id="315"/>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Benchmark Replacement as so determined would be less than the Floor, such Benchmark Replacement will be deemed to be the Floor for the purposes of this Agreement and the other Finance Documents.</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date of the earliest to occur of the following events with respect to the then-current Benchmark:</w:t>
      </w:r>
    </w:p>
    <w:p>
      <w:pPr>
        <w:spacing w:after="0" w:line="158" w:lineRule="exact"/>
        <w:rPr>
          <w:sz w:val="20"/>
          <w:szCs w:val="20"/>
          <w:color w:val="auto"/>
        </w:rPr>
      </w:pPr>
    </w:p>
    <w:p>
      <w:pPr>
        <w:ind w:left="1300" w:hanging="644"/>
        <w:spacing w:after="0" w:line="256" w:lineRule="auto"/>
        <w:tabs>
          <w:tab w:leader="none" w:pos="1192"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Times New Roman" w:cs="Times New Roman" w:eastAsia="Times New Roman" w:hAnsi="Times New Roman"/>
          <w:sz w:val="22"/>
          <w:szCs w:val="22"/>
          <w:color w:val="auto"/>
        </w:rPr>
      </w:pPr>
    </w:p>
    <w:p>
      <w:pPr>
        <w:ind w:left="1300" w:hanging="644"/>
        <w:spacing w:after="0" w:line="251" w:lineRule="auto"/>
        <w:tabs>
          <w:tab w:leader="none" w:pos="1139"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xml:space="preserve">,”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ectPr>
          <w:pgSz w:w="11900" w:h="16838" w:orient="portrait"/>
          <w:cols w:equalWidth="0" w:num="1">
            <w:col w:w="11240"/>
          </w:cols>
          <w:pgMar w:left="320" w:top="1422" w:right="339" w:bottom="1440" w:gutter="0" w:footer="0" w:header="0"/>
        </w:sectPr>
      </w:pPr>
    </w:p>
    <w:bookmarkStart w:id="316" w:name="page317"/>
    <w:bookmarkEnd w:id="316"/>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8" w:lineRule="exact"/>
        <w:rPr>
          <w:sz w:val="20"/>
          <w:szCs w:val="20"/>
          <w:color w:val="auto"/>
        </w:rPr>
      </w:pPr>
    </w:p>
    <w:p>
      <w:pPr>
        <w:ind w:left="1300" w:hanging="644"/>
        <w:spacing w:after="0" w:line="253" w:lineRule="auto"/>
        <w:tabs>
          <w:tab w:leader="none" w:pos="1199"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at the time of such statement or publication, there is no successor administrator that will continue to provide any Available Tenor of such Benchmark (or such component thereof);</w:t>
      </w:r>
    </w:p>
    <w:p>
      <w:pPr>
        <w:spacing w:after="0" w:line="178"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324" w:val="left"/>
        </w:tabs>
        <w:numPr>
          <w:ilvl w:val="0"/>
          <w:numId w:val="4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at the time of such statement or publication, there is no successor administrator that will continue to provide any Available Tenor of such Benchmark (or such component thereof); or</w:t>
      </w:r>
    </w:p>
    <w:p>
      <w:pPr>
        <w:spacing w:after="0" w:line="169" w:lineRule="exact"/>
        <w:rPr>
          <w:rFonts w:ascii="Times New Roman" w:cs="Times New Roman" w:eastAsia="Times New Roman" w:hAnsi="Times New Roman"/>
          <w:sz w:val="21"/>
          <w:szCs w:val="21"/>
          <w:color w:val="auto"/>
        </w:rPr>
      </w:pPr>
    </w:p>
    <w:p>
      <w:pPr>
        <w:jc w:val="both"/>
        <w:ind w:left="1300" w:hanging="644"/>
        <w:spacing w:after="0" w:line="257" w:lineRule="auto"/>
        <w:tabs>
          <w:tab w:leader="none" w:pos="1315"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means, in the case of a Benchmark Transition Event, the earlier of (a) the applicable Benchmark Replacement Date and (b) if such Benchmark Transition Event is a public statement or publication of information of a prospective event, the ninetieth day prior to the expected date of such event as of such public statement or publication of information (or if the expected date of such prospective event is fewer than ninety days after such statement or publication, the date of such statement or publication).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the period (if any) (a) beginning at the time that a Benchmark Replacement Date has occurred if, at such time, no Benchmark Replacement has replaced the then-current Benchmark for all purposes hereunder and under any Finance</w:t>
      </w:r>
    </w:p>
    <w:p>
      <w:pPr>
        <w:sectPr>
          <w:pgSz w:w="11900" w:h="16838" w:orient="portrait"/>
          <w:cols w:equalWidth="0" w:num="1">
            <w:col w:w="11240"/>
          </w:cols>
          <w:pgMar w:left="320" w:top="1422" w:right="339" w:bottom="1440" w:gutter="0" w:footer="0" w:header="0"/>
        </w:sectPr>
      </w:pPr>
    </w:p>
    <w:bookmarkStart w:id="317" w:name="page318"/>
    <w:bookmarkEnd w:id="317"/>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Document in accordance with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and (b) ending at the time that a Benchmark Replacement has replaced the then-current Benchmark for all purposes hereunder and under any Finance Document in accordance with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means each Lender, the Administrative Agent, and the Collateral Agent.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12.21(c)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Governors of the Federal Reserve System of the United States (or any successor).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shall have the meaning ascribed thereto in the introductory paragraph.</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 Knowledge</w:t>
      </w:r>
      <w:r>
        <w:rPr>
          <w:rFonts w:ascii="Times New Roman" w:cs="Times New Roman" w:eastAsia="Times New Roman" w:hAnsi="Times New Roman"/>
          <w:sz w:val="22"/>
          <w:szCs w:val="22"/>
          <w:color w:val="auto"/>
        </w:rPr>
        <w:t xml:space="preserve">” means the knowledge (which shall be to the best of such Person’s knowledge after diligent inquiry) of the Persons listed on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 xml:space="preserve"> or any senior or supervisory personnel of the Borrower with responsibility for the administration of the Finance Documents that replace such Persons in their respective roles. Any notice delivered to the Borrower in accordance with the requirements hereunder by a Secured Party shall be deemed to provide the Borrower with Borrower’s Knowledge of the facts included therein.</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xml:space="preserve"> ” means a borrowing consisting of simultaneous Loans of the same Type and, in the case of a SOFR Borrowing, having the same Interest Period made by the Lenders.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Date</w:t>
      </w:r>
      <w:r>
        <w:rPr>
          <w:rFonts w:ascii="Times New Roman" w:cs="Times New Roman" w:eastAsia="Times New Roman" w:hAnsi="Times New Roman"/>
          <w:sz w:val="22"/>
          <w:szCs w:val="22"/>
          <w:color w:val="auto"/>
        </w:rPr>
        <w:t xml:space="preserve">” means (a) with respect to Revolving Loans, the date on which all the conditions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are met (or waived in accordance with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 xml:space="preserve">) and a Borrowing occurs and (b) with respect to Interest Loans, the date on which all the conditions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are met (or waived in accordance with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 and a Borrowing occurs.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any other day which is a legal holiday or a day on which banking institutions are permitted to be closed in New York, New York.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w:t>
      </w:r>
    </w:p>
    <w:p>
      <w:pPr>
        <w:spacing w:after="0" w:line="112" w:lineRule="exact"/>
        <w:rPr>
          <w:sz w:val="20"/>
          <w:szCs w:val="20"/>
          <w:color w:val="auto"/>
        </w:rPr>
      </w:pPr>
    </w:p>
    <w:p>
      <w:pPr>
        <w:ind w:left="1120" w:hanging="464"/>
        <w:spacing w:after="0"/>
        <w:tabs>
          <w:tab w:leader="none" w:pos="1120"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Dollars;</w:t>
      </w:r>
    </w:p>
    <w:p>
      <w:pPr>
        <w:spacing w:after="0" w:line="219"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38"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United States government or any agency or instrumentality of the United States government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full faith and credit of the United States is pledged in support of those securities) having maturities of not more than one year from the date of acquisition;</w:t>
      </w:r>
    </w:p>
    <w:p>
      <w:pPr>
        <w:sectPr>
          <w:pgSz w:w="11900" w:h="16838" w:orient="portrait"/>
          <w:cols w:equalWidth="0" w:num="1">
            <w:col w:w="11240"/>
          </w:cols>
          <w:pgMar w:left="320" w:top="1422" w:right="339" w:bottom="1440" w:gutter="0" w:footer="0" w:header="0"/>
        </w:sectPr>
      </w:pPr>
    </w:p>
    <w:bookmarkStart w:id="318" w:name="page319"/>
    <w:bookmarkEnd w:id="318"/>
    <w:p>
      <w:pPr>
        <w:ind w:left="1300" w:hanging="644"/>
        <w:spacing w:after="0" w:line="272" w:lineRule="auto"/>
        <w:tabs>
          <w:tab w:leader="none" w:pos="1127" w:val="left"/>
        </w:tabs>
        <w:numPr>
          <w:ilvl w:val="0"/>
          <w:numId w:val="4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marketable general obligations issued by any state of the United States or any political subdivision of any such state or any public instrumentality thereof maturing within one year from the date of acquisition thereof and, at the time of acquisition thereof, having a credit rating of “A” or better from either S&amp;P or Moody’s (or, if any of such entities cease to provide such ratings, the equivalent rating from any other Recognized Credit Rating Agency);</w:t>
      </w:r>
    </w:p>
    <w:p>
      <w:pPr>
        <w:spacing w:after="0" w:line="160" w:lineRule="exact"/>
        <w:rPr>
          <w:rFonts w:ascii="Times New Roman" w:cs="Times New Roman" w:eastAsia="Times New Roman" w:hAnsi="Times New Roman"/>
          <w:sz w:val="21"/>
          <w:szCs w:val="21"/>
          <w:color w:val="auto"/>
        </w:rPr>
      </w:pPr>
    </w:p>
    <w:p>
      <w:pPr>
        <w:ind w:left="1300" w:hanging="644"/>
        <w:spacing w:after="0" w:line="252" w:lineRule="auto"/>
        <w:tabs>
          <w:tab w:leader="none" w:pos="1120"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demand deposit accounts and eurodollar time deposits with maturities of one year or less from the date of acquisition, bankers’ acceptances with maturities not exceeding one year and overnight bank deposits, in each case, with any domestic commercial bank having capital and surplus in excess of $500,000,000 and a Thomson Bank Watch Rating of “B” or better;</w:t>
      </w:r>
    </w:p>
    <w:p>
      <w:pPr>
        <w:spacing w:after="0" w:line="192" w:lineRule="exact"/>
        <w:rPr>
          <w:rFonts w:ascii="Times New Roman" w:cs="Times New Roman" w:eastAsia="Times New Roman" w:hAnsi="Times New Roman"/>
          <w:sz w:val="22"/>
          <w:szCs w:val="22"/>
          <w:color w:val="auto"/>
        </w:rPr>
      </w:pPr>
    </w:p>
    <w:p>
      <w:pPr>
        <w:ind w:left="1300" w:hanging="644"/>
        <w:spacing w:after="0" w:line="257" w:lineRule="auto"/>
        <w:tabs>
          <w:tab w:leader="none" w:pos="1172"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repurchase obligations with a term of not more than thirty days for underlying securities of the types described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entered into with any financial institution meeting the qualifications specified in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above;</w:t>
      </w:r>
    </w:p>
    <w:p>
      <w:pPr>
        <w:spacing w:after="0" w:line="172" w:lineRule="exact"/>
        <w:rPr>
          <w:rFonts w:ascii="Times New Roman" w:cs="Times New Roman" w:eastAsia="Times New Roman" w:hAnsi="Times New Roman"/>
          <w:sz w:val="22"/>
          <w:szCs w:val="22"/>
          <w:color w:val="auto"/>
        </w:rPr>
      </w:pPr>
    </w:p>
    <w:p>
      <w:pPr>
        <w:ind w:left="1300" w:hanging="644"/>
        <w:spacing w:after="0" w:line="257" w:lineRule="auto"/>
        <w:tabs>
          <w:tab w:leader="none" w:pos="1110"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or tax exempt obligations having one of the two highest ratings obtainable from Moody’s or S&amp;P (or, if any of such entities cease to provide such ratings, the equivalent rating categories from any other Recognized Credit Rating Agency) and, in each case, maturing within one year after the date of acquisition; and</w:t>
      </w:r>
    </w:p>
    <w:p>
      <w:pPr>
        <w:spacing w:after="0" w:line="186" w:lineRule="exact"/>
        <w:rPr>
          <w:rFonts w:ascii="Times New Roman" w:cs="Times New Roman" w:eastAsia="Times New Roman" w:hAnsi="Times New Roman"/>
          <w:sz w:val="22"/>
          <w:szCs w:val="22"/>
          <w:color w:val="auto"/>
        </w:rPr>
      </w:pPr>
    </w:p>
    <w:p>
      <w:pPr>
        <w:jc w:val="both"/>
        <w:ind w:left="1300" w:hanging="644"/>
        <w:spacing w:after="0" w:line="250" w:lineRule="auto"/>
        <w:tabs>
          <w:tab w:leader="none" w:pos="1240"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money market funds at least 95% of the assets of which constitute Cash Equivalents of the kinds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of this definition or a money market fund or a qualified investment fund (including any such fund for which the Depositary or any Affiliate thereof acts as an advisor or a manager) given one of the two highest long-term ratings available from S&amp;P or Moody’s (or, if any of such entities cease to provide such ratings, the equivalent rating categories from any other Recognized Credit Rating Agency).</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CD Credit Agreement</w:t>
      </w:r>
      <w:r>
        <w:rPr>
          <w:rFonts w:ascii="Times New Roman" w:cs="Times New Roman" w:eastAsia="Times New Roman" w:hAnsi="Times New Roman"/>
          <w:sz w:val="22"/>
          <w:szCs w:val="22"/>
          <w:color w:val="auto"/>
        </w:rPr>
        <w:t>” means the Credit Agreement, dated as of July 12, 2023, by and among the P1 Project Company, the P1 Administrative Agent, the P1 Collateral Agent, the CD Revolving LC Issuing Banks (as defined therein) that are party thereto from time to time, and the CD Senior Lenders (as defined therein) that are party thereto from time to time, as amended by the Amendment No. 1 to CD Credit Agreement, dated as of November 1, 2023.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CFCo</w:t>
      </w:r>
      <w:r>
        <w:rPr>
          <w:rFonts w:ascii="Times New Roman" w:cs="Times New Roman" w:eastAsia="Times New Roman" w:hAnsi="Times New Roman"/>
          <w:sz w:val="22"/>
          <w:szCs w:val="22"/>
          <w:color w:val="auto"/>
        </w:rPr>
        <w:t>” has the meaning set forth in the recitals.</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(a) the adoption of any law, rule or regulation after the date of this Agreement, (b) any change in any law, rule or regulation or in the interpretation or application thereof by any Government Authority after the date of this Agreement or (c) compliance by any Lender (or, for purposes of </w:t>
      </w:r>
      <w:r>
        <w:rPr>
          <w:rFonts w:ascii="Times New Roman" w:cs="Times New Roman" w:eastAsia="Times New Roman" w:hAnsi="Times New Roman"/>
          <w:sz w:val="22"/>
          <w:szCs w:val="22"/>
          <w:u w:val="single" w:color="auto"/>
          <w:color w:val="auto"/>
        </w:rPr>
        <w:t>Section 9.2(b)</w:t>
      </w:r>
      <w:r>
        <w:rPr>
          <w:rFonts w:ascii="Times New Roman" w:cs="Times New Roman" w:eastAsia="Times New Roman" w:hAnsi="Times New Roman"/>
          <w:sz w:val="22"/>
          <w:szCs w:val="22"/>
          <w:color w:val="auto"/>
        </w:rPr>
        <w:t>, by any lending office of such Lender or by the Lender’s holding company, if any) with any written request, guideline or directive (whether or not having the force of law but if not having the force of law, then being one with which the relevant party would customarily comply) of any Government Authority</w:t>
      </w:r>
    </w:p>
    <w:p>
      <w:pPr>
        <w:sectPr>
          <w:pgSz w:w="11900" w:h="16838" w:orient="portrait"/>
          <w:cols w:equalWidth="0" w:num="1">
            <w:col w:w="11240"/>
          </w:cols>
          <w:pgMar w:left="320" w:top="1422" w:right="339" w:bottom="1440" w:gutter="0" w:footer="0" w:header="0"/>
        </w:sectPr>
      </w:pPr>
    </w:p>
    <w:bookmarkStart w:id="319" w:name="page320"/>
    <w:bookmarkEnd w:id="319"/>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charged with its interpretation or administration made or issued after the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12.1(d)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Units</w:t>
      </w:r>
      <w:r>
        <w:rPr>
          <w:rFonts w:ascii="Times New Roman" w:cs="Times New Roman" w:eastAsia="Times New Roman" w:hAnsi="Times New Roman"/>
          <w:sz w:val="22"/>
          <w:szCs w:val="22"/>
          <w:color w:val="auto"/>
        </w:rPr>
        <w:t>” means the “Class A Units” as such term is defined in the RG Intermediate Holdings LLC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Financial Model</w:t>
      </w:r>
      <w:r>
        <w:rPr>
          <w:rFonts w:ascii="Times New Roman" w:cs="Times New Roman" w:eastAsia="Times New Roman" w:hAnsi="Times New Roman"/>
          <w:sz w:val="22"/>
          <w:szCs w:val="22"/>
          <w:color w:val="auto"/>
        </w:rPr>
        <w:t xml:space="preserve">” means the financial projections in the form attached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collectively, all “Collateral” as such term is defined in the Security and Depositary Agreement and the other Security Documents and all other real and personal property which is subject, from time to time, to the security interests or Liens granted by the Security Documents.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Wilmington Trust, National Association or any successor to it appointed pursuant to the terms of the Security and Depositary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means, collectively, the Revolving Loan Commitments and the Interest Loan Commitments.</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means, with respect to either the use or administration of Term SOFR or the use, administration, adoption or implementation of any Benchmark Replacement, any technical, administrative or operational changes (including changes to the definition of “</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the definition of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the definition of “</w:t>
      </w:r>
      <w:r>
        <w:rPr>
          <w:rFonts w:ascii="Times New Roman" w:cs="Times New Roman" w:eastAsia="Times New Roman" w:hAnsi="Times New Roman"/>
          <w:sz w:val="22"/>
          <w:szCs w:val="22"/>
          <w:u w:val="single" w:color="auto"/>
          <w:color w:val="auto"/>
        </w:rPr>
        <w:t>U.S. Government Securities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Day</w:t>
      </w:r>
      <w:r>
        <w:rPr>
          <w:rFonts w:ascii="Times New Roman" w:cs="Times New Roman" w:eastAsia="Times New Roman" w:hAnsi="Times New Roman"/>
          <w:sz w:val="22"/>
          <w:szCs w:val="22"/>
          <w:color w:val="auto"/>
        </w:rPr>
        <w:t>,” the definition of “</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w:t>
      </w:r>
    </w:p>
    <w:p>
      <w:pPr>
        <w:sectPr>
          <w:pgSz w:w="11900" w:h="16838" w:orient="portrait"/>
          <w:cols w:equalWidth="0" w:num="1">
            <w:col w:w="11240"/>
          </w:cols>
          <w:pgMar w:left="320" w:top="1422" w:right="339" w:bottom="1440" w:gutter="0" w:footer="0" w:header="0"/>
        </w:sectPr>
      </w:pPr>
    </w:p>
    <w:bookmarkStart w:id="320" w:name="page321"/>
    <w:bookmarkEnd w:id="32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administration as the Administrative Agent decides is reasonably necessary in connection with the administration of this Agreement and the other Finance Documents).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Budget and Schedule</w:t>
      </w:r>
      <w:r>
        <w:rPr>
          <w:rFonts w:ascii="Times New Roman" w:cs="Times New Roman" w:eastAsia="Times New Roman" w:hAnsi="Times New Roman"/>
          <w:sz w:val="22"/>
          <w:szCs w:val="22"/>
          <w:color w:val="auto"/>
        </w:rPr>
        <w:t>” means the Construction Budget and Schedule (as defined in the CD Credit Agreement) most recently delivered to the P1 Administrative Agent pursuant to the CD Credit Agreement.</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Contest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Contested</w:t>
      </w:r>
      <w:r>
        <w:rPr>
          <w:rFonts w:ascii="Times New Roman" w:cs="Times New Roman" w:eastAsia="Times New Roman" w:hAnsi="Times New Roman"/>
          <w:sz w:val="22"/>
          <w:szCs w:val="22"/>
          <w:color w:val="auto"/>
        </w:rPr>
        <w:t>” means, with respect to any Person, with respect to any Taxes or any Lien imposed on Property of such Person (or the related underlying claim for labor, material, supplies or services) by any Government Authority for Taxes or with respect to obligations under ERISA or any mechanics’ lien (each, a “</w:t>
      </w:r>
      <w:r>
        <w:rPr>
          <w:rFonts w:ascii="Times New Roman" w:cs="Times New Roman" w:eastAsia="Times New Roman" w:hAnsi="Times New Roman"/>
          <w:sz w:val="22"/>
          <w:szCs w:val="22"/>
          <w:u w:val="single" w:color="auto"/>
          <w:color w:val="auto"/>
        </w:rPr>
        <w:t>Subject Claim</w:t>
      </w:r>
      <w:r>
        <w:rPr>
          <w:rFonts w:ascii="Times New Roman" w:cs="Times New Roman" w:eastAsia="Times New Roman" w:hAnsi="Times New Roman"/>
          <w:sz w:val="22"/>
          <w:szCs w:val="22"/>
          <w:color w:val="auto"/>
        </w:rPr>
        <w:t>”), a contest of the amount, validity or application, in whole or in part, of such Subject Claim pursued in good faith and by appropriate legal, administrative or other proceedings diligently conducted so long as appropriate reserves have been established with respect to any such Subject Claim in accordance with GAAP.</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Contracted Revenues</w:t>
      </w:r>
      <w:r>
        <w:rPr>
          <w:rFonts w:ascii="Times New Roman" w:cs="Times New Roman" w:eastAsia="Times New Roman" w:hAnsi="Times New Roman"/>
          <w:sz w:val="22"/>
          <w:szCs w:val="22"/>
          <w:color w:val="auto"/>
        </w:rPr>
        <w:t>” has the meaning set forth in the P1 Common Terms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Contributing Guarantors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with its correlative meanings,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means possession, directly or indirectly, of power to direct or cause the direction of management or policies (whether through ownership of securities or partnership or other ownership interests, by contract or otherwise) and, in any event, any Person owning greater than 50% of the voting securities of another Person shall be deemed to Control that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Coordinating Lead Arranger and Bookrunner</w:t>
      </w:r>
      <w:r>
        <w:rPr>
          <w:rFonts w:ascii="Times New Roman" w:cs="Times New Roman" w:eastAsia="Times New Roman" w:hAnsi="Times New Roman"/>
          <w:sz w:val="22"/>
          <w:szCs w:val="22"/>
          <w:color w:val="auto"/>
        </w:rPr>
        <w:t>” means MUFG Bank, Ltd.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12.21(c)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12.21(a)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the Borrower, each Subsidiary Guarantor, and the Pledgor (as the context requires).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 event or condition which, with the giving of notice, lapse of time or upon a declaration or determination being made (or any combination thereof), would become an Event of Default.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means a Lender which (a) has defaulted in its obligations (i) to fund any Loan or otherwise failed to comply with its obligations under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or otherwise failed to comply with its obligations under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unless (x) such default or failure is no longer continuing or has been cured within two Business Days after such default or failure or (y) such Lender notifies the Administrative Agent and the Borrower in writing that such failure is the result of such Lender’s determination that one or more conditions precedent to funding in accordance with this Agreement (each of which conditions precedent, together with any applicable default, shall be specifically identified in such writing) has not been satisfied, or (ii) to pay to the Administrative Agent or any other Lender any other amount required to be paid by it</w:t>
      </w:r>
    </w:p>
    <w:p>
      <w:pPr>
        <w:sectPr>
          <w:pgSz w:w="11900" w:h="16838" w:orient="portrait"/>
          <w:cols w:equalWidth="0" w:num="1">
            <w:col w:w="11240"/>
          </w:cols>
          <w:pgMar w:left="320" w:top="1422" w:right="339" w:bottom="1440" w:gutter="0" w:footer="0" w:header="0"/>
        </w:sectPr>
      </w:pPr>
    </w:p>
    <w:bookmarkStart w:id="321" w:name="page322"/>
    <w:bookmarkEnd w:id="321"/>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hereunder within two Business Days of the date when due, (b) has notified the Borrower and/or the Administrative Agent that it does not intend to comply with its obligations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2.2</w:t>
      </w:r>
      <w:r>
        <w:rPr>
          <w:rFonts w:ascii="Times New Roman" w:cs="Times New Roman" w:eastAsia="Times New Roman" w:hAnsi="Times New Roman"/>
          <w:sz w:val="21"/>
          <w:szCs w:val="21"/>
          <w:color w:val="auto"/>
        </w:rPr>
        <w:t xml:space="preserve">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in accordance with this Agreement), (c) has failed, within three Business Days after written request by the Administrative Agent, the Borrower to confirm in writing to the Administrative Agent and the Borrower that it will comply with its prospective funding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upon receipt of such written confirmation by the Administrative Agent and the Borrower), (d) has, or has a direct or indirect parent company that has</w:t>
      </w:r>
    </w:p>
    <w:p>
      <w:pPr>
        <w:spacing w:after="0" w:line="5" w:lineRule="exact"/>
        <w:rPr>
          <w:sz w:val="20"/>
          <w:szCs w:val="20"/>
          <w:color w:val="auto"/>
        </w:rPr>
      </w:pPr>
    </w:p>
    <w:p>
      <w:pPr>
        <w:jc w:val="both"/>
        <w:ind w:firstLine="8"/>
        <w:spacing w:after="0" w:line="258" w:lineRule="auto"/>
        <w:tabs>
          <w:tab w:leader="none" w:pos="261" w:val="left"/>
        </w:tabs>
        <w:numPr>
          <w:ilvl w:val="0"/>
          <w:numId w:val="4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become the subject of a proceeding under any Bankruptcy Code or any applicable federal, state or other statute or law relating to bankruptcy, insolvency, reorganization or other relief for debtors or (ii) had appointed for it a receiver, custodian, conservator, trustee, administrator, assignee for the benefit of creditors or similar Person charged with reorganization or liquidation of its business or assets, including the Federal Deposit Insurance Corporation or any other state, federal or national regulatory authority acting in such a capacity, or (e) has become the subject of a Bail-In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for the avoidance of doubt, a Lender shall not be a Defaulting Lender solely by virtue of (i) the ownership or acquisition of any Equity Interest in that Lender or any direct or indirect parent company thereof by a Government Authority or (ii) in the case of a Solvent Person, the precautionary appointment of an administrator, guardian, custodian or other similar official by a Government Authority under or based on the law of the country where such Person is subject to home jurisdiction supervision if Government Rule requires that such appointment not be publicly disclosed, in any case, where such action does not result in or provide such Lender with immunity from the jurisdiction of courts within the United States or from the enforcement of judgments or writs of attachment on its assets or permit such Lender (or such Government Authority) to reject, repudiate, disavow or disaffirm any contracts or agreements made with such Lender. Any determination by the Administrative Agent that a Lender is a Defaulting Lender under any one or more of the clauses above shall be conclusive and binding absent manifest error, and such Lender shall be deemed to be a Defaulting Lender upon delivery of written notice of such determination to the Borrower and each Lender.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12.21(c)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Definitions Agreement”</w:t>
      </w:r>
      <w:r>
        <w:rPr>
          <w:rFonts w:ascii="Times New Roman" w:cs="Times New Roman" w:eastAsia="Times New Roman" w:hAnsi="Times New Roman"/>
          <w:sz w:val="22"/>
          <w:szCs w:val="22"/>
          <w:color w:val="auto"/>
        </w:rPr>
        <w:t xml:space="preserve"> means that certain Definitions Agreement, dated as of July 12, 2023, by and among the Borrower, the P1 Project Company, and the RG Facility Entities (as defined in the P1 Common Terms Agreement).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w:t>
      </w:r>
      <w:r>
        <w:rPr>
          <w:rFonts w:ascii="Times New Roman" w:cs="Times New Roman" w:eastAsia="Times New Roman" w:hAnsi="Times New Roman"/>
          <w:sz w:val="22"/>
          <w:szCs w:val="22"/>
          <w:color w:val="auto"/>
        </w:rPr>
        <w:t>” means Wilmington Trust, National Association or any successor to it appointed pursuant to the terms of the Security and Depositary Agreement.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Discharge Date</w:t>
      </w:r>
      <w:r>
        <w:rPr>
          <w:rFonts w:ascii="Times New Roman" w:cs="Times New Roman" w:eastAsia="Times New Roman" w:hAnsi="Times New Roman"/>
          <w:sz w:val="22"/>
          <w:szCs w:val="22"/>
          <w:color w:val="auto"/>
        </w:rPr>
        <w:t>” means the date on which (a) the Collateral Agent, the Administrative Agent, and the Secured Parties shall have received payment in full in cash of all of the Obligations and all other amounts owing to the Collateral Agent, the Administrative Agent, the</w:t>
      </w:r>
    </w:p>
    <w:p>
      <w:pPr>
        <w:sectPr>
          <w:pgSz w:w="11900" w:h="16838" w:orient="portrait"/>
          <w:cols w:equalWidth="0" w:num="1">
            <w:col w:w="11240"/>
          </w:cols>
          <w:pgMar w:left="320" w:top="1422" w:right="339" w:bottom="1440" w:gutter="0" w:footer="0" w:header="0"/>
        </w:sectPr>
      </w:pPr>
    </w:p>
    <w:bookmarkStart w:id="322" w:name="page323"/>
    <w:bookmarkEnd w:id="322"/>
    <w:p>
      <w:pPr>
        <w:jc w:val="both"/>
        <w:spacing w:after="0" w:line="257" w:lineRule="auto"/>
        <w:rPr>
          <w:sz w:val="20"/>
          <w:szCs w:val="20"/>
          <w:color w:val="auto"/>
        </w:rPr>
      </w:pPr>
      <w:r>
        <w:rPr>
          <w:rFonts w:ascii="Times New Roman" w:cs="Times New Roman" w:eastAsia="Times New Roman" w:hAnsi="Times New Roman"/>
          <w:sz w:val="22"/>
          <w:szCs w:val="22"/>
          <w:color w:val="auto"/>
        </w:rPr>
        <w:t>Secured Parties under the Finance Documents (other than Obligations thereunder that by their terms survive and with respect to which no claim has been made by the applicable Secured Parties) and (b) the Commitments shall have terminated, expired or been reduced to zero Dollars.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Disregarded Domestic Person</w:t>
      </w:r>
      <w:r>
        <w:rPr>
          <w:rFonts w:ascii="Times New Roman" w:cs="Times New Roman" w:eastAsia="Times New Roman" w:hAnsi="Times New Roman"/>
          <w:sz w:val="22"/>
          <w:szCs w:val="22"/>
          <w:color w:val="auto"/>
        </w:rPr>
        <w:t>” shall have the meaning ascribed thereto in the definition of “Excluded Subsidiary”.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means any of the following:</w:t>
      </w:r>
    </w:p>
    <w:p>
      <w:pPr>
        <w:spacing w:after="0" w:line="220" w:lineRule="exact"/>
        <w:rPr>
          <w:sz w:val="20"/>
          <w:szCs w:val="20"/>
          <w:color w:val="auto"/>
        </w:rPr>
      </w:pPr>
    </w:p>
    <w:p>
      <w:pPr>
        <w:ind w:left="1300" w:hanging="644"/>
        <w:spacing w:after="0" w:line="253" w:lineRule="auto"/>
        <w:tabs>
          <w:tab w:leader="none" w:pos="1130"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dividend or distribution (in cash, property or obligations) on or any other payment or distribution on account of or any payment for or any purchase, redemption, retirement or other acquisition, directly or indirectly of, any ownership interests in the Borrower, (ii) any option or warrant for the purchase or acquisition of any such ownership interests, (iii) interest and principal repayment on any intercompany loans or (iv) the setting apart of any money for a sinking or other analogous fund for any of the foregoing; and</w:t>
      </w:r>
    </w:p>
    <w:p>
      <w:pPr>
        <w:spacing w:after="0" w:line="178" w:lineRule="exact"/>
        <w:rPr>
          <w:rFonts w:ascii="Times New Roman" w:cs="Times New Roman" w:eastAsia="Times New Roman" w:hAnsi="Times New Roman"/>
          <w:sz w:val="22"/>
          <w:szCs w:val="22"/>
          <w:color w:val="auto"/>
        </w:rPr>
      </w:pPr>
    </w:p>
    <w:p>
      <w:pPr>
        <w:ind w:left="1300" w:hanging="644"/>
        <w:spacing w:after="0" w:line="252" w:lineRule="auto"/>
        <w:tabs>
          <w:tab w:leader="none" w:pos="1186"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payment (in cash, property or obligations) with respect to principal or interest on or any other payment or distribution on account of or any payment for, the purchase, redemption, retirement or other acquisition of, Permitted Subordinated Debt or (ii) the setting apart of any money for a sinking or other analogous fund for any of the foregoing.</w:t>
      </w:r>
    </w:p>
    <w:p>
      <w:pPr>
        <w:spacing w:after="0" w:line="19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Institution</w:t>
      </w:r>
      <w:r>
        <w:rPr>
          <w:rFonts w:ascii="Times New Roman" w:cs="Times New Roman" w:eastAsia="Times New Roman" w:hAnsi="Times New Roman"/>
          <w:sz w:val="21"/>
          <w:szCs w:val="21"/>
          <w:color w:val="auto"/>
        </w:rPr>
        <w:t xml:space="preserve">” means (a) any Person set forth by the Borrower on </w:t>
      </w:r>
      <w:r>
        <w:rPr>
          <w:rFonts w:ascii="Times New Roman" w:cs="Times New Roman" w:eastAsia="Times New Roman" w:hAnsi="Times New Roman"/>
          <w:sz w:val="21"/>
          <w:szCs w:val="21"/>
          <w:u w:val="single" w:color="auto"/>
          <w:color w:val="auto"/>
        </w:rPr>
        <w:t>Schedule 12.15(i)</w:t>
      </w:r>
      <w:r>
        <w:rPr>
          <w:rFonts w:ascii="Times New Roman" w:cs="Times New Roman" w:eastAsia="Times New Roman" w:hAnsi="Times New Roman"/>
          <w:sz w:val="21"/>
          <w:szCs w:val="21"/>
          <w:color w:val="auto"/>
        </w:rPr>
        <w:t xml:space="preserve"> as of the date of Financial Close, as updated from time to time by the Borrower by three Business Days’ prior written notice to the Administrative Agent to add any competitor of any Loan Party, Global Infrastructure Management, LLC, TotalEnergies SE, and their respective subsidiaries, and such competitor’s Affiliates or (b) any clearly identifiable (solely on the basis of its name or as identified by the Borrower to the Administrative Agent) Affiliate of the entities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“Disqualified Institution” shall not include in each case a Disqualified Institution Debt Fund Affiliate of any entity not listed under the heading “Group A” in </w:t>
      </w:r>
      <w:r>
        <w:rPr>
          <w:rFonts w:ascii="Times New Roman" w:cs="Times New Roman" w:eastAsia="Times New Roman" w:hAnsi="Times New Roman"/>
          <w:sz w:val="21"/>
          <w:szCs w:val="21"/>
          <w:u w:val="single" w:color="auto"/>
          <w:color w:val="auto"/>
        </w:rPr>
        <w:t>Schedule 12.15(i)</w:t>
      </w:r>
      <w:r>
        <w:rPr>
          <w:rFonts w:ascii="Times New Roman" w:cs="Times New Roman" w:eastAsia="Times New Roman" w:hAnsi="Times New Roman"/>
          <w:sz w:val="21"/>
          <w:szCs w:val="21"/>
          <w:color w:val="auto"/>
        </w:rPr>
        <w:t xml:space="preserve">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Borrower shall not add more than two additional entity names per calendar year to “Group A” under </w:t>
      </w:r>
      <w:r>
        <w:rPr>
          <w:rFonts w:ascii="Times New Roman" w:cs="Times New Roman" w:eastAsia="Times New Roman" w:hAnsi="Times New Roman"/>
          <w:sz w:val="21"/>
          <w:szCs w:val="21"/>
          <w:u w:val="single" w:color="auto"/>
          <w:color w:val="auto"/>
        </w:rPr>
        <w:t>Schedule 12.15(i)</w:t>
      </w:r>
      <w:r>
        <w:rPr>
          <w:rFonts w:ascii="Times New Roman" w:cs="Times New Roman" w:eastAsia="Times New Roman" w:hAnsi="Times New Roman"/>
          <w:sz w:val="21"/>
          <w:szCs w:val="21"/>
          <w:color w:val="auto"/>
        </w:rPr>
        <w:t xml:space="preserve"> following the date of Financial Close;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any designation as a “Disqualified Institution” shall not apply retroactively to any then current Lenders or any entity that has acquired an assignment or participation interest in any Revolving Loans or Interest Loans in accordance with and under this Agreement.</w:t>
      </w:r>
    </w:p>
    <w:p>
      <w:pPr>
        <w:spacing w:after="0" w:line="19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Institution Debt Fund Affiliate</w:t>
      </w:r>
      <w:r>
        <w:rPr>
          <w:rFonts w:ascii="Times New Roman" w:cs="Times New Roman" w:eastAsia="Times New Roman" w:hAnsi="Times New Roman"/>
          <w:sz w:val="22"/>
          <w:szCs w:val="22"/>
          <w:color w:val="auto"/>
        </w:rPr>
        <w:t>” means a bona fide debt fund or an investment vehicle that is engaged in the making, purchasing, holding or otherwise investing in commercial loans, bonds and similar extensions of credit in the ordinary course, is not organized for the purpose of making equity investments, and with respect to which (a) any such Disqualified Institution Debt Fund Affiliate has in place customary information barriers between it and the applicable Disqualified Institution and any Affiliate of the applicable Disqualified Institution that is not primarily engaged in the investing activities described above, (b) its managers have fiduciary duties to the investors thereof independent of and in addition to their</w:t>
      </w:r>
    </w:p>
    <w:p>
      <w:pPr>
        <w:sectPr>
          <w:pgSz w:w="11900" w:h="16838" w:orient="portrait"/>
          <w:cols w:equalWidth="0" w:num="1">
            <w:col w:w="11240"/>
          </w:cols>
          <w:pgMar w:left="320" w:top="1422" w:right="339" w:bottom="1440" w:gutter="0" w:footer="0" w:header="0"/>
        </w:sectPr>
      </w:pPr>
    </w:p>
    <w:bookmarkStart w:id="323" w:name="page324"/>
    <w:bookmarkEnd w:id="323"/>
    <w:p>
      <w:pPr>
        <w:jc w:val="both"/>
        <w:spacing w:after="0" w:line="256" w:lineRule="auto"/>
        <w:rPr>
          <w:sz w:val="20"/>
          <w:szCs w:val="20"/>
          <w:color w:val="auto"/>
        </w:rPr>
      </w:pPr>
      <w:r>
        <w:rPr>
          <w:rFonts w:ascii="Times New Roman" w:cs="Times New Roman" w:eastAsia="Times New Roman" w:hAnsi="Times New Roman"/>
          <w:sz w:val="22"/>
          <w:szCs w:val="22"/>
          <w:color w:val="auto"/>
        </w:rPr>
        <w:t>duties to the applicable Disqualified Institution and any Affiliate of the applicable Disqualified Institution, and (c) the Disqualified Institution and investment vehicles managed or advised by such Disqualified Institution that are not engaged primarily in making, purchasing, holding or otherwise investing in commercial loans, bonds and similar extensions of credit in the ordinary course do not, either directly or indirectly, make investment decisions for such entity.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lawful currency of the United States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DQ List</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12.15(i)(iv)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Claim</w:t>
      </w:r>
      <w:r>
        <w:rPr>
          <w:rFonts w:ascii="Times New Roman" w:cs="Times New Roman" w:eastAsia="Times New Roman" w:hAnsi="Times New Roman"/>
          <w:sz w:val="22"/>
          <w:szCs w:val="22"/>
          <w:color w:val="auto"/>
        </w:rPr>
        <w:t>” shall have the meaning ascribed thereto in the P1 Common Terms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shall have the meaning ascribed thereto in the P1 Common Terms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any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in each such case including all voting rights and economic rights related thereto.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Person, trade, or business (whether or not incorporated) that, together with any Loan Party, is treated as a single employer under Section 414(b) or (c) of</w:t>
      </w:r>
    </w:p>
    <w:p>
      <w:pPr>
        <w:sectPr>
          <w:pgSz w:w="11900" w:h="16838" w:orient="portrait"/>
          <w:cols w:equalWidth="0" w:num="1">
            <w:col w:w="11240"/>
          </w:cols>
          <w:pgMar w:left="320" w:top="1422" w:right="339" w:bottom="1440" w:gutter="0" w:footer="0" w:header="0"/>
        </w:sectPr>
      </w:pPr>
    </w:p>
    <w:bookmarkStart w:id="324" w:name="page325"/>
    <w:bookmarkEnd w:id="32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Code or, solely for purposes of Section 302 or 303 of ERISA or Section 412 or 430 of the Code, is treated as a single employer under Section 414 of the Code.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 Reportable Event with respect to a Pension Plan; (b) the failure by any Loan Party or any ERISA Affiliate to meet all applicable requirements under the Pension Funding Rules or the filing of an application for the waiver of the minimum funding standards under the Pension Funding Rules; (c) the incurrence by any Loan Party or any ERISA Affiliate of any liability pursuant to Section 4063 or 4064 of ERISA or a cessation of operations with respect to a Pension Plan within the meaning of Section 4062(e) of ERISA; (d) a complete or partial withdrawal by any Loan Party or any ERISA Affiliate from a Multiemployer Plan or notification that a Multiemployer Plan is or is expected to be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any event or condition which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or is expected to be in “endangered status”, “critical status” or “critical and declining status” (within the meaning of Section 432 of the Code or Section 305 of ERISA); (i) the imposition or incurrence of any liability under Title IV of ERISA, other than for PBGC premiums due but not delinquent under Section 4007 of ERISA, upon any Loan Party or any ERISA Affiliate; (j) the engagement by any Loan Party or any ERISA Affiliate in a transaction that could be subject to Section 4069 or Section 4212(c) of ERISA; (k) the imposition of a lien upon any Loan Party pursuant to Section 430(k) of the Code or Section 303(k) of ERISA; or (l) the making of an amendment to a Pension Plan that could result in the posting of bond or security under Section 436(f)(1) of the Code.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11.14(d)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11.14(d)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11.14(f)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each P1 Excluded Subsidiary;</w:t>
      </w:r>
    </w:p>
    <w:p>
      <w:pPr>
        <w:sectPr>
          <w:pgSz w:w="11900" w:h="16838" w:orient="portrait"/>
          <w:cols w:equalWidth="0" w:num="1">
            <w:col w:w="11240"/>
          </w:cols>
          <w:pgMar w:left="320" w:top="1422" w:right="339" w:bottom="1440" w:gutter="0" w:footer="0" w:header="0"/>
        </w:sectPr>
      </w:pPr>
    </w:p>
    <w:bookmarkStart w:id="325" w:name="page326"/>
    <w:bookmarkEnd w:id="325"/>
    <w:p>
      <w:pPr>
        <w:ind w:left="464" w:hanging="464"/>
        <w:spacing w:after="0"/>
        <w:tabs>
          <w:tab w:leader="none" w:pos="464"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Specified Subsidiary;</w:t>
      </w:r>
    </w:p>
    <w:p>
      <w:pPr>
        <w:spacing w:after="0" w:line="21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formed to undertake an Other Expansion;</w:t>
      </w:r>
    </w:p>
    <w:p>
      <w:pPr>
        <w:spacing w:after="0" w:line="219"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Unrestricted Subsidiary and each of its Subsidiaries;</w:t>
      </w:r>
    </w:p>
    <w:p>
      <w:pPr>
        <w:spacing w:after="0" w:line="233" w:lineRule="exact"/>
        <w:rPr>
          <w:rFonts w:ascii="Times New Roman" w:cs="Times New Roman" w:eastAsia="Times New Roman" w:hAnsi="Times New Roman"/>
          <w:sz w:val="22"/>
          <w:szCs w:val="22"/>
          <w:color w:val="auto"/>
        </w:rPr>
      </w:pPr>
    </w:p>
    <w:p>
      <w:pPr>
        <w:ind w:left="644" w:hanging="644"/>
        <w:spacing w:after="0" w:line="257" w:lineRule="auto"/>
        <w:tabs>
          <w:tab w:leader="none" w:pos="483"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that as of the last day of the Fiscal Quarter of the Borrower most recently ended for which financial statements have been (or were required to be) delivered, contributes less than 1.00% individually, or 2.50% in the aggregate, of the consolidated total assets of the Borrower;</w:t>
      </w:r>
    </w:p>
    <w:p>
      <w:pPr>
        <w:spacing w:after="0" w:line="172" w:lineRule="exact"/>
        <w:rPr>
          <w:rFonts w:ascii="Times New Roman" w:cs="Times New Roman" w:eastAsia="Times New Roman" w:hAnsi="Times New Roman"/>
          <w:sz w:val="22"/>
          <w:szCs w:val="22"/>
          <w:color w:val="auto"/>
        </w:rPr>
      </w:pPr>
    </w:p>
    <w:p>
      <w:pPr>
        <w:ind w:left="644" w:hanging="644"/>
        <w:spacing w:after="0" w:line="251" w:lineRule="auto"/>
        <w:tabs>
          <w:tab w:leader="none" w:pos="468"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(i) that is prohibited from providing a Guaranty by (A) any law or regulation or (B) any contractual obligation, that in the case of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exists as of the date hereof or at the time such Subsidiary becomes a Subsidiary (and was not entered into in contemplation thereof) or (ii) that would require a Government Approval in order to provide such Guaranty (unless such Government Approval has been obtained) or where the provision of such Guaranty would otherwise result in material adverse tax consequences as reasonably determined by the Borrower;</w:t>
      </w:r>
    </w:p>
    <w:p>
      <w:pPr>
        <w:spacing w:after="0" w:line="181"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Foreign Subsidiary;</w:t>
      </w:r>
    </w:p>
    <w:p>
      <w:pPr>
        <w:spacing w:after="0" w:line="219" w:lineRule="exact"/>
        <w:rPr>
          <w:rFonts w:ascii="Times New Roman" w:cs="Times New Roman" w:eastAsia="Times New Roman" w:hAnsi="Times New Roman"/>
          <w:sz w:val="22"/>
          <w:szCs w:val="22"/>
          <w:color w:val="auto"/>
        </w:rPr>
      </w:pPr>
    </w:p>
    <w:p>
      <w:pPr>
        <w:ind w:left="644" w:hanging="644"/>
        <w:spacing w:after="0" w:line="256" w:lineRule="auto"/>
        <w:tabs>
          <w:tab w:leader="none" w:pos="476"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direct or indirect domestic Subsidiary (i) substantially all of the assets of which consist of the equity and/or debt of one or more Foreign Subsidiaries or (ii) that is treated as a disregarded entity for U.S. federal income Tax purposes that has no material assets other than equity and/or debt of one or more Foreign Subsidiaries (either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Disregarded Domestic Person</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644" w:hanging="644"/>
        <w:spacing w:after="0" w:line="271" w:lineRule="auto"/>
        <w:tabs>
          <w:tab w:leader="none" w:pos="488"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domestic Subsidiary that is a direct or indirect Subsidiary of a Foreign Subsidiary or a Disregarded Domestic Person;</w:t>
      </w:r>
    </w:p>
    <w:p>
      <w:pPr>
        <w:spacing w:after="0" w:line="171" w:lineRule="exact"/>
        <w:rPr>
          <w:rFonts w:ascii="Times New Roman" w:cs="Times New Roman" w:eastAsia="Times New Roman" w:hAnsi="Times New Roman"/>
          <w:sz w:val="22"/>
          <w:szCs w:val="22"/>
          <w:color w:val="auto"/>
        </w:rPr>
      </w:pPr>
    </w:p>
    <w:p>
      <w:pPr>
        <w:ind w:left="424" w:hanging="424"/>
        <w:spacing w:after="0"/>
        <w:tabs>
          <w:tab w:leader="none" w:pos="424"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not-for-profit Subsidiaries and captive insurance Subsidiaries, if any;</w:t>
      </w:r>
    </w:p>
    <w:p>
      <w:pPr>
        <w:spacing w:after="0" w:line="219" w:lineRule="exact"/>
        <w:rPr>
          <w:rFonts w:ascii="Times New Roman" w:cs="Times New Roman" w:eastAsia="Times New Roman" w:hAnsi="Times New Roman"/>
          <w:sz w:val="22"/>
          <w:szCs w:val="22"/>
          <w:color w:val="auto"/>
        </w:rPr>
      </w:pPr>
    </w:p>
    <w:p>
      <w:pPr>
        <w:ind w:left="644" w:hanging="644"/>
        <w:spacing w:after="0" w:line="252" w:lineRule="auto"/>
        <w:tabs>
          <w:tab w:leader="none" w:pos="506"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in the case of any obligation under any Hedging Agreement that constitutes a “swap” within the meaning of section 1(a)(47) of the Commodity Exchange Act (after giving effect to a customary “keepwell” provision applicable under the Guaranty), any Subsidiary that is not an “Eligible Contract Participant” as defined under the Commodity Exchange Act;</w:t>
      </w:r>
    </w:p>
    <w:p>
      <w:pPr>
        <w:spacing w:after="0" w:line="192" w:lineRule="exact"/>
        <w:rPr>
          <w:rFonts w:ascii="Times New Roman" w:cs="Times New Roman" w:eastAsia="Times New Roman" w:hAnsi="Times New Roman"/>
          <w:sz w:val="22"/>
          <w:szCs w:val="22"/>
          <w:color w:val="auto"/>
        </w:rPr>
      </w:pPr>
    </w:p>
    <w:p>
      <w:pPr>
        <w:ind w:left="644" w:right="20" w:hanging="644"/>
        <w:spacing w:after="0" w:line="271" w:lineRule="auto"/>
        <w:tabs>
          <w:tab w:leader="none" w:pos="457"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P2 FID Date, each P2 Project Entity the Equity Interests in which are not directly owned by any Loan Party; and</w:t>
      </w:r>
    </w:p>
    <w:p>
      <w:pPr>
        <w:spacing w:after="0" w:line="157" w:lineRule="exact"/>
        <w:rPr>
          <w:rFonts w:ascii="Times New Roman" w:cs="Times New Roman" w:eastAsia="Times New Roman" w:hAnsi="Times New Roman"/>
          <w:sz w:val="22"/>
          <w:szCs w:val="22"/>
          <w:color w:val="auto"/>
        </w:rPr>
      </w:pPr>
    </w:p>
    <w:p>
      <w:pPr>
        <w:jc w:val="both"/>
        <w:ind w:left="644" w:hanging="644"/>
        <w:spacing w:after="0" w:line="252" w:lineRule="auto"/>
        <w:tabs>
          <w:tab w:leader="none" w:pos="643"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Subsidiary to the extent that the cost, burden, difficulty or consequence of providing such Guaranty outweighs or is disproportionate to the benefit afforded thereby as reasonably determined by the Borrower and the Administrative Agent (including after accounting for any adverse effects on non-U.S. taxes, interest deductibility, stamp duty, registration taxes and notarial costs).</w:t>
      </w:r>
    </w:p>
    <w:p>
      <w:pPr>
        <w:sectPr>
          <w:pgSz w:w="11900" w:h="16838" w:orient="portrait"/>
          <w:cols w:equalWidth="0" w:num="1">
            <w:col w:w="10584"/>
          </w:cols>
          <w:pgMar w:left="976" w:top="1422" w:right="339" w:bottom="1440" w:gutter="0" w:footer="0" w:header="0"/>
        </w:sectPr>
      </w:pPr>
    </w:p>
    <w:bookmarkStart w:id="326" w:name="page327"/>
    <w:bookmarkEnd w:id="326"/>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Notwithstanding the foregoing, at any time prior to the P2 FID Date, any P2 Project Entity shall not be an Excluded Subsidiary for purposes of this Agreement.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with respect to any Agent or any Lender or any other recipient of any payment to be made by or on account of any obligation of the Borrower under any Finance Document (a) Taxes imposed on or measured by net income (however denominated), franchise Taxes and branch profits Taxes, in each case, (i) imposed as a result of such Person being organized under the laws of, or having its principal office or, in the case of any Lender, its applicable lending office located in, the jurisdiction imposing such Tax (or any political subdivision thereof) or (ii) that are Other Connection Taxes, (b) any Taxes imposed as a result of the failure of any Agent or any Lender to comply with </w:t>
      </w:r>
      <w:r>
        <w:rPr>
          <w:rFonts w:ascii="Times New Roman" w:cs="Times New Roman" w:eastAsia="Times New Roman" w:hAnsi="Times New Roman"/>
          <w:sz w:val="22"/>
          <w:szCs w:val="22"/>
          <w:u w:val="single" w:color="auto"/>
          <w:color w:val="auto"/>
        </w:rPr>
        <w:t>Section 9.1(g)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9.1(h)</w:t>
      </w:r>
      <w:r>
        <w:rPr>
          <w:rFonts w:ascii="Times New Roman" w:cs="Times New Roman" w:eastAsia="Times New Roman" w:hAnsi="Times New Roman"/>
          <w:sz w:val="22"/>
          <w:szCs w:val="22"/>
          <w:color w:val="auto"/>
        </w:rPr>
        <w:t xml:space="preserve">, (c) any Taxes imposed under FATCA, and (d) in the case of a Lender, any U.S. federal withholding Tax imposed on amounts payable to or for the account of such Person with respect to an applicable interest in a Finance Document pursuant to the laws and treaties in effect on the date on which (i) such Persons acquires such interest in the Finance Document (other than pursuant to an assignment request by the Borrower under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or (ii) such Person changes its lending office, except in each case to the extent,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amounts with respect to such Taxes were payable either to such Person’s assignor immediately before such Person becomes a party hereto or to such Person immediately before it changed its lending office.</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entered into in connection with the implementation of such Sections of the Code.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means each of the fee letters, dated on or around the date hereof, between the Borrower, on the one hand, and each Lender, Administrative Agent or Collateral Agent, on the other hand.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FID</w:t>
      </w:r>
      <w:r>
        <w:rPr>
          <w:rFonts w:ascii="Times New Roman" w:cs="Times New Roman" w:eastAsia="Times New Roman" w:hAnsi="Times New Roman"/>
          <w:sz w:val="22"/>
          <w:szCs w:val="22"/>
          <w:color w:val="auto"/>
        </w:rPr>
        <w:t>” means the final investment decision by the board of directors of the Pledgor.</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Maturity Date</w:t>
      </w:r>
      <w:r>
        <w:rPr>
          <w:rFonts w:ascii="Times New Roman" w:cs="Times New Roman" w:eastAsia="Times New Roman" w:hAnsi="Times New Roman"/>
          <w:sz w:val="22"/>
          <w:szCs w:val="22"/>
          <w:color w:val="auto"/>
        </w:rPr>
        <w:t xml:space="preserve">” means the date that is the earlier of (a) the second anniversary of the date of Financial Close or such later anniversary of the date of Financial Close that may be determined by a unanimous decision of the Lenders following a written request to that effect from the Borrower and (b) ten Business Days after the P2 FID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Borrower may, by notice to the Administrative Agent, extend the Final Maturity Date to the date that is</w:t>
      </w:r>
    </w:p>
    <w:p>
      <w:pPr>
        <w:sectPr>
          <w:pgSz w:w="11900" w:h="16838" w:orient="portrait"/>
          <w:cols w:equalWidth="0" w:num="1">
            <w:col w:w="11240"/>
          </w:cols>
          <w:pgMar w:left="320" w:top="1422" w:right="339" w:bottom="1440" w:gutter="0" w:footer="0" w:header="0"/>
        </w:sectPr>
      </w:pPr>
    </w:p>
    <w:bookmarkStart w:id="327" w:name="page328"/>
    <w:bookmarkEnd w:id="327"/>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ninety days after the date in clause (b) of this definition subject to delivery of a written notice to the Lenders specifying in reasonable detail the Borrower’s expected source of liquidity to repay all outstanding Obligations on the last day of such ninety days extension.</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Documents</w:t>
      </w:r>
      <w:r>
        <w:rPr>
          <w:rFonts w:ascii="Times New Roman" w:cs="Times New Roman" w:eastAsia="Times New Roman" w:hAnsi="Times New Roman"/>
          <w:sz w:val="22"/>
          <w:szCs w:val="22"/>
          <w:color w:val="auto"/>
        </w:rPr>
        <w:t>” means, individually or collectively, as the context may require, the following agreements and instruments:</w:t>
      </w:r>
    </w:p>
    <w:p>
      <w:pPr>
        <w:spacing w:after="0" w:line="158" w:lineRule="exact"/>
        <w:rPr>
          <w:sz w:val="20"/>
          <w:szCs w:val="20"/>
          <w:color w:val="auto"/>
        </w:rPr>
      </w:pPr>
    </w:p>
    <w:p>
      <w:pPr>
        <w:ind w:left="1120" w:hanging="464"/>
        <w:spacing w:after="0"/>
        <w:tabs>
          <w:tab w:leader="none" w:pos="1120"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any Joinder or accession agreement hereto);</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Fee Letters;</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Documents; and</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document agreed as such by the Administrative Agent and any Loan Party party thereto.</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Close</w:t>
      </w:r>
      <w:r>
        <w:rPr>
          <w:rFonts w:ascii="Times New Roman" w:cs="Times New Roman" w:eastAsia="Times New Roman" w:hAnsi="Times New Roman"/>
          <w:sz w:val="22"/>
          <w:szCs w:val="22"/>
          <w:color w:val="auto"/>
        </w:rPr>
        <w:t xml:space="preserve">” means the date hereof, which is the date on which all the conditions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are met (or waived in accordance with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means each three-month period commencing on each January 1, April 1, July 1, and October 1 of any Fiscal Year and ending on the next March 31, June 30, September 30, and December 31, respectively.</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any period of twelve consecutive calendar months beginning on January 1 and ending on December 31 of each calendar year.</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Ltd., or any successor to the rating agency business thereof.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rate of interest equal to 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any Lender that is not a US Person.</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existing or future direct or indirect Subsidiary of the Borrower organized under the laws of any jurisdiction other than the United States, any state thereof or the District of Columbia.</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Guarantor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and standards in the United States, as in effect from time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96"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w:t>
      </w:r>
      <w:r>
        <w:rPr>
          <w:rFonts w:ascii="Times New Roman" w:cs="Times New Roman" w:eastAsia="Times New Roman" w:hAnsi="Times New Roman"/>
          <w:sz w:val="22"/>
          <w:szCs w:val="22"/>
          <w:color w:val="auto"/>
        </w:rPr>
        <w:t>” means any hydrocarbon or mixture of hydrocarbons consisting predominantly of methane which is in a gaseous state at a temperature of 15° Celsius and at an absolute pressure of 1,013.25 millibars.</w:t>
      </w:r>
    </w:p>
    <w:p>
      <w:pPr>
        <w:spacing w:after="0" w:line="1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Approval</w:t>
      </w:r>
      <w:r>
        <w:rPr>
          <w:rFonts w:ascii="Times New Roman" w:cs="Times New Roman" w:eastAsia="Times New Roman" w:hAnsi="Times New Roman"/>
          <w:sz w:val="22"/>
          <w:szCs w:val="22"/>
          <w:color w:val="auto"/>
        </w:rPr>
        <w:t>” means (a) any authorization, consent, approval, license, lease, ruling, permit, tariff, rate, certification, waiver, exemption, filing, variance, claim, order,</w:t>
      </w:r>
    </w:p>
    <w:p>
      <w:pPr>
        <w:sectPr>
          <w:pgSz w:w="11900" w:h="16838" w:orient="portrait"/>
          <w:cols w:equalWidth="0" w:num="1">
            <w:col w:w="11240"/>
          </w:cols>
          <w:pgMar w:left="320" w:top="1422" w:right="339" w:bottom="1440" w:gutter="0" w:footer="0" w:header="0"/>
        </w:sectPr>
      </w:pPr>
    </w:p>
    <w:bookmarkStart w:id="328" w:name="page329"/>
    <w:bookmarkEnd w:id="328"/>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judgment or decree of, by or with, (b) any required notice to, (c) any declaration of or with, or (d) any registration by or with any Government Authority.</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Authority</w:t>
      </w:r>
      <w:r>
        <w:rPr>
          <w:rFonts w:ascii="Times New Roman" w:cs="Times New Roman" w:eastAsia="Times New Roman" w:hAnsi="Times New Roman"/>
          <w:sz w:val="22"/>
          <w:szCs w:val="22"/>
          <w:color w:val="auto"/>
        </w:rPr>
        <w:t>” means any supra-national, federal, state or local government or political subdivision thereof or quasi-government or other entity exercising executive, legislative, judicial, regulatory or administrative functions of or pertaining to government (including any central bank) and having jurisdiction over the Person or matters in question.</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Rule</w:t>
      </w:r>
      <w:r>
        <w:rPr>
          <w:rFonts w:ascii="Times New Roman" w:cs="Times New Roman" w:eastAsia="Times New Roman" w:hAnsi="Times New Roman"/>
          <w:sz w:val="22"/>
          <w:szCs w:val="22"/>
          <w:color w:val="auto"/>
        </w:rPr>
        <w:t>” means any statute, law, regulation, ordinance, rule, judgment, order, decree, directive, requirement of, or other governmental restriction or any similar binding form of decision of or determination by, or any interpretation or administration of any of the foregoing by, any Government Authority, including all common law, which is applicable to any Person, whether now or hereafter in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means the guaranty of each Subsidiary Guarantor set forth in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any agreement (other than this Agreement) in respect of any interest rate swap, forward rate transaction, commodity swap, commodity option, interest rate option, interest or commodity cap, interest or commodity collar transaction, currency swap agreement, currency future or option contract or other similar agreements.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Illegality Notice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as to any Person at any time, without duplication, all of the following, whether or not included as indebtedness or liabilities in accordance with GAAP: (a) all obligations of such Person for or in respect of borrowed money;</w:t>
      </w:r>
    </w:p>
    <w:p>
      <w:pPr>
        <w:spacing w:after="0" w:line="2" w:lineRule="exact"/>
        <w:rPr>
          <w:sz w:val="20"/>
          <w:szCs w:val="20"/>
          <w:color w:val="auto"/>
        </w:rPr>
      </w:pPr>
    </w:p>
    <w:p>
      <w:pPr>
        <w:jc w:val="both"/>
        <w:ind w:firstLine="8"/>
        <w:spacing w:after="0" w:line="259" w:lineRule="auto"/>
        <w:tabs>
          <w:tab w:leader="none" w:pos="328" w:val="left"/>
        </w:tabs>
        <w:numPr>
          <w:ilvl w:val="0"/>
          <w:numId w:val="4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evidenced by bonds, debentures, notes, loan agreements or other similar instruments; (c) all obligations of such Person for representing the balance deferred and unpaid of the purchase price of any property or services due more than six months after such property is acquired or such services are completed; (d) all obligations of such Person that are or should be reflected on such Person’s balance sheet as financial leases; (e) net obligations of such Person under any Hedging Agreement; (f) reimbursement obligations (contingent or otherwise) pursuant to any performance bonds; (g) whether or not so included as liabilities in accordance with GAAP, Indebtedness of others described in clauses (a) through (f) above secured by (or for which the holder thereof has an existing right, contingent or otherwise, to be secured by) a Lien on the property of such Person, whether or not the respective Indebtedness so secured has been assumed by such Person; and (h) all guarantees of such Person in respect of any of the foregoing. The amount of any net obligation under any Hedging Agreement of any Person on any date shall be deemed to be the net termination value thereof as of such date for which such Person would be liable thereunder.</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329" w:name="page330"/>
    <w:bookmarkEnd w:id="329"/>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any Borrower under any Finance Document, and (b) to the extent not otherwise described in (a), Other Taxes.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xml:space="preserve">” means a request by the Borrower to convert or continue a Borrowing substantially the form attached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or otherwise in a form approved by the Administrative Agent.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Loan Commitment</w:t>
      </w:r>
      <w:r>
        <w:rPr>
          <w:rFonts w:ascii="Times New Roman" w:cs="Times New Roman" w:eastAsia="Times New Roman" w:hAnsi="Times New Roman"/>
          <w:sz w:val="22"/>
          <w:szCs w:val="22"/>
          <w:color w:val="auto"/>
        </w:rPr>
        <w:t xml:space="preserve">” means, with respect to each Lender, the commitment of such Lender to make Interest Loans, as set forth opposite the name of such Lender in the column entitled “Interest Loan Commitment” in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or if such Lender has entered into one or more Assignment and Assumptions, set forth opposite the name of such Lender in the Register maintained by the Administrative Agent pursuant to </w:t>
      </w:r>
      <w:r>
        <w:rPr>
          <w:rFonts w:ascii="Times New Roman" w:cs="Times New Roman" w:eastAsia="Times New Roman" w:hAnsi="Times New Roman"/>
          <w:sz w:val="22"/>
          <w:szCs w:val="22"/>
          <w:u w:val="single" w:color="auto"/>
          <w:color w:val="auto"/>
        </w:rPr>
        <w:t>Section 12.15(c)</w:t>
      </w:r>
      <w:r>
        <w:rPr>
          <w:rFonts w:ascii="Times New Roman" w:cs="Times New Roman" w:eastAsia="Times New Roman" w:hAnsi="Times New Roman"/>
          <w:sz w:val="22"/>
          <w:szCs w:val="22"/>
          <w:color w:val="auto"/>
        </w:rPr>
        <w:t xml:space="preserve"> as such Lender’s Interest Loan Commitment, as the same may be reduced in accordance with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Loans</w:t>
      </w:r>
      <w:r>
        <w:rPr>
          <w:rFonts w:ascii="Times New Roman" w:cs="Times New Roman" w:eastAsia="Times New Roman" w:hAnsi="Times New Roman"/>
          <w:sz w:val="22"/>
          <w:szCs w:val="22"/>
          <w:color w:val="auto"/>
        </w:rPr>
        <w:t xml:space="preserve">” means each loan made pursuant to </w:t>
      </w:r>
      <w:r>
        <w:rPr>
          <w:rFonts w:ascii="Times New Roman" w:cs="Times New Roman" w:eastAsia="Times New Roman" w:hAnsi="Times New Roman"/>
          <w:sz w:val="22"/>
          <w:szCs w:val="22"/>
          <w:u w:val="single" w:color="auto"/>
          <w:color w:val="auto"/>
        </w:rPr>
        <w:t>Section 2.1(a)(ii)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Obligations</w:t>
      </w:r>
      <w:r>
        <w:rPr>
          <w:rFonts w:ascii="Times New Roman" w:cs="Times New Roman" w:eastAsia="Times New Roman" w:hAnsi="Times New Roman"/>
          <w:sz w:val="22"/>
          <w:szCs w:val="22"/>
          <w:color w:val="auto"/>
        </w:rPr>
        <w:t>” means interest in respect of Indebtedness constituting the Obligations.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as to any ABR Loan, the last Business Day of each March, June, September and December and the Final Maturity Date and (b) as to any SOFR Loan, the last day of each Interest Period therefor and the Final Maturity Date.</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shall mean, as to any Borrowing, the period commencing on the date of such Loan or Borrowing and ending on the numerically corresponding day in the calendar month that is one, three, or six months thereafter (in each case, subject to the availability thereof), as specified in the applicable Borrowing Request or Interest Election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 w:lineRule="exact"/>
        <w:rPr>
          <w:sz w:val="20"/>
          <w:szCs w:val="20"/>
          <w:color w:val="auto"/>
        </w:rPr>
      </w:pPr>
    </w:p>
    <w:p>
      <w:pPr>
        <w:jc w:val="both"/>
        <w:ind w:firstLine="8"/>
        <w:spacing w:after="0" w:line="246" w:lineRule="auto"/>
        <w:tabs>
          <w:tab w:leader="none" w:pos="291"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shall extend beyond the Final Maturity Date and (iv) no tenor that has been removed from this definition pursuant to </w:t>
      </w:r>
      <w:r>
        <w:rPr>
          <w:rFonts w:ascii="Times New Roman" w:cs="Times New Roman" w:eastAsia="Times New Roman" w:hAnsi="Times New Roman"/>
          <w:sz w:val="22"/>
          <w:szCs w:val="22"/>
          <w:u w:val="single" w:color="auto"/>
          <w:color w:val="auto"/>
        </w:rPr>
        <w:t>Section 2.12(d)</w:t>
      </w:r>
      <w:r>
        <w:rPr>
          <w:rFonts w:ascii="Times New Roman" w:cs="Times New Roman" w:eastAsia="Times New Roman" w:hAnsi="Times New Roman"/>
          <w:sz w:val="22"/>
          <w:szCs w:val="22"/>
          <w:color w:val="auto"/>
        </w:rPr>
        <w:t>shall be available for specification in such Borrowing Request or Interest Election Request. For purposes hereof, the date of a Loan or Borrowing initially shall be the date on which such Loan or Borrowing is made and thereafter shall be the effective date of the most recent conversion or continuation of such Loan or Borrowing.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for any Person:</w:t>
      </w:r>
    </w:p>
    <w:p>
      <w:pPr>
        <w:sectPr>
          <w:pgSz w:w="11900" w:h="16838" w:orient="portrait"/>
          <w:cols w:equalWidth="0" w:num="1">
            <w:col w:w="11240"/>
          </w:cols>
          <w:pgMar w:left="320" w:top="1422" w:right="339" w:bottom="1440" w:gutter="0" w:footer="0" w:header="0"/>
        </w:sectPr>
      </w:pPr>
    </w:p>
    <w:bookmarkStart w:id="330" w:name="page331"/>
    <w:bookmarkEnd w:id="330"/>
    <w:p>
      <w:pPr>
        <w:jc w:val="both"/>
        <w:ind w:left="660" w:firstLine="644"/>
        <w:spacing w:after="0" w:line="256" w:lineRule="auto"/>
        <w:tabs>
          <w:tab w:leader="none" w:pos="1869"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(whether for cash, Property of such Person, services or securities or otherwise) of capital stock, bonds, notes, debentures, partnership or other ownership interests or other securities of any other Person (including any “short sale” or any other sale of any securities at a time when such securities are not owned by the Person entering into such sale);</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800" w:val="left"/>
        </w:tabs>
        <w:numPr>
          <w:ilvl w:val="0"/>
          <w:numId w:val="4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making of any deposit with or advance, loan,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180 days representing the purchase price of inventory or supplies sold in the ordinary course of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term “Investment” shall not include any Permitted Payments.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Joinder</w:t>
      </w:r>
      <w:r>
        <w:rPr>
          <w:rFonts w:ascii="Times New Roman" w:cs="Times New Roman" w:eastAsia="Times New Roman" w:hAnsi="Times New Roman"/>
          <w:sz w:val="22"/>
          <w:szCs w:val="22"/>
          <w:color w:val="auto"/>
        </w:rPr>
        <w:t xml:space="preserve">” means a joinder to this Agreement in the form attached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any Lender with a Commitment or an outstanding Loan and any other Person that shall have become a Lender pursuant to an Assignment and Assumption, other than any such Person that ceases to be a party hereto pursuant to an Assignment and Assumption.</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property of any Person, any mortgage, lien, pledge, trust, charge, lease, easement, servitude, hypothec, security interest or encumbrance of any kind in respect of such property of such Person. A Person shall be deemed to own subject to a Lien any property that it has acquired or holds subject to the interest of a vendor or lessor under any conditional sale agreement, capital lease or other title retention agreement (other than an operating lease) relating to such property.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means the Borrower and each Subsidiary Guarantor.</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Party Power</w:t>
      </w:r>
      <w:r>
        <w:rPr>
          <w:rFonts w:ascii="Times New Roman" w:cs="Times New Roman" w:eastAsia="Times New Roman" w:hAnsi="Times New Roman"/>
          <w:sz w:val="21"/>
          <w:szCs w:val="21"/>
          <w:color w:val="auto"/>
        </w:rPr>
        <w:t>” means, with respect to each applicable action, event or circumstance of RG Intermediate Holdings or its Subsidiaries, such action, event or circumstance that is within the actual power and authority of a Loan Party (acting directly or indirectly (including through the other Loan Parties)) to cause RG Intermediate Holdings or such Subsidiary to take or do such action, event or circumstance of RG Intermediate Holdings or such Subsidiary, as applicable, or to prevent RG Intermediate Holdings or such Subsidiary from taking, doing or allowing to exist such action, event or circumstance of RG Intermediate Holdings or such Subsidiary, as applicable, subject to any fiduciary or similar duties, in each case, as reasonably determined by the Borrower in good faith. For the avoidance of doubt, nothing in this Agreement shall require any Loan Party to seek or obtain any amendments to Organic Documents of any non-wholly owned Subsidiary or contractual obligation as in effect on the date hereof to expand or modify any right, power, or authority of the Loan Parties or any of their Subsidiaries thereunder.</w:t>
      </w:r>
    </w:p>
    <w:p>
      <w:pPr>
        <w:sectPr>
          <w:pgSz w:w="11900" w:h="16838" w:orient="portrait"/>
          <w:cols w:equalWidth="0" w:num="1">
            <w:col w:w="11240"/>
          </w:cols>
          <w:pgMar w:left="320" w:top="1422" w:right="339" w:bottom="1440" w:gutter="0" w:footer="0" w:header="0"/>
        </w:sectPr>
      </w:pPr>
    </w:p>
    <w:bookmarkStart w:id="331" w:name="page332"/>
    <w:bookmarkEnd w:id="33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depending on the context, any of the Revolving Loans and/or Interest Loans.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Lenders</w:t>
      </w:r>
      <w:r>
        <w:rPr>
          <w:rFonts w:ascii="Times New Roman" w:cs="Times New Roman" w:eastAsia="Times New Roman" w:hAnsi="Times New Roman"/>
          <w:sz w:val="22"/>
          <w:szCs w:val="22"/>
          <w:color w:val="auto"/>
        </w:rPr>
        <w:t>” means, at any time, Lenders having outstanding Loans, representing more than 50% of the sum of the total outstanding Loans at such time. The Loans of any Defaulting Lender shall be disregarded in determining Majority Lenders at any time.</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condition (financial or otherwise), business, operations, properties or assets of the Loan Parties, taken as a whole, (b) the ability of the Credit Parties to fully and timely perform and comply with their payment and other material obligations under the Finance Documents taken as a whole, or (c) the security interests of the Secured Parties, taken as a whole.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successor thereto.</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that is contributed to by any Loan Party or any ERISA Affiliate.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9.5(b)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any Lender that is not a Defaulting Lender.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Person</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12.17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obligations and liabilities of any Loan Party arising under or in connection with a Finance Document, whether direct or indirect, absolute or contingent, due or to become due, or now existing or hereafter arising, in respect of (a) the principal of and interest on all Loans, (b) fees payable under any Finance Document, and (c) all other amounts payable by a Loan Party to any Agent or any Lender pursuant to any Finance Document, including any premium, reimbursements, damages, expenses, fees, costs, charges, disbursements, indemnities, and other liabilities (including all fees, charges, expenses and disbursements of counsel to any Agent or any Lender) due and payable to any Agent or any Lender and including interest that would accrue on any of the foregoing during the pendency of any bankruptcy or related proceeding with respect to a Loan Party.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Obligee Guarantor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 Laws</w:t>
      </w:r>
      <w:r>
        <w:rPr>
          <w:rFonts w:ascii="Times New Roman" w:cs="Times New Roman" w:eastAsia="Times New Roman" w:hAnsi="Times New Roman"/>
          <w:sz w:val="22"/>
          <w:szCs w:val="22"/>
          <w:color w:val="auto"/>
        </w:rPr>
        <w:t>” means any laws, regulations, and executive orders relating to the economic sanctions programs administered by OFAC, including the International Emergency Economic Powers Act, 50 U.S.C. sections 1701 et seq.; the Trading with the Enemy Act, 50 App. U.S.C. sections 1 et seq.; and the Office of Foreign Assets Control, Department of the</w:t>
      </w:r>
    </w:p>
    <w:p>
      <w:pPr>
        <w:sectPr>
          <w:pgSz w:w="11900" w:h="16838" w:orient="portrait"/>
          <w:cols w:equalWidth="0" w:num="1">
            <w:col w:w="11240"/>
          </w:cols>
          <w:pgMar w:left="320" w:top="1422" w:right="3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22"/>
          <w:szCs w:val="22"/>
          <w:color w:val="auto"/>
        </w:rPr>
        <w:t>Treasury Regulations, 31 C.F.R. Parts 500 et seq. (implementing the economic sanctions programs administered by OFAC).</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Organic Documents</w:t>
      </w:r>
      <w:r>
        <w:rPr>
          <w:rFonts w:ascii="Times New Roman" w:cs="Times New Roman" w:eastAsia="Times New Roman" w:hAnsi="Times New Roman"/>
          <w:sz w:val="22"/>
          <w:szCs w:val="22"/>
          <w:color w:val="auto"/>
        </w:rPr>
        <w:t>” means, with respect to any Person that is a corporation, its certificate of incorporation, its by-laws and all shareholder agreements, voting trusts and similar arrangements applicable to any of its authorized shares of capital stock, with respect to any Person that is a limited liability company, its certificate of formation or articles of organization and its limited liability company agreement, and, with respect to any Person that is a partnership or limited partnership, its certificate of partnership and its partnership agreement.</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Agent, any Lender, or any other recipient of any payment made pursuant to any obligation of the Borrower under any Finance Document, Taxes imposed as a result of a present or former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any Finance Document, or sold or assigned an interest in any of the Finance Document).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Expansion</w:t>
      </w:r>
      <w:r>
        <w:rPr>
          <w:rFonts w:ascii="Times New Roman" w:cs="Times New Roman" w:eastAsia="Times New Roman" w:hAnsi="Times New Roman"/>
          <w:sz w:val="22"/>
          <w:szCs w:val="22"/>
          <w:color w:val="auto"/>
        </w:rPr>
        <w:t>” means the development of any liquefaction train and the related common facilities at the Rio Grande Facility other than in respect of the P1 Project and the P2 Project.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stamp, court or documentary, intangible, recording, filing or similar Taxes or any other excise or property Taxes, charges or similar levies arising from any payment made under any Finance Document or from the execution, delivery or enforcement of, or otherwise with respect to, any Finance Document.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Administrative Agent</w:t>
      </w:r>
      <w:r>
        <w:rPr>
          <w:rFonts w:ascii="Times New Roman" w:cs="Times New Roman" w:eastAsia="Times New Roman" w:hAnsi="Times New Roman"/>
          <w:sz w:val="22"/>
          <w:szCs w:val="22"/>
          <w:color w:val="auto"/>
        </w:rPr>
        <w:t>” shall have the meaning ascribed thereto in the P1 Common Terms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Collateral Agent</w:t>
      </w:r>
      <w:r>
        <w:rPr>
          <w:rFonts w:ascii="Times New Roman" w:cs="Times New Roman" w:eastAsia="Times New Roman" w:hAnsi="Times New Roman"/>
          <w:sz w:val="22"/>
          <w:szCs w:val="22"/>
          <w:color w:val="auto"/>
        </w:rPr>
        <w:t>” shall have the meaning ascribed thereto in the P1 Common Terms Agreement.</w:t>
      </w:r>
    </w:p>
    <w:p>
      <w:pPr>
        <w:spacing w:after="0" w:line="23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P1 Common Terms Agreement</w:t>
      </w:r>
      <w:r>
        <w:rPr>
          <w:rFonts w:ascii="Times New Roman" w:cs="Times New Roman" w:eastAsia="Times New Roman" w:hAnsi="Times New Roman"/>
          <w:sz w:val="21"/>
          <w:szCs w:val="21"/>
          <w:color w:val="auto"/>
        </w:rPr>
        <w:t>” means that certain Common Terms Agreement, dated as of July 12, 2023, with the senior secured debt holder representatives party thereto from time to time, and MUFG Bank, Ltd., as the P1 Intercreditor Agent.</w:t>
      </w:r>
    </w:p>
    <w:p>
      <w:pPr>
        <w:spacing w:after="0" w:line="13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Designated Offtake Agreement</w:t>
      </w:r>
      <w:r>
        <w:rPr>
          <w:rFonts w:ascii="Times New Roman" w:cs="Times New Roman" w:eastAsia="Times New Roman" w:hAnsi="Times New Roman"/>
          <w:sz w:val="22"/>
          <w:szCs w:val="22"/>
          <w:color w:val="auto"/>
        </w:rPr>
        <w:t>” means each agreement defined as a “Designated Offtake Agreement” in the P1 Common Terms Agreement.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Excluded Subsidiary</w:t>
      </w:r>
      <w:r>
        <w:rPr>
          <w:rFonts w:ascii="Times New Roman" w:cs="Times New Roman" w:eastAsia="Times New Roman" w:hAnsi="Times New Roman"/>
          <w:sz w:val="22"/>
          <w:szCs w:val="22"/>
          <w:color w:val="auto"/>
        </w:rPr>
        <w:t>” means Rio Grande LNG Intermediate Holdings, LLC, Rio Grande LNG Holdings, LLC, and the P1 Project Company.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Financing Document</w:t>
      </w:r>
      <w:r>
        <w:rPr>
          <w:rFonts w:ascii="Times New Roman" w:cs="Times New Roman" w:eastAsia="Times New Roman" w:hAnsi="Times New Roman"/>
          <w:sz w:val="22"/>
          <w:szCs w:val="22"/>
          <w:color w:val="auto"/>
        </w:rPr>
        <w:t>” shall have the meaning ascribed thereto in the P1 Common Terms Agreement.</w:t>
      </w:r>
    </w:p>
    <w:p>
      <w:pPr>
        <w:sectPr>
          <w:pgSz w:w="11900" w:h="16838" w:orient="portrait"/>
          <w:cols w:equalWidth="0" w:num="1">
            <w:col w:w="11240"/>
          </w:cols>
          <w:pgMar w:left="320" w:top="1422" w:right="339" w:bottom="1440" w:gutter="0" w:footer="0" w:header="0"/>
        </w:sectPr>
      </w:pPr>
    </w:p>
    <w:bookmarkStart w:id="333" w:name="page334"/>
    <w:bookmarkEnd w:id="33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Intercreditor Agent</w:t>
      </w:r>
      <w:r>
        <w:rPr>
          <w:rFonts w:ascii="Times New Roman" w:cs="Times New Roman" w:eastAsia="Times New Roman" w:hAnsi="Times New Roman"/>
          <w:sz w:val="22"/>
          <w:szCs w:val="22"/>
          <w:color w:val="auto"/>
        </w:rPr>
        <w:t>” shall have the meaning ascribed thereto in the P1 Common Terms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Material Project Documents</w:t>
      </w:r>
      <w:r>
        <w:rPr>
          <w:rFonts w:ascii="Times New Roman" w:cs="Times New Roman" w:eastAsia="Times New Roman" w:hAnsi="Times New Roman"/>
          <w:sz w:val="22"/>
          <w:szCs w:val="22"/>
          <w:color w:val="auto"/>
        </w:rPr>
        <w:t>” means each agreement defined as a “Material Project Document” in the P1 Common Terms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Project</w:t>
      </w:r>
      <w:r>
        <w:rPr>
          <w:rFonts w:ascii="Times New Roman" w:cs="Times New Roman" w:eastAsia="Times New Roman" w:hAnsi="Times New Roman"/>
          <w:sz w:val="22"/>
          <w:szCs w:val="22"/>
          <w:color w:val="auto"/>
        </w:rPr>
        <w:t>” shall have the meaning ascribed thereto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Project Company</w:t>
      </w:r>
      <w:r>
        <w:rPr>
          <w:rFonts w:ascii="Times New Roman" w:cs="Times New Roman" w:eastAsia="Times New Roman" w:hAnsi="Times New Roman"/>
          <w:sz w:val="22"/>
          <w:szCs w:val="22"/>
          <w:color w:val="auto"/>
        </w:rPr>
        <w:t>” shall have the meaning ascribed thereto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P1 Project Event of Default</w:t>
      </w:r>
      <w:r>
        <w:rPr>
          <w:rFonts w:ascii="Times New Roman" w:cs="Times New Roman" w:eastAsia="Times New Roman" w:hAnsi="Times New Roman"/>
          <w:sz w:val="22"/>
          <w:szCs w:val="22"/>
          <w:color w:val="auto"/>
        </w:rPr>
        <w:t>” means an “Event of Default” under and as defined in the P1 Financing Documents.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P2 Debt Financing</w:t>
      </w:r>
      <w:r>
        <w:rPr>
          <w:rFonts w:ascii="Times New Roman" w:cs="Times New Roman" w:eastAsia="Times New Roman" w:hAnsi="Times New Roman"/>
          <w:sz w:val="22"/>
          <w:szCs w:val="22"/>
          <w:color w:val="auto"/>
        </w:rPr>
        <w:t>” means any Indebtedness incurred by the P2 Project Borrower to fund the P2 Project.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P2 FID Date</w:t>
      </w:r>
      <w:r>
        <w:rPr>
          <w:rFonts w:ascii="Times New Roman" w:cs="Times New Roman" w:eastAsia="Times New Roman" w:hAnsi="Times New Roman"/>
          <w:sz w:val="22"/>
          <w:szCs w:val="22"/>
          <w:color w:val="auto"/>
        </w:rPr>
        <w:t>” means FID in respect of the P2 Project.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P2 Financing Documents</w:t>
      </w:r>
      <w:r>
        <w:rPr>
          <w:rFonts w:ascii="Times New Roman" w:cs="Times New Roman" w:eastAsia="Times New Roman" w:hAnsi="Times New Roman"/>
          <w:sz w:val="22"/>
          <w:szCs w:val="22"/>
          <w:color w:val="auto"/>
        </w:rPr>
        <w:t>” means (a) any agreement, document, or instrument pursuant to which one or more Persons lend monies, finance, or provide financial support in any form in respect of the P2 Project and (b) all security agreements, documents, or instruments entered into in relation thereto.</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P2 Project</w:t>
      </w:r>
      <w:r>
        <w:rPr>
          <w:rFonts w:ascii="Times New Roman" w:cs="Times New Roman" w:eastAsia="Times New Roman" w:hAnsi="Times New Roman"/>
          <w:sz w:val="22"/>
          <w:szCs w:val="22"/>
          <w:color w:val="auto"/>
        </w:rPr>
        <w:t>” means the T4 Expansion and all other expansions to the Rio Grande Facility that will be funded by the P2 Debt Financing.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P2 Project Borrower</w:t>
      </w:r>
      <w:r>
        <w:rPr>
          <w:rFonts w:ascii="Times New Roman" w:cs="Times New Roman" w:eastAsia="Times New Roman" w:hAnsi="Times New Roman"/>
          <w:sz w:val="22"/>
          <w:szCs w:val="22"/>
          <w:color w:val="auto"/>
        </w:rPr>
        <w:t>” means the borrower under the P2 Financing Documents.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P2 Project Companies</w:t>
      </w:r>
      <w:r>
        <w:rPr>
          <w:rFonts w:ascii="Times New Roman" w:cs="Times New Roman" w:eastAsia="Times New Roman" w:hAnsi="Times New Roman"/>
          <w:sz w:val="22"/>
          <w:szCs w:val="22"/>
          <w:color w:val="auto"/>
        </w:rPr>
        <w:t>” means each wholly-owned Subsidiary of the P2 Project Borrower.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P2 Project Pledgor</w:t>
      </w:r>
      <w:r>
        <w:rPr>
          <w:rFonts w:ascii="Times New Roman" w:cs="Times New Roman" w:eastAsia="Times New Roman" w:hAnsi="Times New Roman"/>
          <w:sz w:val="22"/>
          <w:szCs w:val="22"/>
          <w:color w:val="auto"/>
        </w:rPr>
        <w:t>” means the immediate parent of the P2 Project Borrower.</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P2 Project Entities</w:t>
      </w:r>
      <w:r>
        <w:rPr>
          <w:rFonts w:ascii="Times New Roman" w:cs="Times New Roman" w:eastAsia="Times New Roman" w:hAnsi="Times New Roman"/>
          <w:sz w:val="22"/>
          <w:szCs w:val="22"/>
          <w:color w:val="auto"/>
        </w:rPr>
        <w:t>” means (a) the P2 Project Companies, (b) the P2 Project Borrower, (c) the P2 Project Pledgor, and (d) any Subsidiary of the Borrower that (x) owns a direct or indirect interest in the P2 Project Pledgor and (y) does not own a direct or indirect interest in the P1 Excluded Subsidiaries.</w:t>
      </w:r>
    </w:p>
    <w:p>
      <w:pPr>
        <w:spacing w:after="0" w:line="18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P2 Sponsor Financing</w:t>
      </w:r>
      <w:r>
        <w:rPr>
          <w:rFonts w:ascii="Times New Roman" w:cs="Times New Roman" w:eastAsia="Times New Roman" w:hAnsi="Times New Roman"/>
          <w:sz w:val="21"/>
          <w:szCs w:val="21"/>
          <w:color w:val="auto"/>
        </w:rPr>
        <w:t>” means any common equity, preferred equity, Indebtedness (other than the P2 Debt Financing), or other financing incurred by any entity directly or indirectly owned by the Borrower, the proceeds of which will be used primarily to fund the Borrower’s and its Subsidiaries’ direct or indirect equity contribution obligations under the P2 Financing Documents.</w:t>
      </w:r>
    </w:p>
    <w:p>
      <w:pPr>
        <w:spacing w:after="0" w:line="15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P2 Sponsor Financing Documents</w:t>
      </w:r>
      <w:r>
        <w:rPr>
          <w:rFonts w:ascii="Times New Roman" w:cs="Times New Roman" w:eastAsia="Times New Roman" w:hAnsi="Times New Roman"/>
          <w:sz w:val="22"/>
          <w:szCs w:val="22"/>
          <w:color w:val="auto"/>
        </w:rPr>
        <w:t>” means (a) any agreement, document, or instrument pursuant to which one or more Persons lend monies, finance, or provide financial support in any</w:t>
      </w:r>
    </w:p>
    <w:p>
      <w:pPr>
        <w:sectPr>
          <w:pgSz w:w="11900" w:h="16838" w:orient="portrait"/>
          <w:cols w:equalWidth="0" w:num="1">
            <w:col w:w="11240"/>
          </w:cols>
          <w:pgMar w:left="320" w:top="1422" w:right="339" w:bottom="1440" w:gutter="0" w:footer="0" w:header="0"/>
        </w:sectPr>
      </w:pPr>
    </w:p>
    <w:bookmarkStart w:id="334" w:name="page335"/>
    <w:bookmarkEnd w:id="334"/>
    <w:p>
      <w:pPr>
        <w:jc w:val="both"/>
        <w:spacing w:after="0" w:line="271" w:lineRule="auto"/>
        <w:rPr>
          <w:sz w:val="20"/>
          <w:szCs w:val="20"/>
          <w:color w:val="auto"/>
        </w:rPr>
      </w:pPr>
      <w:r>
        <w:rPr>
          <w:rFonts w:ascii="Times New Roman" w:cs="Times New Roman" w:eastAsia="Times New Roman" w:hAnsi="Times New Roman"/>
          <w:sz w:val="22"/>
          <w:szCs w:val="22"/>
          <w:color w:val="auto"/>
        </w:rPr>
        <w:t>form in respect of the P2 Sponsor Financing and (b) all security agreements, documents, or instruments entered into in relation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12.15(e)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12.15(e)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Pub. L.107-56, signed into law October 26, 2001.</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11.14(a)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or any entity succeeding to any or all of its functions under Title IV of ERISA.</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Funding Rules</w:t>
      </w:r>
      <w:r>
        <w:rPr>
          <w:rFonts w:ascii="Times New Roman" w:cs="Times New Roman" w:eastAsia="Times New Roman" w:hAnsi="Times New Roman"/>
          <w:sz w:val="22"/>
          <w:szCs w:val="22"/>
          <w:color w:val="auto"/>
        </w:rPr>
        <w:t>” means the rules of the Code and ERISA regarding minimum funding standards and minimum required contributions (including any installment payment thereof) to Pension Plans and Multiemployer Plans and set forth in Sections 412, 430, 431, 432 and 436 of the Code and Sections 302, 303, 304 and 305 of ERISA.</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Plan</w:t>
      </w:r>
      <w:r>
        <w:rPr>
          <w:rFonts w:ascii="Times New Roman" w:cs="Times New Roman" w:eastAsia="Times New Roman" w:hAnsi="Times New Roman"/>
          <w:sz w:val="21"/>
          <w:szCs w:val="21"/>
          <w:color w:val="auto"/>
        </w:rPr>
        <w:t>” means any “employee pension benefit plan” (as defined in Section 3(2) of ERISA, other than a Multiemployer Plan) that is maintained or is contributed to by any Loan Party or any ERISA Affiliate and is either covered by Title IV of ERISA or is subject to the minimum funding standards under Section 412 or 430 of the Code or Section 302 or 303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ERISA.</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has the meaning specified in the definition of “</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Business</w:t>
      </w:r>
      <w:r>
        <w:rPr>
          <w:rFonts w:ascii="Times New Roman" w:cs="Times New Roman" w:eastAsia="Times New Roman" w:hAnsi="Times New Roman"/>
          <w:sz w:val="22"/>
          <w:szCs w:val="22"/>
          <w:color w:val="auto"/>
        </w:rPr>
        <w:t>” means (a) the design, engineering, development, procurement, construction, installation, testing, completion, ownership, operation, and maintenance of the Rio Grande Facility, all activity reasonably necessary or undertaken in connection with the foregoing and any activities incidental or related to any of the foregoing, including, the design, engineering, development, procurement, construction, installation, testing, completion, ownership, operation, and maintenance of any facilities reasonably related to or using by-products of the Rio Grande Facility (including carbon capture and sequestration by the Borrower or its Affiliates), (b) the design, engineering, development, procurement, construction, installation, testing, completion, ownership, operation, and maintenance of carbon capture and sequestration projects, all activity reasonably necessary or undertaken in connection with the foregoing, and any activities incidental or related to any of the foregoing, (c) with respect to the Borrower, the ownership of each of the Specified Subsidiaries, and (d) any business activities related to or complementary to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335" w:name="page336"/>
    <w:bookmarkEnd w:id="335"/>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Interest Rate Swap Agreements</w:t>
      </w:r>
      <w:r>
        <w:rPr>
          <w:rFonts w:ascii="Times New Roman" w:cs="Times New Roman" w:eastAsia="Times New Roman" w:hAnsi="Times New Roman"/>
          <w:sz w:val="22"/>
          <w:szCs w:val="22"/>
          <w:color w:val="auto"/>
        </w:rPr>
        <w:t>” means any interest rate swap or similar derivative instrument or agreement entered into solely for purpose of hedging interest rate exposure under the Loans and that is otherwise on arm’s-length terms and not for speculative (or any other) purposes and, if any such Permitted Interest Rate Swap Agreement is to be secured, as a condition precedent to the execution thereof, the counterparty to such proposed secured Permitted Interest Rate Swap Agreement has entered into an intercreditor agreement in form and substance reasonably acceptable to the Lenders.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Payments</w:t>
      </w:r>
      <w:r>
        <w:rPr>
          <w:rFonts w:ascii="Times New Roman" w:cs="Times New Roman" w:eastAsia="Times New Roman" w:hAnsi="Times New Roman"/>
          <w:sz w:val="22"/>
          <w:szCs w:val="22"/>
          <w:color w:val="auto"/>
        </w:rPr>
        <w:t>” means any payment on behalf of the Pledgor (or a transfer to the Pledgor for direct payment) of (a) amounts payable by any direct or indirect parent of the Borrower or any Subsidiary of such parent on account of (i) operating costs and expenses incurred in the ordinary course of business, (ii) corporate overhead costs and expenses (including administrative, legal, accounting and similar expenses provided by third parties) which, in the case of this clause (ii), are reasonable and customary and incurred in the ordinary course of business and attributable to the Pledgor’s status as a publicly traded entity, and to the operations of the Pledgor, as well as the ownership and operation its Subsidiaries, (iii) transaction expenses, and (iv) any reasonable and customary indemnification claims made by directors, managers or officers of such parent, or such parent’s Subsidiaries, attributable to the ownership or operations of such parent’s Subsidiaries and (b) any payment or transfer by the Borrower to the Pledgor of funds held by a Loan Party as available cash on hand immediately prior to Financial Close.</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Priority Liens</w:t>
      </w:r>
      <w:r>
        <w:rPr>
          <w:rFonts w:ascii="Times New Roman" w:cs="Times New Roman" w:eastAsia="Times New Roman" w:hAnsi="Times New Roman"/>
          <w:sz w:val="22"/>
          <w:szCs w:val="22"/>
          <w:color w:val="auto"/>
        </w:rPr>
        <w:t>” means Liens that pursuant to Government Rules, are entitled to the same or a higher priority than the Liens granted for the benefit of the Collateral Agent under the Security Documents.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Subordinated Debt</w:t>
      </w:r>
      <w:r>
        <w:rPr>
          <w:rFonts w:ascii="Times New Roman" w:cs="Times New Roman" w:eastAsia="Times New Roman" w:hAnsi="Times New Roman"/>
          <w:sz w:val="22"/>
          <w:szCs w:val="22"/>
          <w:color w:val="auto"/>
        </w:rPr>
        <w:t>” means any unsecured Indebtedness of the Borrower for borrowed money that is fully subordinated to the Senior Secured Obligations and to the rights of the Secured Parties pursuant to a subordination agreement, that is satisfactory to the Administrative Agent, acting reasonably.</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company, voluntary association, partnership, joint venture, trust, limited liability company, unincorporated organization or Government Authority.</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within the meaning of Section 3(3) of ERISA maintained or established for employees of any Loan Party, or any such plan to which such Loan Party is required to contribute on behalf of any of its employees or with respect to which such Loan Party has or may have any liability.</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Agreemen</w:t>
      </w:r>
      <w:r>
        <w:rPr>
          <w:rFonts w:ascii="Times New Roman" w:cs="Times New Roman" w:eastAsia="Times New Roman" w:hAnsi="Times New Roman"/>
          <w:sz w:val="22"/>
          <w:szCs w:val="22"/>
          <w:color w:val="auto"/>
        </w:rPr>
        <w:t>t” means that Pledge Agreement, dated as of the date hereof, by and between the Pledgor and the Collateral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Pledgor</w:t>
      </w:r>
      <w:r>
        <w:rPr>
          <w:rFonts w:ascii="Times New Roman" w:cs="Times New Roman" w:eastAsia="Times New Roman" w:hAnsi="Times New Roman"/>
          <w:sz w:val="22"/>
          <w:szCs w:val="22"/>
          <w:color w:val="auto"/>
        </w:rPr>
        <w:t>” means NextDecade Corporation, a corporation formed under the laws of the State of Delaware.</w:t>
      </w:r>
    </w:p>
    <w:p>
      <w:pPr>
        <w:sectPr>
          <w:pgSz w:w="11900" w:h="16838" w:orient="portrait"/>
          <w:cols w:equalWidth="0" w:num="1">
            <w:col w:w="11240"/>
          </w:cols>
          <w:pgMar w:left="320" w:top="1422" w:right="339" w:bottom="1440" w:gutter="0" w:footer="0" w:header="0"/>
        </w:sectPr>
      </w:pPr>
    </w:p>
    <w:bookmarkStart w:id="336" w:name="page337"/>
    <w:bookmarkEnd w:id="33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Prepayment Notice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Present Value</w:t>
      </w:r>
      <w:r>
        <w:rPr>
          <w:rFonts w:ascii="Times New Roman" w:cs="Times New Roman" w:eastAsia="Times New Roman" w:hAnsi="Times New Roman"/>
          <w:sz w:val="22"/>
          <w:szCs w:val="22"/>
          <w:color w:val="auto"/>
        </w:rPr>
        <w:t>” means the present value of each a stream of cash flows using the PV function in Microsoft Excel and a discount rate of 10%.</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rate of interest per annum publicly announced from time to time by the Person acting as the Administrative Agent as its prime rate in effect at its principal office in New York City. The Prime Rate is a reference rate and does not necessarily represent the lowest or best rate actually charged to any customer. The Administrative Agent or Lender may make commercial loans or other loans at rates of interest at, above or below the Prime Rate. Any change in the Prime Rate shall take effect at the opening of business on the day specified in the public announcement of such change.</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means any right or interest in or to property of any kind whatsoever, whether real, personal or mixed and whether tangible or intangible.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12.21(c)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Payment Date</w:t>
      </w:r>
      <w:r>
        <w:rPr>
          <w:rFonts w:ascii="Times New Roman" w:cs="Times New Roman" w:eastAsia="Times New Roman" w:hAnsi="Times New Roman"/>
          <w:sz w:val="22"/>
          <w:szCs w:val="22"/>
          <w:color w:val="auto"/>
        </w:rPr>
        <w:t>” means each March 31, June 30, September 30, and December 31 that occurs after the 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Recognized Credit Rating Agency</w:t>
      </w:r>
      <w:r>
        <w:rPr>
          <w:rFonts w:ascii="Times New Roman" w:cs="Times New Roman" w:eastAsia="Times New Roman" w:hAnsi="Times New Roman"/>
          <w:sz w:val="22"/>
          <w:szCs w:val="22"/>
          <w:color w:val="auto"/>
        </w:rPr>
        <w:t>” means Moody’s, S&amp;P, Fitch, or any other nationally recognized statistical rating organization identified as such by the U.S. Securities Exchange Commission or such other nationally recognized rating agency as approved by the Administrative Agent (on behalf of the Majority Lenders) in its reasonable judgment.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12.15(c)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respective directors, officers, employees, agents and advisors of such Person and such Person’s Affiliates.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have the meaning assigned to such term in the Definitions Agreement.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other than events for which the thirty day notice period has been waived.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Lender</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12.20</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337" w:name="page338"/>
    <w:bookmarkEnd w:id="337"/>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Person</w:t>
      </w:r>
      <w:r>
        <w:rPr>
          <w:rFonts w:ascii="Times New Roman" w:cs="Times New Roman" w:eastAsia="Times New Roman" w:hAnsi="Times New Roman"/>
          <w:sz w:val="22"/>
          <w:szCs w:val="22"/>
          <w:color w:val="auto"/>
        </w:rPr>
        <w:t>” means at any time, any Person that is: (a) the target of Sanctions; (b) listed on a Sanctions List; (c) any Person located, organized or ordinarily resident in, or any governmental entity or governmental instrumentality of, a Sanctioned Country; or (d) any Person 50% or more directly or indirectly owned by, controlled, or acting for the benefit or on behalf of, any Person described in clauses (a) or (b) hereof.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 Commitment</w:t>
      </w:r>
      <w:r>
        <w:rPr>
          <w:rFonts w:ascii="Times New Roman" w:cs="Times New Roman" w:eastAsia="Times New Roman" w:hAnsi="Times New Roman"/>
          <w:sz w:val="22"/>
          <w:szCs w:val="22"/>
          <w:color w:val="auto"/>
        </w:rPr>
        <w:t xml:space="preserve">” means, with respect to each Lender, the commitment of such Lender to make Revolving Loans, as set forth opposite the name of such Lender in the column entitled “Revolving Loan Commitment” in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or if such Lender has entered into one or more Assignment and Assumptions, set forth opposite the name of such Lender in the Register maintained by the Administrative Agent pursuant to </w:t>
      </w:r>
      <w:r>
        <w:rPr>
          <w:rFonts w:ascii="Times New Roman" w:cs="Times New Roman" w:eastAsia="Times New Roman" w:hAnsi="Times New Roman"/>
          <w:sz w:val="22"/>
          <w:szCs w:val="22"/>
          <w:u w:val="single" w:color="auto"/>
          <w:color w:val="auto"/>
        </w:rPr>
        <w:t>Section 12.15(c)</w:t>
      </w:r>
      <w:r>
        <w:rPr>
          <w:rFonts w:ascii="Times New Roman" w:cs="Times New Roman" w:eastAsia="Times New Roman" w:hAnsi="Times New Roman"/>
          <w:sz w:val="22"/>
          <w:szCs w:val="22"/>
          <w:color w:val="auto"/>
        </w:rPr>
        <w:t xml:space="preserve"> as such Lender’s Revolving Loan Commitment, as the same may be reduced in accordance with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Loans</w:t>
      </w:r>
      <w:r>
        <w:rPr>
          <w:rFonts w:ascii="Times New Roman" w:cs="Times New Roman" w:eastAsia="Times New Roman" w:hAnsi="Times New Roman"/>
          <w:sz w:val="22"/>
          <w:szCs w:val="22"/>
          <w:color w:val="auto"/>
        </w:rPr>
        <w:t xml:space="preserve">” means each loan made pursuant to </w:t>
      </w:r>
      <w:r>
        <w:rPr>
          <w:rFonts w:ascii="Times New Roman" w:cs="Times New Roman" w:eastAsia="Times New Roman" w:hAnsi="Times New Roman"/>
          <w:sz w:val="22"/>
          <w:szCs w:val="22"/>
          <w:u w:val="single" w:color="auto"/>
          <w:color w:val="auto"/>
        </w:rPr>
        <w:t>Section 2.1(a)(i)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RG Holdings</w:t>
      </w:r>
      <w:r>
        <w:rPr>
          <w:rFonts w:ascii="Times New Roman" w:cs="Times New Roman" w:eastAsia="Times New Roman" w:hAnsi="Times New Roman"/>
          <w:sz w:val="22"/>
          <w:szCs w:val="22"/>
          <w:color w:val="auto"/>
        </w:rPr>
        <w:t>” means Rio Grande LNG Holdings, LLC.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RG Intermediate Holdings</w:t>
      </w:r>
      <w:r>
        <w:rPr>
          <w:rFonts w:ascii="Times New Roman" w:cs="Times New Roman" w:eastAsia="Times New Roman" w:hAnsi="Times New Roman"/>
          <w:sz w:val="22"/>
          <w:szCs w:val="22"/>
          <w:color w:val="auto"/>
        </w:rPr>
        <w:t>” means Rio Grande LNG Intermediate Holdings, LLC.</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RG Intermediate Holdings LLC Agreement</w:t>
      </w:r>
      <w:r>
        <w:rPr>
          <w:rFonts w:ascii="Times New Roman" w:cs="Times New Roman" w:eastAsia="Times New Roman" w:hAnsi="Times New Roman"/>
          <w:sz w:val="22"/>
          <w:szCs w:val="22"/>
          <w:color w:val="auto"/>
        </w:rPr>
        <w:t>” means Amended and Restated Limited Liability Company Agreement of RG Intermediate Holdings, dated as of July 12, 2023, by and among RG Intermediate Holdings and the other parties thereto.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RG Intermediate Super Holdings</w:t>
      </w:r>
      <w:r>
        <w:rPr>
          <w:rFonts w:ascii="Times New Roman" w:cs="Times New Roman" w:eastAsia="Times New Roman" w:hAnsi="Times New Roman"/>
          <w:sz w:val="22"/>
          <w:szCs w:val="22"/>
          <w:color w:val="auto"/>
        </w:rPr>
        <w:t>” means Rio Grande LNG Intermediate Super Holdings, LLC.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RG Super Holdings</w:t>
      </w:r>
      <w:r>
        <w:rPr>
          <w:rFonts w:ascii="Times New Roman" w:cs="Times New Roman" w:eastAsia="Times New Roman" w:hAnsi="Times New Roman"/>
          <w:sz w:val="22"/>
          <w:szCs w:val="22"/>
          <w:color w:val="auto"/>
        </w:rPr>
        <w:t>” means Rio Grande LNG Super Holdings, LLC.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Rio Grande Facility</w:t>
      </w:r>
      <w:r>
        <w:rPr>
          <w:rFonts w:ascii="Times New Roman" w:cs="Times New Roman" w:eastAsia="Times New Roman" w:hAnsi="Times New Roman"/>
          <w:sz w:val="22"/>
          <w:szCs w:val="22"/>
          <w:color w:val="auto"/>
        </w:rPr>
        <w:t>” shall have the meaning ascribed thereto in the Definitions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RP Account</w:t>
      </w:r>
      <w:r>
        <w:rPr>
          <w:rFonts w:ascii="Times New Roman" w:cs="Times New Roman" w:eastAsia="Times New Roman" w:hAnsi="Times New Roman"/>
          <w:sz w:val="22"/>
          <w:szCs w:val="22"/>
          <w:color w:val="auto"/>
        </w:rPr>
        <w:t>” shall have the meaning ascribed thereto in the Security and Depositary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or any successor thereto.</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the subject or target of comprehensive territorial Sanctions broadly restricting or prohibiting dealings with such country, region, or territory (currently, Crimea, Cuba, Iran, North Korea, Syria, the so-called Luhansk People’s Republic and the so-called Donetsk People’s Republic).</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or similar restrictive measures enacted, imposed, administered and enforced from time to time by (a) the U.S. government, including those administered by OFAC, the U.S. Department of State or the U.S. Department of Commerce, (b) the United Nations Security Council, (c) the European Union (as a whole and not each member state), (d) the United Kingdom, (e) Canada, (f) Germany, or (g)</w:t>
      </w:r>
    </w:p>
    <w:p>
      <w:pPr>
        <w:sectPr>
          <w:pgSz w:w="11900" w:h="16838" w:orient="portrait"/>
          <w:cols w:equalWidth="0" w:num="1">
            <w:col w:w="11240"/>
          </w:cols>
          <w:pgMar w:left="320" w:top="1422" w:right="3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22"/>
          <w:szCs w:val="22"/>
          <w:color w:val="auto"/>
        </w:rPr>
        <w:t>any other relevant authority to whose laws the Credit Parties or any Credit Party’s Subsidiaries are subject.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List</w:t>
      </w:r>
      <w:r>
        <w:rPr>
          <w:rFonts w:ascii="Times New Roman" w:cs="Times New Roman" w:eastAsia="Times New Roman" w:hAnsi="Times New Roman"/>
          <w:sz w:val="22"/>
          <w:szCs w:val="22"/>
          <w:color w:val="auto"/>
        </w:rPr>
        <w:t>” means the OFAC SDN List, the Consolidated List of Financial Sanctions Targets and the Investment Ban List maintained by HMT, or any similar list maintained by, or public announcement of sanctions designation under Sanctions Regulations made by, any of the Sanctions Authorities but excluding, in all cases, to the extent such list is made by any Sanctions Authority and targeted against the United States or Persons in or connected to the United States.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Authorities</w:t>
      </w:r>
      <w:r>
        <w:rPr>
          <w:rFonts w:ascii="Times New Roman" w:cs="Times New Roman" w:eastAsia="Times New Roman" w:hAnsi="Times New Roman"/>
          <w:sz w:val="22"/>
          <w:szCs w:val="22"/>
          <w:color w:val="auto"/>
        </w:rPr>
        <w:t>” means (a) the United States, (b) the United Nations (acting through the United Nations Security Council as a whole and not each individual member or member state), (c) the European Union (as a whole and not each member state), (d) the United Kingdom, (e) Canada, (f) Germany, and (g) any other relevant authority to whose laws the Credit Parties or any Credit Party’s Subsidiaries are subject; or (h) the respective governmental institutions and agencies of any of the foregoing, including OFAC, the United States Department of State, and HMT.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Regulations</w:t>
      </w:r>
      <w:r>
        <w:rPr>
          <w:rFonts w:ascii="Times New Roman" w:cs="Times New Roman" w:eastAsia="Times New Roman" w:hAnsi="Times New Roman"/>
          <w:sz w:val="22"/>
          <w:szCs w:val="22"/>
          <w:color w:val="auto"/>
        </w:rPr>
        <w:t>” means the applicable economic sanctions laws, regulations, embargoes or restrictive measures administered, enacted or enforced by the Sanctions Authorities, including the OFAC Laws but excluding, in all cases, to the extent administered, enacted or enforced by any other Sanctions Authority against the United States.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Violation</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5.5(b)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without duplication, (a) each Lender and (b) each Agent.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and Depositary Agreement</w:t>
      </w:r>
      <w:r>
        <w:rPr>
          <w:rFonts w:ascii="Times New Roman" w:cs="Times New Roman" w:eastAsia="Times New Roman" w:hAnsi="Times New Roman"/>
          <w:sz w:val="22"/>
          <w:szCs w:val="22"/>
          <w:color w:val="auto"/>
        </w:rPr>
        <w:t>” means the Security and Depositary Agreement, dated on or around Financial Close, entered into by and among the Loan Parties, the Collateral Agent, the Depositary, and the Administrative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individually or collectively, as the context may require, each of the following:</w:t>
      </w:r>
    </w:p>
    <w:p>
      <w:pPr>
        <w:spacing w:after="0" w:line="220" w:lineRule="exact"/>
        <w:rPr>
          <w:sz w:val="20"/>
          <w:szCs w:val="20"/>
          <w:color w:val="auto"/>
        </w:rPr>
      </w:pPr>
    </w:p>
    <w:p>
      <w:pPr>
        <w:ind w:left="1120" w:hanging="464"/>
        <w:spacing w:after="0"/>
        <w:tabs>
          <w:tab w:leader="none" w:pos="1120"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and Depositary Agreement;</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 Agreement; and</w:t>
      </w:r>
    </w:p>
    <w:p>
      <w:pPr>
        <w:spacing w:after="0" w:line="219" w:lineRule="exact"/>
        <w:rPr>
          <w:rFonts w:ascii="Times New Roman" w:cs="Times New Roman" w:eastAsia="Times New Roman" w:hAnsi="Times New Roman"/>
          <w:sz w:val="22"/>
          <w:szCs w:val="22"/>
          <w:color w:val="auto"/>
        </w:rPr>
      </w:pPr>
    </w:p>
    <w:p>
      <w:pPr>
        <w:ind w:left="1300" w:hanging="644"/>
        <w:spacing w:after="0" w:line="257" w:lineRule="auto"/>
        <w:tabs>
          <w:tab w:leader="none" w:pos="1132"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document, agreement, instrument or filing executed in favor of the Collateral Agent for the benefit of any Secured Party (including any replacement of or supplement to the Security Documents set forth above) pursuant to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ectPr>
          <w:pgSz w:w="11900" w:h="16838" w:orient="portrait"/>
          <w:cols w:equalWidth="0" w:num="1">
            <w:col w:w="11240"/>
          </w:cols>
          <w:pgMar w:left="320" w:top="1422" w:right="339" w:bottom="1440" w:gutter="0" w:footer="0" w:header="0"/>
        </w:sectPr>
      </w:pPr>
    </w:p>
    <w:bookmarkStart w:id="339" w:name="page340"/>
    <w:bookmarkEnd w:id="339"/>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Borrowing</w:t>
      </w:r>
      <w:r>
        <w:rPr>
          <w:rFonts w:ascii="Times New Roman" w:cs="Times New Roman" w:eastAsia="Times New Roman" w:hAnsi="Times New Roman"/>
          <w:sz w:val="22"/>
          <w:szCs w:val="22"/>
          <w:color w:val="auto"/>
        </w:rPr>
        <w:t>” means, as to any Borrowing, the SOFR Loans comprising such Borrowing.</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means a Loan that bears interest at a rate based on Term SOFR, other than pursuant to clause (c) of the definition of “</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as of the date of any determination, that on such date: (a) the fair valuation of the property of such Person is greater than the total liabilities, including contingent liabilities, of such Person; (b) the present fair saleable value of and the assets of such Person is not less than the amount that will be required to pay the probable liability of such Person on its debts as they become absolute and matured; (c) such Person is able to realize upon its assets and pay its debts and other liabilities, contingent obligations, and other commitments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 after giving due consideration to current and anticipated future business conduct. In computing the amount of contingent liabilities at any time, such liabilities shall be computed at the amount which, in light of the facts and circumstances existing at such time, represents the amount that can reasonably be expected to become an actual or matured liability.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Subsidiaries</w:t>
      </w:r>
      <w:r>
        <w:rPr>
          <w:rFonts w:ascii="Times New Roman" w:cs="Times New Roman" w:eastAsia="Times New Roman" w:hAnsi="Times New Roman"/>
          <w:sz w:val="22"/>
          <w:szCs w:val="22"/>
          <w:color w:val="auto"/>
        </w:rPr>
        <w:t>” means CFCo, Rio Grande LNG LandCo, LLC, Rio Grande LNG InsuranceCo, LLC, Rio Grande LNG Gas Supply LLC, Rio Grande Gas Marketing LLC, Galveston Bay LNG, LLC, BlueOcean LNG, LLC, ND Global Solutions, LLC, El Dorado Pipeline, LLC, El Dorado Pipeline Marketing, LLC, Rio Grande Insurance Holding LLC, Rio Grande LNG Gas Marketing LLC, Rio Grande LNG Operations LLC, Rio Grande LNG Train 3 LLC and NextDecade LNG Marketing (Private) Ltd.</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for any Person, any other Person (whether now existing or hereafter organized) for which at least a majority of the securities or other ownership interests having ordinary voting power for the election of directors or other managers are at the time owned or Controlled by such first Person or one or more Subsidiaries of such first Person or any combination thereof.</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Guarantor</w:t>
      </w:r>
      <w:r>
        <w:rPr>
          <w:rFonts w:ascii="Times New Roman" w:cs="Times New Roman" w:eastAsia="Times New Roman" w:hAnsi="Times New Roman"/>
          <w:sz w:val="22"/>
          <w:szCs w:val="22"/>
          <w:color w:val="auto"/>
        </w:rPr>
        <w:t>” means RG Super Holdings, RG Intermediate Super Holdings, and each Subsidiary of the Borrower that, after the date hereof, executes a Joinder or such other accession agreement to this Agreement (accepted and agreed by, and in form and substance reasonably satisfactory to, the Administrative Agent) as a Subsidiary Guarantor, in each case until such Person shall cease to be a Subsidiary Guarantor in compliance with the provisions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12.21</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340" w:name="page341"/>
    <w:bookmarkEnd w:id="340"/>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T4 Expansion</w:t>
      </w:r>
      <w:r>
        <w:rPr>
          <w:rFonts w:ascii="Times New Roman" w:cs="Times New Roman" w:eastAsia="Times New Roman" w:hAnsi="Times New Roman"/>
          <w:sz w:val="22"/>
          <w:szCs w:val="22"/>
          <w:color w:val="auto"/>
        </w:rPr>
        <w:t>” means the development of the first liquefaction train and the related common facilities at the Rio Grande Facility to take FID after the date hereof.</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of every kind (including gross and net income, gross and net receipts, contributions, capital gains, excess profits and minimum taxes, taxes on tax preferences, capital, net worth, franchise, sales, harmonized, use, value-added, stamp, documentary, excise, property and other similar taxes), withholdings, levies, imposts, duties, deductions and other similar charges and fees now or in the future imposed by any Government Authority, together with all interest, additions to tax, penalties and similar add-ons payable with respect thereto.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233" w:lineRule="exact"/>
        <w:rPr>
          <w:sz w:val="20"/>
          <w:szCs w:val="20"/>
          <w:color w:val="auto"/>
        </w:rPr>
      </w:pPr>
    </w:p>
    <w:p>
      <w:pPr>
        <w:ind w:left="1300" w:hanging="644"/>
        <w:spacing w:after="0" w:line="247" w:lineRule="auto"/>
        <w:tabs>
          <w:tab w:leader="none" w:pos="1199"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xml:space="preserve">”) that is two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 and</w:t>
      </w:r>
    </w:p>
    <w:p>
      <w:pPr>
        <w:spacing w:after="0" w:line="200" w:lineRule="exact"/>
        <w:rPr>
          <w:rFonts w:ascii="Times New Roman" w:cs="Times New Roman" w:eastAsia="Times New Roman" w:hAnsi="Times New Roman"/>
          <w:sz w:val="22"/>
          <w:szCs w:val="22"/>
          <w:color w:val="auto"/>
        </w:rPr>
      </w:pPr>
    </w:p>
    <w:p>
      <w:pPr>
        <w:ind w:left="1300" w:hanging="644"/>
        <w:spacing w:after="0" w:line="260" w:lineRule="auto"/>
        <w:tabs>
          <w:tab w:leader="none" w:pos="1202" w:val="left"/>
        </w:tabs>
        <w:numPr>
          <w:ilvl w:val="0"/>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1"/>
          <w:szCs w:val="21"/>
          <w:u w:val="single" w:color="auto"/>
          <w:color w:val="auto"/>
        </w:rPr>
        <w:t>ABR Term SOFR Determination Day</w:t>
      </w:r>
      <w:r>
        <w:rPr>
          <w:rFonts w:ascii="Times New Roman" w:cs="Times New Roman" w:eastAsia="Times New Roman" w:hAnsi="Times New Roman"/>
          <w:sz w:val="21"/>
          <w:szCs w:val="21"/>
          <w:color w:val="auto"/>
        </w:rPr>
        <w:t xml:space="preserve">”) that is two U.S. Government Securities Business Days prior to such day, as such rate is published by the 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ABR Term SOFR Determination Day;</w:t>
      </w:r>
    </w:p>
    <w:p>
      <w:pPr>
        <w:sectPr>
          <w:pgSz w:w="11900" w:h="16838" w:orient="portrait"/>
          <w:cols w:equalWidth="0" w:num="1">
            <w:col w:w="11240"/>
          </w:cols>
          <w:pgMar w:left="320" w:top="1422" w:right="339" w:bottom="1440" w:gutter="0" w:footer="0" w:header="0"/>
        </w:sectPr>
      </w:pPr>
    </w:p>
    <w:bookmarkStart w:id="341" w:name="page342"/>
    <w:bookmarkEnd w:id="341"/>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Term SOFR determined as provided above (including pursuant to the proviso under clause (a) or clause (b) above) shall ever be less than the Floor, then Term SOFR shall be deemed to be the Floor.</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Date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12.15(i)(i)2.6(c)(ii)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Term SOFR or ABR.</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the same may, from time to time, be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event that, by reason of mandatory provisions of law, any or all of the perfection or priority of, or remedies with respect to, any security interest is governed by the Uniform Commercial Code as in effect in a jurisdiction other than the State of New York, the term “UCC” will mean the Uniform Commercial Code as enacted and in effect in such other jurisdiction solely for purposes of the provisions of this Agreement relating to such perfection, priority or remedies.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means any Subsidiary of a Loan Party formed or acquired after the date hereof and designated by a resolution of the board of directors or similar governing body (or, in the case of a limited partnership, of the general partner, acting on behalf of such limited partnership) of such Loan Party (including a general standing authorization of such governing bodies or Persons, as applicable, granting authorization to an Authorized Officer of such Loan Party to so designate) as an Unrestricted Subsidiary subsequent to the date hereof, and in each case, any Subsidiary formed or acquired by an Unrestricted Subsidiary following such</w:t>
      </w:r>
    </w:p>
    <w:p>
      <w:pPr>
        <w:sectPr>
          <w:pgSz w:w="11900" w:h="16838" w:orient="portrait"/>
          <w:cols w:equalWidth="0" w:num="1">
            <w:col w:w="11240"/>
          </w:cols>
          <w:pgMar w:left="320" w:top="1422"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21"/>
          <w:szCs w:val="21"/>
          <w:color w:val="auto"/>
        </w:rPr>
        <w:t xml:space="preserve">Unrestricted Subsidiary’s designation;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of the following conditions is satisfied at the time of such designation:</w:t>
      </w:r>
    </w:p>
    <w:p>
      <w:pPr>
        <w:spacing w:after="0" w:line="231" w:lineRule="exact"/>
        <w:rPr>
          <w:sz w:val="20"/>
          <w:szCs w:val="20"/>
          <w:color w:val="auto"/>
        </w:rPr>
      </w:pPr>
    </w:p>
    <w:p>
      <w:pPr>
        <w:ind w:left="1300" w:right="20" w:hanging="644"/>
        <w:spacing w:after="0" w:line="271" w:lineRule="auto"/>
        <w:tabs>
          <w:tab w:leader="none" w:pos="1113"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after such designation, no Default or Event of Default shall have occurred and be continuing or result therefrom;</w:t>
      </w:r>
    </w:p>
    <w:p>
      <w:pPr>
        <w:spacing w:after="0" w:line="171" w:lineRule="exact"/>
        <w:rPr>
          <w:rFonts w:ascii="Times New Roman" w:cs="Times New Roman" w:eastAsia="Times New Roman" w:hAnsi="Times New Roman"/>
          <w:sz w:val="22"/>
          <w:szCs w:val="22"/>
          <w:color w:val="auto"/>
        </w:rPr>
      </w:pPr>
    </w:p>
    <w:p>
      <w:pPr>
        <w:ind w:left="1300" w:hanging="644"/>
        <w:spacing w:after="0" w:line="257" w:lineRule="auto"/>
        <w:tabs>
          <w:tab w:leader="none" w:pos="1166"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of the Unrestricted Subsidiary shall be non-recourse to the Loan Parties unless the credit support (including any Liens on the Equity Interests of such Unrestricted Subsidiary) provided by any Loan Party is permitted by this Agreement;</w:t>
      </w:r>
    </w:p>
    <w:p>
      <w:pPr>
        <w:spacing w:after="0" w:line="172" w:lineRule="exact"/>
        <w:rPr>
          <w:rFonts w:ascii="Times New Roman" w:cs="Times New Roman" w:eastAsia="Times New Roman" w:hAnsi="Times New Roman"/>
          <w:sz w:val="22"/>
          <w:szCs w:val="22"/>
          <w:color w:val="auto"/>
        </w:rPr>
      </w:pPr>
    </w:p>
    <w:p>
      <w:pPr>
        <w:ind w:left="1300" w:hanging="644"/>
        <w:spacing w:after="0" w:line="271" w:lineRule="auto"/>
        <w:tabs>
          <w:tab w:leader="none" w:pos="1162"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Unrestricted Subsidiary has not guaranteed or otherwise directly or indirectly provided credit support for any Indebtedness of the Loan Parties; and</w:t>
      </w:r>
    </w:p>
    <w:p>
      <w:pPr>
        <w:spacing w:after="0" w:line="171" w:lineRule="exact"/>
        <w:rPr>
          <w:rFonts w:ascii="Times New Roman" w:cs="Times New Roman" w:eastAsia="Times New Roman" w:hAnsi="Times New Roman"/>
          <w:sz w:val="22"/>
          <w:szCs w:val="22"/>
          <w:color w:val="auto"/>
        </w:rPr>
      </w:pPr>
    </w:p>
    <w:p>
      <w:pPr>
        <w:ind w:left="1300" w:hanging="644"/>
        <w:spacing w:after="0" w:line="271" w:lineRule="auto"/>
        <w:tabs>
          <w:tab w:leader="none" w:pos="1270"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has delivered to the Administrative Agent an Authorized Officer’s certificate certifying that the conditions set forth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have been satisfied.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Resolutions Regimes</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12.21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shall have the meaning ascribed thereto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any Loan Party or the Administrative Agent.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ectPr>
          <w:pgSz w:w="11900" w:h="16838" w:orient="portrait"/>
          <w:cols w:equalWidth="0" w:num="1">
            <w:col w:w="11240"/>
          </w:cols>
          <w:pgMar w:left="320" w:top="1422" w:right="339" w:bottom="1440" w:gutter="0" w:footer="0" w:header="0"/>
        </w:sectPr>
      </w:pPr>
    </w:p>
    <w:bookmarkStart w:id="343" w:name="page344"/>
    <w:bookmarkEnd w:id="343"/>
    <w:p>
      <w:pPr>
        <w:ind w:left="384" w:hanging="384"/>
        <w:spacing w:after="0"/>
        <w:tabs>
          <w:tab w:leader="none" w:pos="384"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Principles of Construction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64" w:hanging="464"/>
        <w:spacing w:after="0"/>
        <w:tabs>
          <w:tab w:leader="none" w:pos="464"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this Agreement, except to the extent specified to the contrary or where the context otherwise requires:</w:t>
      </w:r>
    </w:p>
    <w:p>
      <w:pPr>
        <w:spacing w:after="0" w:line="219" w:lineRule="exact"/>
        <w:rPr>
          <w:rFonts w:ascii="Times New Roman" w:cs="Times New Roman" w:eastAsia="Times New Roman" w:hAnsi="Times New Roman"/>
          <w:sz w:val="22"/>
          <w:szCs w:val="22"/>
          <w:color w:val="auto"/>
        </w:rPr>
      </w:pPr>
    </w:p>
    <w:p>
      <w:pPr>
        <w:ind w:left="1304" w:right="20" w:hanging="656"/>
        <w:spacing w:after="0" w:line="284" w:lineRule="auto"/>
        <w:tabs>
          <w:tab w:leader="none" w:pos="1179" w:val="left"/>
        </w:tabs>
        <w:numPr>
          <w:ilvl w:val="1"/>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table of contents and headings are for convenience only and shall not affect the interpretation of this Agreement;</w:t>
      </w:r>
    </w:p>
    <w:p>
      <w:pPr>
        <w:spacing w:after="0" w:line="143" w:lineRule="exact"/>
        <w:rPr>
          <w:rFonts w:ascii="Times New Roman" w:cs="Times New Roman" w:eastAsia="Times New Roman" w:hAnsi="Times New Roman"/>
          <w:sz w:val="22"/>
          <w:szCs w:val="22"/>
          <w:color w:val="auto"/>
        </w:rPr>
      </w:pPr>
    </w:p>
    <w:p>
      <w:pPr>
        <w:ind w:left="1304" w:hanging="656"/>
        <w:spacing w:after="0" w:line="271" w:lineRule="auto"/>
        <w:tabs>
          <w:tab w:leader="none" w:pos="1208" w:val="left"/>
        </w:tabs>
        <w:numPr>
          <w:ilvl w:val="1"/>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“Articles”, “Sections”, “Schedules”, “Exhibits”, and “Appendices” are references to sections of, and schedules, exhibits and appendices to, this Agreement;</w:t>
      </w:r>
    </w:p>
    <w:p>
      <w:pPr>
        <w:spacing w:after="0" w:line="157" w:lineRule="exact"/>
        <w:rPr>
          <w:rFonts w:ascii="Times New Roman" w:cs="Times New Roman" w:eastAsia="Times New Roman" w:hAnsi="Times New Roman"/>
          <w:sz w:val="22"/>
          <w:szCs w:val="22"/>
          <w:color w:val="auto"/>
        </w:rPr>
      </w:pPr>
    </w:p>
    <w:p>
      <w:pPr>
        <w:ind w:left="1304" w:hanging="656"/>
        <w:spacing w:after="0" w:line="271" w:lineRule="auto"/>
        <w:tabs>
          <w:tab w:leader="none" w:pos="1217" w:val="left"/>
        </w:tabs>
        <w:numPr>
          <w:ilvl w:val="1"/>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“assets” includes property, revenues, and rights of every description (whether real, personal or mixed and whether tangible or intangible);</w:t>
      </w:r>
    </w:p>
    <w:p>
      <w:pPr>
        <w:spacing w:after="0" w:line="171" w:lineRule="exact"/>
        <w:rPr>
          <w:rFonts w:ascii="Times New Roman" w:cs="Times New Roman" w:eastAsia="Times New Roman" w:hAnsi="Times New Roman"/>
          <w:sz w:val="22"/>
          <w:szCs w:val="22"/>
          <w:color w:val="auto"/>
        </w:rPr>
      </w:pPr>
    </w:p>
    <w:p>
      <w:pPr>
        <w:ind w:left="1304" w:right="20" w:hanging="656"/>
        <w:spacing w:after="0" w:line="271" w:lineRule="auto"/>
        <w:tabs>
          <w:tab w:leader="none" w:pos="1238" w:val="left"/>
        </w:tabs>
        <w:numPr>
          <w:ilvl w:val="1"/>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 “amendment” includes a supplement, replacement, novation, restatement, or re-enactment and “amended” is to be construed accordingly;</w:t>
      </w:r>
    </w:p>
    <w:p>
      <w:pPr>
        <w:spacing w:after="0" w:line="157" w:lineRule="exact"/>
        <w:rPr>
          <w:rFonts w:ascii="Times New Roman" w:cs="Times New Roman" w:eastAsia="Times New Roman" w:hAnsi="Times New Roman"/>
          <w:sz w:val="22"/>
          <w:szCs w:val="22"/>
          <w:color w:val="auto"/>
        </w:rPr>
      </w:pPr>
    </w:p>
    <w:p>
      <w:pPr>
        <w:ind w:left="1304" w:hanging="656"/>
        <w:spacing w:after="0" w:line="271" w:lineRule="auto"/>
        <w:tabs>
          <w:tab w:leader="none" w:pos="1148" w:val="left"/>
        </w:tabs>
        <w:numPr>
          <w:ilvl w:val="1"/>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Government Rule includes any amendment or modification to such Government Rule, and all regulations, rulings, and other Government Rules promulgated under such Government Rule;</w:t>
      </w:r>
    </w:p>
    <w:p>
      <w:pPr>
        <w:spacing w:after="0" w:line="157" w:lineRule="exact"/>
        <w:rPr>
          <w:rFonts w:ascii="Times New Roman" w:cs="Times New Roman" w:eastAsia="Times New Roman" w:hAnsi="Times New Roman"/>
          <w:sz w:val="22"/>
          <w:szCs w:val="22"/>
          <w:color w:val="auto"/>
        </w:rPr>
      </w:pPr>
    </w:p>
    <w:p>
      <w:pPr>
        <w:ind w:left="1304" w:hanging="656"/>
        <w:spacing w:after="0" w:line="256" w:lineRule="auto"/>
        <w:tabs>
          <w:tab w:leader="none" w:pos="1214" w:val="left"/>
        </w:tabs>
        <w:numPr>
          <w:ilvl w:val="1"/>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a document or agreement is expressly stated to be in the form “in effect” on a particular date, references to any document or agreement, including this Agreement, shall be deemed to include references to such document or agreement as amended, from time to time in accordance with its terms and (where applicable) subject to compliance with the requirements set forth in herein;</w:t>
      </w:r>
    </w:p>
    <w:p>
      <w:pPr>
        <w:spacing w:after="0" w:line="176" w:lineRule="exact"/>
        <w:rPr>
          <w:rFonts w:ascii="Times New Roman" w:cs="Times New Roman" w:eastAsia="Times New Roman" w:hAnsi="Times New Roman"/>
          <w:sz w:val="22"/>
          <w:szCs w:val="22"/>
          <w:color w:val="auto"/>
        </w:rPr>
      </w:pPr>
    </w:p>
    <w:p>
      <w:pPr>
        <w:ind w:left="1304" w:hanging="656"/>
        <w:spacing w:after="0" w:line="271" w:lineRule="auto"/>
        <w:tabs>
          <w:tab w:leader="none" w:pos="1384" w:val="left"/>
        </w:tabs>
        <w:numPr>
          <w:ilvl w:val="1"/>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Party or party to any other document or agreement shall include its successors and permitted assigns;</w:t>
      </w:r>
    </w:p>
    <w:p>
      <w:pPr>
        <w:spacing w:after="0" w:line="157"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importing the singular include the plural and vice versa;</w:t>
      </w:r>
    </w:p>
    <w:p>
      <w:pPr>
        <w:spacing w:after="0" w:line="233" w:lineRule="exact"/>
        <w:rPr>
          <w:rFonts w:ascii="Times New Roman" w:cs="Times New Roman" w:eastAsia="Times New Roman" w:hAnsi="Times New Roman"/>
          <w:sz w:val="22"/>
          <w:szCs w:val="22"/>
          <w:color w:val="auto"/>
        </w:rPr>
      </w:pPr>
    </w:p>
    <w:p>
      <w:pPr>
        <w:ind w:left="1184" w:hanging="536"/>
        <w:spacing w:after="0"/>
        <w:tabs>
          <w:tab w:leader="none" w:pos="1184" w:val="left"/>
        </w:tabs>
        <w:numPr>
          <w:ilvl w:val="1"/>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importing the masculine include the feminine and vice versa;</w:t>
      </w:r>
    </w:p>
    <w:p>
      <w:pPr>
        <w:spacing w:after="0" w:line="219"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“include”, “includes”, and “including” are not limiting;</w:t>
      </w:r>
    </w:p>
    <w:p>
      <w:pPr>
        <w:spacing w:after="0" w:line="219" w:lineRule="exact"/>
        <w:rPr>
          <w:rFonts w:ascii="Times New Roman" w:cs="Times New Roman" w:eastAsia="Times New Roman" w:hAnsi="Times New Roman"/>
          <w:sz w:val="22"/>
          <w:szCs w:val="22"/>
          <w:color w:val="auto"/>
        </w:rPr>
      </w:pPr>
    </w:p>
    <w:p>
      <w:pPr>
        <w:ind w:left="1184" w:hanging="536"/>
        <w:spacing w:after="0"/>
        <w:tabs>
          <w:tab w:leader="none" w:pos="1184" w:val="left"/>
        </w:tabs>
        <w:numPr>
          <w:ilvl w:val="1"/>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“days” shall mean calendar days, unless the term “Business Days” shall be used;</w:t>
      </w:r>
    </w:p>
    <w:p>
      <w:pPr>
        <w:spacing w:after="0" w:line="219" w:lineRule="exact"/>
        <w:rPr>
          <w:rFonts w:ascii="Times New Roman" w:cs="Times New Roman" w:eastAsia="Times New Roman" w:hAnsi="Times New Roman"/>
          <w:sz w:val="22"/>
          <w:szCs w:val="22"/>
          <w:color w:val="auto"/>
        </w:rPr>
      </w:pPr>
    </w:p>
    <w:p>
      <w:pPr>
        <w:ind w:left="1304" w:hanging="656"/>
        <w:spacing w:after="0" w:line="271" w:lineRule="auto"/>
        <w:tabs>
          <w:tab w:leader="none" w:pos="1316" w:val="left"/>
        </w:tabs>
        <w:numPr>
          <w:ilvl w:val="1"/>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“months” shall mean calendar months and references to “years” shall mean calendar years; and</w:t>
      </w:r>
    </w:p>
    <w:p>
      <w:pPr>
        <w:sectPr>
          <w:pgSz w:w="11900" w:h="16838" w:orient="portrait"/>
          <w:cols w:equalWidth="0" w:num="1">
            <w:col w:w="10584"/>
          </w:cols>
          <w:pgMar w:left="976" w:top="1422" w:right="339" w:bottom="1440" w:gutter="0" w:footer="0" w:header="0"/>
        </w:sectPr>
      </w:pPr>
    </w:p>
    <w:bookmarkStart w:id="344" w:name="page345"/>
    <w:bookmarkEnd w:id="344"/>
    <w:p>
      <w:pPr>
        <w:ind w:left="1960" w:hanging="656"/>
        <w:spacing w:after="0" w:line="271" w:lineRule="auto"/>
        <w:tabs>
          <w:tab w:leader="none" w:pos="1973" w:val="left"/>
        </w:tabs>
        <w:numPr>
          <w:ilvl w:val="1"/>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contrary indication appears, a reference to a time of day is a reference to the time of day in New York, New York.</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32"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the result of negotiations among, and has been reviewed by all parties hereto and their respective counsel. Accordingly, this Agreement shall be deemed to be the product of all parties hereto, and no ambiguity shall be construed in favor of or against any party hereto.</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LEFT INTENTIONALLY BLANK]</w:t>
      </w:r>
    </w:p>
    <w:p>
      <w:pPr>
        <w:sectPr>
          <w:pgSz w:w="11900" w:h="16838" w:orient="portrait"/>
          <w:cols w:equalWidth="0" w:num="1">
            <w:col w:w="11240"/>
          </w:cols>
          <w:pgMar w:left="320" w:top="1422" w:right="33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SUPPLEMENTAL INDENTURE NO. 1 TO INDENTURE</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SUPPLEMENTAL INDENTURE NO. 1 TO INDENTURE (this “</w:t>
      </w:r>
      <w:r>
        <w:rPr>
          <w:rFonts w:ascii="Times New Roman" w:cs="Times New Roman" w:eastAsia="Times New Roman" w:hAnsi="Times New Roman"/>
          <w:sz w:val="20"/>
          <w:szCs w:val="20"/>
          <w:u w:val="single" w:color="auto"/>
          <w:color w:val="auto"/>
        </w:rPr>
        <w:t>Supplemental Indenture</w:t>
      </w:r>
      <w:r>
        <w:rPr>
          <w:rFonts w:ascii="Times New Roman" w:cs="Times New Roman" w:eastAsia="Times New Roman" w:hAnsi="Times New Roman"/>
          <w:sz w:val="20"/>
          <w:szCs w:val="20"/>
          <w:color w:val="auto"/>
        </w:rPr>
        <w:t>”), dated as of March 4, 2024, amends that certain Indenture, dated as of July 12, 2023 (the “</w:t>
      </w:r>
      <w:r>
        <w:rPr>
          <w:rFonts w:ascii="Times New Roman" w:cs="Times New Roman" w:eastAsia="Times New Roman" w:hAnsi="Times New Roman"/>
          <w:sz w:val="20"/>
          <w:szCs w:val="20"/>
          <w:u w:val="single" w:color="auto"/>
          <w:color w:val="auto"/>
        </w:rPr>
        <w:t>Existing CD Senior Notes Indenture</w:t>
      </w:r>
      <w:r>
        <w:rPr>
          <w:rFonts w:ascii="Times New Roman" w:cs="Times New Roman" w:eastAsia="Times New Roman" w:hAnsi="Times New Roman"/>
          <w:sz w:val="20"/>
          <w:szCs w:val="20"/>
          <w:color w:val="auto"/>
        </w:rPr>
        <w:t>” and, as amended by this Supplemental Indenture and as it may be further amended, amended and restated, supplemented or otherwise modified from time to time, the “</w:t>
      </w:r>
      <w:r>
        <w:rPr>
          <w:rFonts w:ascii="Times New Roman" w:cs="Times New Roman" w:eastAsia="Times New Roman" w:hAnsi="Times New Roman"/>
          <w:sz w:val="20"/>
          <w:szCs w:val="20"/>
          <w:u w:val="single" w:color="auto"/>
          <w:color w:val="auto"/>
        </w:rPr>
        <w:t>CD Senior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Notes Indenture</w:t>
      </w:r>
      <w:r>
        <w:rPr>
          <w:rFonts w:ascii="Times New Roman" w:cs="Times New Roman" w:eastAsia="Times New Roman" w:hAnsi="Times New Roman"/>
          <w:sz w:val="20"/>
          <w:szCs w:val="20"/>
          <w:color w:val="auto"/>
        </w:rPr>
        <w:t>”) by and between RIO GRANDE LNG, LLC, a limited liability company formed under the laws of the State of Texas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WILMINGTON TRUST, NATIONAL ASSOCIATION (the “</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execution and delivery of this Supplemental Indenture is permitted by Section 9.2 of the Existing CD Senior Notes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Indenture with the consent of the Noteholders of a majority in aggregate principal amount of the outstanding Notes.</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desires the Trustee to join with it in the execution and delivery of this Supplemental Indenture, and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Sections 7.2(b), 9.2, 9.6, 12.2 and 12.3 of the Existing CD Senior Notes Indenture, as applicable, the Company has (i) duly adopted and delivered or caused to be delivered to the Trustee, resolutions of its Board of Managers and Sole Members authorizing the execution and delivery of this Supplemental Indenture and (ii) delivered to the Trustee an Officer’s Certificate and an Opinion of Counsel;</w:t>
      </w:r>
    </w:p>
    <w:p>
      <w:pPr>
        <w:spacing w:after="0" w:line="164"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amendments contained in Exhibit A herein have been consented to by the Noteholders of a majority in aggregate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principal amount of the outstanding Notes.</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has duly authorized the execution and delivery of this Supplemental Indenture and all acts and things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to make this Supplemental Indenture a valid and legally binding obligation of the Company.</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premises and the agreements and undertakings set forth herein,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this Supplemental Indenture agree as follows:</w:t>
      </w:r>
    </w:p>
    <w:p>
      <w:pPr>
        <w:spacing w:after="0" w:line="17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19"/>
          <w:szCs w:val="19"/>
          <w:u w:val="single" w:color="auto"/>
          <w:color w:val="auto"/>
        </w:rPr>
        <w:t>Definitions; Principles of Interpretation.</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Capitalized terms used, but not otherwise defined, in this Supplemental Indenture shall have the respective meanings given to them in the CD Senior Notes Indenture. The principles of interpretation and construction applicable to the CD Senior Notes Indenture pursuant to Section 1.2 (</w:t>
      </w:r>
      <w:r>
        <w:rPr>
          <w:rFonts w:ascii="Times New Roman" w:cs="Times New Roman" w:eastAsia="Times New Roman" w:hAnsi="Times New Roman"/>
          <w:sz w:val="20"/>
          <w:szCs w:val="20"/>
          <w:i w:val="1"/>
          <w:iCs w:val="1"/>
          <w:color w:val="auto"/>
        </w:rPr>
        <w:t>Interpretation</w:t>
      </w:r>
      <w:r>
        <w:rPr>
          <w:rFonts w:ascii="Times New Roman" w:cs="Times New Roman" w:eastAsia="Times New Roman" w:hAnsi="Times New Roman"/>
          <w:sz w:val="20"/>
          <w:szCs w:val="20"/>
          <w:color w:val="auto"/>
        </w:rPr>
        <w:t xml:space="preserve">) of the CD Senior Notes Indenture shall apply to this Supplemental Indenture,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19"/>
          <w:szCs w:val="19"/>
          <w:u w:val="single" w:color="auto"/>
          <w:color w:val="auto"/>
        </w:rPr>
        <w:t>Amendments to the Existing CD Senior Notes Indenture.</w:t>
      </w:r>
    </w:p>
    <w:p>
      <w:pPr>
        <w:spacing w:after="0" w:line="2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Effective as of the Supplemental Indenture Effective Date (as defined below), the Existing CD Senior Notes Indenture is hereby amended to delete the stricken text (indicated in the same manner as the following example: </w:t>
      </w:r>
      <w:r>
        <w:rPr>
          <w:rFonts w:ascii="Times New Roman" w:cs="Times New Roman" w:eastAsia="Times New Roman" w:hAnsi="Times New Roman"/>
          <w:sz w:val="20"/>
          <w:szCs w:val="20"/>
          <w:b w:val="1"/>
          <w:bCs w:val="1"/>
          <w:color w:val="auto"/>
          <w:strike w:val="1"/>
        </w:rPr>
        <w:t>stricken text</w:t>
      </w:r>
      <w:r>
        <w:rPr>
          <w:rFonts w:ascii="Times New Roman" w:cs="Times New Roman" w:eastAsia="Times New Roman" w:hAnsi="Times New Roman"/>
          <w:sz w:val="20"/>
          <w:szCs w:val="20"/>
          <w:color w:val="auto"/>
        </w:rPr>
        <w:t xml:space="preserve">) and to add the double-underlined text (indicated in the same manner as the following example: </w:t>
      </w:r>
      <w:r>
        <w:rPr>
          <w:rFonts w:ascii="Times New Roman" w:cs="Times New Roman" w:eastAsia="Times New Roman" w:hAnsi="Times New Roman"/>
          <w:sz w:val="20"/>
          <w:szCs w:val="20"/>
          <w:b w:val="1"/>
          <w:bCs w:val="1"/>
          <w:u w:val="single" w:color="auto"/>
          <w:color w:val="auto"/>
        </w:rPr>
        <w:t>double-underlined text</w:t>
      </w:r>
      <w:r>
        <w:rPr>
          <w:rFonts w:ascii="Times New Roman" w:cs="Times New Roman" w:eastAsia="Times New Roman" w:hAnsi="Times New Roman"/>
          <w:sz w:val="20"/>
          <w:szCs w:val="20"/>
          <w:color w:val="auto"/>
        </w:rPr>
        <w:t xml:space="preserve">) as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7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19"/>
          <w:szCs w:val="19"/>
          <w:u w:val="single" w:color="auto"/>
          <w:color w:val="auto"/>
        </w:rPr>
        <w:t>Effectiveness of Amendments.</w:t>
      </w:r>
    </w:p>
    <w:p>
      <w:pPr>
        <w:spacing w:after="0" w:line="22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Subject to the receipt by the Trustee of the documents required by Sections 7.2(b), 9.2, 9.6, 12.2 and 12.3 of the Existing CD Senior Notes Indenture, the amendments set forth in Section 2 shall be effective on the date hereof (the “</w:t>
      </w:r>
      <w:r>
        <w:rPr>
          <w:rFonts w:ascii="Times New Roman" w:cs="Times New Roman" w:eastAsia="Times New Roman" w:hAnsi="Times New Roman"/>
          <w:sz w:val="20"/>
          <w:szCs w:val="20"/>
          <w:u w:val="single" w:color="auto"/>
          <w:color w:val="auto"/>
        </w:rPr>
        <w:t>Supplemental Indenture Effective Date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4" w:right="339" w:bottom="1440" w:gutter="0" w:footer="0" w:header="0"/>
        </w:sectPr>
      </w:pPr>
    </w:p>
    <w:bookmarkStart w:id="346" w:name="page347"/>
    <w:bookmarkEnd w:id="346"/>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19"/>
          <w:szCs w:val="19"/>
          <w:u w:val="single" w:color="auto"/>
          <w:color w:val="auto"/>
        </w:rPr>
        <w:t>Trustee not Responsible for Recitals.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recitals contained herein shall be taken as the statements of the Company, and the Trustee assumes no responsibility for their correctness. The Trustee makes no representations as to and shall not be responsible for the adequacy, validity or sufficiency of this Supplemental Indenture. In entering into this Supplemental Indenture, the Trustee shall be entitled to the benefit of every provision of the Indenture relating to the conduct or affecting the liability of or affording protection to the Trustee, whether or not elsewhere herein so provided.</w:t>
      </w:r>
    </w:p>
    <w:p>
      <w:pPr>
        <w:spacing w:after="0" w:line="20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19"/>
          <w:szCs w:val="19"/>
          <w:u w:val="single" w:color="auto"/>
          <w:color w:val="auto"/>
        </w:rPr>
        <w:t>Limited Effect on the Existing CD Senior Notes Indenture and P1 Financing Documents.</w:t>
      </w:r>
    </w:p>
    <w:p>
      <w:pPr>
        <w:spacing w:after="0" w:line="211" w:lineRule="exact"/>
        <w:rPr>
          <w:sz w:val="20"/>
          <w:szCs w:val="20"/>
          <w:color w:val="auto"/>
        </w:rPr>
      </w:pPr>
    </w:p>
    <w:p>
      <w:pPr>
        <w:jc w:val="both"/>
        <w:ind w:firstLine="1304"/>
        <w:spacing w:after="0" w:line="261" w:lineRule="auto"/>
        <w:tabs>
          <w:tab w:leader="none" w:pos="1806"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for herein, the terms and conditions of the Existing CD Senior Notes Indenture shall continue unchanged and shall remain in full force and effect. The amendments agreed to herein shall apply solely to the matters set forth herein and such amendments shall not be deemed or construed as a consent to or an amendment of any other matters.</w:t>
      </w:r>
    </w:p>
    <w:p>
      <w:pPr>
        <w:spacing w:after="0" w:line="18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54"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Supplemental Indenture shall constitute a P1 Financing Document. Upon the effectiveness hereof, each reference to the CD Senior Notes Indenture in the CD Senior Notes Indenture or in any other P1 Financing Document shall mean and be a reference to the Existing CD Senior Notes Indenture as amended hereby (and as it may be further amended, amended and restated, supplemented or otherwise modified from time to time).</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42"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execution and delivery of this Supplemental Indenture nor any of the terms, covenants, conditions or other provisions set forth herein are intended, nor shall they be deemed or construed, to effect a novation of any Liens or Senior Secured Obligations under the CD Senior Notes Indenture or to pay, extinguish, release, satisfy or discharge (i) the Notes, (ii) the liability of the Company under the Notes, the CD Senior Notes Indenture or the other P1 Financing Documents or any Senior Secured Obligations or other obligations evidenced thereby, or (iii) any mortgages, deeds of trust, liens, security interests or contractual or legal rights securing all or any part of such Senior Secured Obligations.</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89"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(i) agrees that this Supplemental Indenture and the transactions contemplated hereby shall not limit or diminish the Company’s obligations arising under or pursuant to the P1 Financing Documents to which it is a party, (ii) reaffirms all of the Company’s obligations under the CD Senior Notes Indenture and the other P1 Financing Documents to which it is a party, and (iii) acknowledges and agrees that the CD Senior Notes Indenture and each other P1 Financing Document executed by the Company remains in full force and effect and is hereby reaffirmed, ratified and confirmed.</w:t>
      </w:r>
    </w:p>
    <w:p>
      <w:pPr>
        <w:spacing w:after="0" w:line="20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19"/>
          <w:szCs w:val="19"/>
          <w:u w:val="single" w:color="auto"/>
          <w:color w:val="auto"/>
        </w:rPr>
        <w:t>Severability.</w:t>
      </w:r>
    </w:p>
    <w:p>
      <w:pPr>
        <w:spacing w:after="0" w:line="21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case any provision in this Supplemental Indenture is invalid, illegal or unenforceable, the validity, legality and enforceability of the remaining provisions will not in any way be affected or impaired thereby.</w:t>
      </w:r>
    </w:p>
    <w:p>
      <w:pPr>
        <w:spacing w:after="0" w:line="16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19"/>
          <w:szCs w:val="19"/>
          <w:u w:val="single" w:color="auto"/>
          <w:color w:val="auto"/>
        </w:rPr>
        <w:t>GOVERNING LAW.</w:t>
      </w: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SUPPLEMENTAL INDENTURE, AND THE RIGHTS AND OBLIGATIONS OF THE PARTIES HEREUNDER, SHALL BE GOVERNED BY, AND CONSTRUED IN ACCORDANCE WITH, THE LAW OF THE STATE OF NEW YORK,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347" w:name="page348"/>
    <w:bookmarkEnd w:id="347"/>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19"/>
          <w:szCs w:val="19"/>
          <w:u w:val="single" w:color="auto"/>
          <w:color w:val="auto"/>
        </w:rPr>
        <w:t>Binding Nature and Benefit.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Amendment shall be binding upon and inure to the benefit of each party hereto and their respective successors and permitted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assigns.</w:t>
      </w:r>
    </w:p>
    <w:p>
      <w:pPr>
        <w:spacing w:after="0" w:line="2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19"/>
          <w:szCs w:val="19"/>
          <w:u w:val="single" w:color="auto"/>
          <w:color w:val="auto"/>
        </w:rPr>
        <w:t>Counterparts.</w:t>
      </w:r>
    </w:p>
    <w:p>
      <w:pPr>
        <w:spacing w:after="0" w:line="21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This Supplemental Indenture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portable document format (“pdf”) shall be effective as delivery of a manually executed counterpart of this Amendment. The words “execution,” “signed,” “signature,” and words of like import in this Amendment shall be deemed to include electronic signatures or the electronic records, each of which shall be of the same legal effect, validity, or enforceability as a manually executed signature or the use of a paper-based recordkeeping system, as the case may be, to the extent and as provided for in any applicable Government Rule, including the Federal Electronic Signatures in Global and National Commerce Act, the New York State Electronic Signatures and Records Act, or any other similar state laws based on the Uniform Electronic Transactions Act.</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348" w:name="page349"/>
    <w:bookmarkEnd w:id="348"/>
    <w:p>
      <w:pPr>
        <w:ind w:left="386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RIO GRANDE LNG, LLC</w:t>
      </w:r>
    </w:p>
    <w:p>
      <w:pPr>
        <w:spacing w:after="0" w:line="200" w:lineRule="exact"/>
        <w:rPr>
          <w:sz w:val="20"/>
          <w:szCs w:val="20"/>
          <w:color w:val="auto"/>
        </w:rPr>
      </w:pPr>
    </w:p>
    <w:p>
      <w:pPr>
        <w:spacing w:after="0" w:line="30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Schatzman</w:t>
      </w:r>
    </w:p>
    <w:p>
      <w:pPr>
        <w:spacing w:after="0" w:line="2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Name: Matthew Schatzman</w:t>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Supplemental Indenture No. 1</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09" w:right="1440" w:bottom="1440" w:gutter="0" w:footer="0" w:header="0"/>
        </w:sectPr>
      </w:pPr>
    </w:p>
    <w:bookmarkStart w:id="349" w:name="page350"/>
    <w:bookmarkEnd w:id="349"/>
    <w:p>
      <w:pPr>
        <w:ind w:left="4160"/>
        <w:spacing w:after="0"/>
        <w:rPr>
          <w:sz w:val="20"/>
          <w:szCs w:val="20"/>
          <w:color w:val="auto"/>
        </w:rPr>
      </w:pPr>
      <w:r>
        <w:rPr>
          <w:rFonts w:ascii="Times New Roman" w:cs="Times New Roman" w:eastAsia="Times New Roman" w:hAnsi="Times New Roman"/>
          <w:sz w:val="19"/>
          <w:szCs w:val="19"/>
          <w:b w:val="1"/>
          <w:bCs w:val="1"/>
          <w:color w:val="auto"/>
        </w:rPr>
        <w:t>WILMINGTON TRUST, NATIONAL ASSOCIATION</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7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Amedeo Morreale</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 Amedeo Morreale</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 No. 1</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09" w:right="1440" w:bottom="1440" w:gutter="0" w:footer="0" w:header="0"/>
        </w:sectPr>
      </w:pPr>
    </w:p>
    <w:bookmarkStart w:id="350" w:name="page351"/>
    <w:bookmarkEnd w:id="350"/>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6"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20"/>
          <w:szCs w:val="20"/>
          <w:b w:val="1"/>
          <w:bCs w:val="1"/>
          <w:color w:val="auto"/>
        </w:rPr>
        <w:t>Conformed Copy of Amended CD Senior Notes Indenture</w:t>
      </w:r>
    </w:p>
    <w:p>
      <w:pPr>
        <w:spacing w:after="0" w:line="200" w:lineRule="exact"/>
        <w:rPr>
          <w:sz w:val="20"/>
          <w:szCs w:val="20"/>
          <w:color w:val="auto"/>
        </w:rPr>
      </w:pPr>
    </w:p>
    <w:p>
      <w:pPr>
        <w:spacing w:after="0" w:line="2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Attached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0139"/>
          </w:cols>
          <w:pgMar w:left="320" w:top="1409" w:right="1440" w:bottom="1440" w:gutter="0" w:footer="0" w:header="0"/>
        </w:sectPr>
      </w:pPr>
    </w:p>
    <w:bookmarkStart w:id="351" w:name="page352"/>
    <w:bookmarkEnd w:id="351"/>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Conformed to include: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Indenture No. 1, dated as of March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922020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6.67% SENIOR SECURED NOTES DUE 2033</w:t>
      </w:r>
    </w:p>
    <w:p>
      <w:pPr>
        <w:spacing w:after="0" w:line="200" w:lineRule="exact"/>
        <w:rPr>
          <w:sz w:val="20"/>
          <w:szCs w:val="20"/>
          <w:color w:val="auto"/>
        </w:rPr>
      </w:pPr>
    </w:p>
    <w:p>
      <w:pPr>
        <w:spacing w:after="0" w:line="2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0" w:lineRule="exact"/>
        <w:rPr>
          <w:sz w:val="20"/>
          <w:szCs w:val="20"/>
          <w:color w:val="auto"/>
        </w:rPr>
      </w:pPr>
    </w:p>
    <w:p>
      <w:pPr>
        <w:spacing w:after="0" w:line="2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INDENTURE</w:t>
      </w:r>
    </w:p>
    <w:p>
      <w:pPr>
        <w:spacing w:after="0" w:line="2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Dated as of July 12, 2023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0" w:lineRule="exact"/>
        <w:rPr>
          <w:sz w:val="20"/>
          <w:szCs w:val="20"/>
          <w:color w:val="auto"/>
        </w:rPr>
      </w:pPr>
    </w:p>
    <w:p>
      <w:pPr>
        <w:spacing w:after="0" w:line="2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2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US-DOCS\138663915.16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0139"/>
          </w:cols>
          <w:pgMar w:left="320" w:top="1440" w:right="1440" w:bottom="1440" w:gutter="0" w:footer="0" w:header="0"/>
        </w:sectPr>
      </w:pPr>
    </w:p>
    <w:bookmarkStart w:id="352" w:name="page353"/>
    <w:bookmarkEnd w:id="352"/>
    <w:p>
      <w:pPr>
        <w:jc w:val="center"/>
        <w:ind w:right="-19"/>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80" w:type="dxa"/>
            <w:vAlign w:val="bottom"/>
          </w:tcPr>
          <w:p>
            <w:pPr>
              <w:spacing w:after="0"/>
              <w:rPr>
                <w:sz w:val="22"/>
                <w:szCs w:val="22"/>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Page</w:t>
            </w:r>
          </w:p>
        </w:tc>
        <w:tc>
          <w:tcPr>
            <w:tcW w:w="84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71"/>
        </w:trPr>
        <w:tc>
          <w:tcPr>
            <w:tcW w:w="9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  DEFINITIONS AND INCORPORATION BY REFERENCE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Defined Terms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Interpretation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UCC Terms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1.4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Accounting and Financial Determinations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6"/>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92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THE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Form and Dating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Execution and Authentication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Registrar and Paying Agent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Paying Agent to Hold Money in Trust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Noteholder Lists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Transfer and Exchange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Replacement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Outstanding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Treasury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2.10</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Temporary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2.11</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Cancellation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2.12</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Defaulted Interest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7"/>
        </w:trPr>
        <w:tc>
          <w:tcPr>
            <w:tcW w:w="180" w:type="dxa"/>
            <w:vAlign w:val="bottom"/>
          </w:tcPr>
          <w:p>
            <w:pPr>
              <w:spacing w:after="0"/>
              <w:rPr>
                <w:sz w:val="22"/>
                <w:szCs w:val="22"/>
                <w:color w:val="auto"/>
              </w:rPr>
            </w:pPr>
          </w:p>
        </w:tc>
        <w:tc>
          <w:tcPr>
            <w:tcW w:w="92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2.13  CUSIP Numbers / PPN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2.14</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Tax Withholding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2.15</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Net of Taxes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6"/>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9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REDEMPTION AND PREPAYMENT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Notices to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Selection of Notes to Be Redeemed</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 of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 of Notice of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Deposit of Redemption or Purchase Price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Notes Redeemed in Part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Optional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Open Market Purchases; No Mandatory Redemption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3.9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Offer to Purchase by Application of Collateral Proceeds; LNG SPA Termination Offer</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7"/>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9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COVENANTS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Payment of Notes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4.2</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Maintenance of Office or Agency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4.3</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Reports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4.4</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Compliance Certificate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7"/>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4.5</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Distributions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4.6</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Use of Proceeds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4.7</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Incurrence of Indebtedness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4.8</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Maintenance of Designated Offtake Agreements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6"/>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4.9</w:t>
            </w:r>
          </w:p>
        </w:tc>
        <w:tc>
          <w:tcPr>
            <w:tcW w:w="8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Maintenance of Liens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8"/>
        </w:trPr>
        <w:tc>
          <w:tcPr>
            <w:tcW w:w="180" w:type="dxa"/>
            <w:vAlign w:val="bottom"/>
          </w:tcPr>
          <w:p>
            <w:pPr>
              <w:spacing w:after="0"/>
              <w:rPr>
                <w:sz w:val="22"/>
                <w:szCs w:val="2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4.10</w:t>
            </w:r>
          </w:p>
        </w:tc>
        <w:tc>
          <w:tcPr>
            <w:tcW w:w="8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Maintenance of Ratings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20" w:top="1413" w:right="35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20"/>
          </w:cols>
          <w:pgMar w:left="320" w:top="1413" w:right="359" w:bottom="1440" w:gutter="0" w:footer="0" w:header="0"/>
          <w:type w:val="continuous"/>
        </w:sectPr>
      </w:pPr>
    </w:p>
    <w:bookmarkStart w:id="353" w:name="page354"/>
    <w:bookmarkEnd w:id="353"/>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4.11</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Payments for Consent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7"/>
        </w:trPr>
        <w:tc>
          <w:tcPr>
            <w:tcW w:w="260" w:type="dxa"/>
            <w:vAlign w:val="bottom"/>
          </w:tcPr>
          <w:p>
            <w:pPr>
              <w:spacing w:after="0"/>
              <w:rPr>
                <w:sz w:val="22"/>
                <w:szCs w:val="22"/>
                <w:color w:val="auto"/>
              </w:rPr>
            </w:pPr>
          </w:p>
        </w:tc>
        <w:tc>
          <w:tcPr>
            <w:tcW w:w="96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4.12  Offer to Repurchase Upon Change of Control Triggering Event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4.13</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Events of Loss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4.14</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Asset Sales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4.15</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Performance Liquidated Damages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260" w:type="dxa"/>
            <w:vAlign w:val="bottom"/>
          </w:tcPr>
          <w:p>
            <w:pPr>
              <w:spacing w:after="0"/>
              <w:rPr>
                <w:sz w:val="22"/>
                <w:szCs w:val="22"/>
                <w:color w:val="auto"/>
              </w:rPr>
            </w:pPr>
          </w:p>
        </w:tc>
        <w:tc>
          <w:tcPr>
            <w:tcW w:w="96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4.16  CD Senior Notes DSRA</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4.17</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Material Project Documents.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4.18</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Insurance.</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4.19</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4.20</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Books and Records.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4.21</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Inspection Reports.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4.22</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Sanctions Regulations, Etc.</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4.23</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Designated Offtake Agreements.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4.24</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Accounts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260" w:type="dxa"/>
            <w:vAlign w:val="bottom"/>
          </w:tcPr>
          <w:p>
            <w:pPr>
              <w:spacing w:after="0"/>
              <w:rPr>
                <w:sz w:val="22"/>
                <w:szCs w:val="22"/>
                <w:color w:val="auto"/>
              </w:rPr>
            </w:pPr>
          </w:p>
        </w:tc>
        <w:tc>
          <w:tcPr>
            <w:tcW w:w="96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4.25  Limitation on Formation of Controlled Subsidiaries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4.26</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Historical DSCR</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4.27</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Affiliated Noteholder Cap</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4.28</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Note Guarantees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5.</w:t>
            </w:r>
          </w:p>
        </w:tc>
        <w:tc>
          <w:tcPr>
            <w:tcW w:w="96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SUCCESSORS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5.1</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Merger, Consolidation, or Sale of Assets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5.2</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Successor Corporation Substituted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6"/>
        </w:trPr>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6.</w:t>
            </w:r>
          </w:p>
        </w:tc>
        <w:tc>
          <w:tcPr>
            <w:tcW w:w="96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DEFAULTS AND REMEDIES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Events of Default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6.2</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Acceleration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6.3</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Remedies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6.4</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Waiver of Past Defaults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6.5</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Control by Majority</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6.6</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Limitation on Suits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6.7</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Rights of Noteholders to Receive Payment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6.8</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Collection Suit by 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6.9</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Trustee May File Proofs of Claim</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6.10</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Priorities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6.11</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Undertaking for Costs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6"/>
        </w:trPr>
        <w:tc>
          <w:tcPr>
            <w:tcW w:w="2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7.</w:t>
            </w:r>
          </w:p>
        </w:tc>
        <w:tc>
          <w:tcPr>
            <w:tcW w:w="96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7.1</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Duties of 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7.2</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Rights of 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7.3</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Individual Rights of 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7.4</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Trustee’s Disclaimer</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7.5</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 of Defaults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7"/>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7.6</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Compensation and Indemnity</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7.7</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Replacement of Trustee</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7.8</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Successor Trustee by Merger, etc.</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7.9</w:t>
            </w:r>
          </w:p>
        </w:tc>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Eligibility; Disqualification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260" w:type="dxa"/>
            <w:vAlign w:val="bottom"/>
          </w:tcPr>
          <w:p>
            <w:pPr>
              <w:spacing w:after="0"/>
              <w:rPr>
                <w:sz w:val="22"/>
                <w:szCs w:val="22"/>
                <w:color w:val="auto"/>
              </w:rPr>
            </w:pPr>
          </w:p>
        </w:tc>
        <w:tc>
          <w:tcPr>
            <w:tcW w:w="96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7.10  Authorization to Enter Into Common Terms Agreement and Collateral Intercreditor Agreement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8"/>
        </w:trPr>
        <w:tc>
          <w:tcPr>
            <w:tcW w:w="260" w:type="dxa"/>
            <w:vAlign w:val="bottom"/>
          </w:tcPr>
          <w:p>
            <w:pPr>
              <w:spacing w:after="0"/>
              <w:rPr>
                <w:sz w:val="22"/>
                <w:szCs w:val="2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7.11</w:t>
            </w:r>
          </w:p>
        </w:tc>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Trustee Protective Provisions</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20"/>
          </w:cols>
          <w:pgMar w:left="320" w:top="1440" w:right="35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20"/>
          </w:cols>
          <w:pgMar w:left="320" w:top="1440" w:right="359" w:bottom="1440" w:gutter="0" w:footer="0" w:header="0"/>
          <w:type w:val="continuous"/>
        </w:sectPr>
      </w:pPr>
    </w:p>
    <w:bookmarkStart w:id="354" w:name="page355"/>
    <w:bookmarkEnd w:id="354"/>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86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8.  LEGAL DEFEASANCE AND COVENANT DEFEASANCE</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8.1</w:t>
            </w:r>
          </w:p>
        </w:tc>
        <w:tc>
          <w:tcPr>
            <w:tcW w:w="40" w:type="dxa"/>
            <w:vAlign w:val="bottom"/>
          </w:tcPr>
          <w:p>
            <w:pPr>
              <w:spacing w:after="0"/>
              <w:rPr>
                <w:sz w:val="22"/>
                <w:szCs w:val="22"/>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Option to Effect Legal Defeasance or Covenant Defeasance</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8.2</w:t>
            </w:r>
          </w:p>
        </w:tc>
        <w:tc>
          <w:tcPr>
            <w:tcW w:w="40" w:type="dxa"/>
            <w:vAlign w:val="bottom"/>
          </w:tcPr>
          <w:p>
            <w:pPr>
              <w:spacing w:after="0"/>
              <w:rPr>
                <w:sz w:val="22"/>
                <w:szCs w:val="22"/>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Legal Defeasance and Discharge</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8.3</w:t>
            </w:r>
          </w:p>
        </w:tc>
        <w:tc>
          <w:tcPr>
            <w:tcW w:w="40" w:type="dxa"/>
            <w:vAlign w:val="bottom"/>
          </w:tcPr>
          <w:p>
            <w:pPr>
              <w:spacing w:after="0"/>
              <w:rPr>
                <w:sz w:val="22"/>
                <w:szCs w:val="22"/>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Covenant Defeasance</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8.4</w:t>
            </w:r>
          </w:p>
        </w:tc>
        <w:tc>
          <w:tcPr>
            <w:tcW w:w="40" w:type="dxa"/>
            <w:vAlign w:val="bottom"/>
          </w:tcPr>
          <w:p>
            <w:pPr>
              <w:spacing w:after="0"/>
              <w:rPr>
                <w:sz w:val="22"/>
                <w:szCs w:val="22"/>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Conditions to Legal or Covenant Defeasance</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8.5</w:t>
            </w:r>
          </w:p>
        </w:tc>
        <w:tc>
          <w:tcPr>
            <w:tcW w:w="40" w:type="dxa"/>
            <w:vAlign w:val="bottom"/>
          </w:tcPr>
          <w:p>
            <w:pPr>
              <w:spacing w:after="0"/>
              <w:rPr>
                <w:sz w:val="22"/>
                <w:szCs w:val="22"/>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Deposited Money and Government Securities to Be Held in Trust; Other Miscellaneous Provisions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8.6</w:t>
            </w:r>
          </w:p>
        </w:tc>
        <w:tc>
          <w:tcPr>
            <w:tcW w:w="40" w:type="dxa"/>
            <w:vAlign w:val="bottom"/>
          </w:tcPr>
          <w:p>
            <w:pPr>
              <w:spacing w:after="0"/>
              <w:rPr>
                <w:sz w:val="22"/>
                <w:szCs w:val="22"/>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Repayment to Company</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8.7</w:t>
            </w:r>
          </w:p>
        </w:tc>
        <w:tc>
          <w:tcPr>
            <w:tcW w:w="40" w:type="dxa"/>
            <w:vAlign w:val="bottom"/>
          </w:tcPr>
          <w:p>
            <w:pPr>
              <w:spacing w:after="0"/>
              <w:rPr>
                <w:sz w:val="22"/>
                <w:szCs w:val="22"/>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Reinstatement</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86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9.  AMENDMENT, SUPPLEMENT AND WAIVER</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9.1</w:t>
            </w:r>
          </w:p>
        </w:tc>
        <w:tc>
          <w:tcPr>
            <w:tcW w:w="76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Without Consent of Noteholders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9.2</w:t>
            </w:r>
          </w:p>
        </w:tc>
        <w:tc>
          <w:tcPr>
            <w:tcW w:w="76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With Consent of Noteholders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9.3</w:t>
            </w:r>
          </w:p>
        </w:tc>
        <w:tc>
          <w:tcPr>
            <w:tcW w:w="40" w:type="dxa"/>
            <w:vAlign w:val="bottom"/>
          </w:tcPr>
          <w:p>
            <w:pPr>
              <w:spacing w:after="0"/>
              <w:rPr>
                <w:sz w:val="22"/>
                <w:szCs w:val="22"/>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Decisions under Other Financing Documents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9.4</w:t>
            </w:r>
          </w:p>
        </w:tc>
        <w:tc>
          <w:tcPr>
            <w:tcW w:w="40" w:type="dxa"/>
            <w:vAlign w:val="bottom"/>
          </w:tcPr>
          <w:p>
            <w:pPr>
              <w:spacing w:after="0"/>
              <w:rPr>
                <w:sz w:val="22"/>
                <w:szCs w:val="22"/>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Revocation and Effect of Consents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9.5</w:t>
            </w:r>
          </w:p>
        </w:tc>
        <w:tc>
          <w:tcPr>
            <w:tcW w:w="40" w:type="dxa"/>
            <w:vAlign w:val="bottom"/>
          </w:tcPr>
          <w:p>
            <w:pPr>
              <w:spacing w:after="0"/>
              <w:rPr>
                <w:sz w:val="22"/>
                <w:szCs w:val="22"/>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20"/>
                <w:szCs w:val="20"/>
                <w:color w:val="auto"/>
              </w:rPr>
              <w:t>Notation on or Exchange of Notes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9.6</w:t>
            </w:r>
          </w:p>
        </w:tc>
        <w:tc>
          <w:tcPr>
            <w:tcW w:w="76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Trustee to Sign Amendments, etc.</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COLLATERAL AND SECURITY</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10.1</w:t>
            </w:r>
          </w:p>
        </w:tc>
        <w:tc>
          <w:tcPr>
            <w:tcW w:w="40" w:type="dxa"/>
            <w:vAlign w:val="bottom"/>
          </w:tcPr>
          <w:p>
            <w:pPr>
              <w:spacing w:after="0"/>
              <w:rPr>
                <w:sz w:val="22"/>
                <w:szCs w:val="22"/>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Senior Secured Debt</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10.2</w:t>
            </w:r>
          </w:p>
        </w:tc>
        <w:tc>
          <w:tcPr>
            <w:tcW w:w="40" w:type="dxa"/>
            <w:vAlign w:val="bottom"/>
          </w:tcPr>
          <w:p>
            <w:pPr>
              <w:spacing w:after="0"/>
              <w:rPr>
                <w:sz w:val="22"/>
                <w:szCs w:val="22"/>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Release of Collateral</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83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SATISFACTION AND DISCHARGE</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11.1</w:t>
            </w:r>
          </w:p>
        </w:tc>
        <w:tc>
          <w:tcPr>
            <w:tcW w:w="40" w:type="dxa"/>
            <w:vAlign w:val="bottom"/>
          </w:tcPr>
          <w:p>
            <w:pPr>
              <w:spacing w:after="0"/>
              <w:rPr>
                <w:sz w:val="22"/>
                <w:szCs w:val="22"/>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Satisfaction and Discharge</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7"/>
        </w:trPr>
        <w:tc>
          <w:tcPr>
            <w:tcW w:w="340" w:type="dxa"/>
            <w:vAlign w:val="bottom"/>
          </w:tcPr>
          <w:p>
            <w:pPr>
              <w:spacing w:after="0"/>
              <w:rPr>
                <w:sz w:val="22"/>
                <w:szCs w:val="22"/>
                <w:color w:val="auto"/>
              </w:rPr>
            </w:pPr>
          </w:p>
        </w:tc>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11.2  Application of Trust Money</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MISCELLANEOUS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6"/>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12.1</w:t>
            </w:r>
          </w:p>
        </w:tc>
        <w:tc>
          <w:tcPr>
            <w:tcW w:w="40" w:type="dxa"/>
            <w:vAlign w:val="bottom"/>
          </w:tcPr>
          <w:p>
            <w:pPr>
              <w:spacing w:after="0"/>
              <w:rPr>
                <w:sz w:val="22"/>
                <w:szCs w:val="22"/>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340" w:type="dxa"/>
            <w:vAlign w:val="bottom"/>
          </w:tcPr>
          <w:p>
            <w:pPr>
              <w:spacing w:after="0"/>
              <w:rPr>
                <w:sz w:val="22"/>
                <w:szCs w:val="22"/>
                <w:color w:val="auto"/>
              </w:rPr>
            </w:pPr>
          </w:p>
        </w:tc>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12.2  Certificate and Opinion as to Conditions Precedent</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340" w:type="dxa"/>
            <w:vAlign w:val="bottom"/>
          </w:tcPr>
          <w:p>
            <w:pPr>
              <w:spacing w:after="0"/>
              <w:rPr>
                <w:sz w:val="22"/>
                <w:szCs w:val="22"/>
                <w:color w:val="auto"/>
              </w:rPr>
            </w:pPr>
          </w:p>
        </w:tc>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12.3  Statements Required in Certificate or Opinion</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7"/>
        </w:trPr>
        <w:tc>
          <w:tcPr>
            <w:tcW w:w="340" w:type="dxa"/>
            <w:vAlign w:val="bottom"/>
          </w:tcPr>
          <w:p>
            <w:pPr>
              <w:spacing w:after="0"/>
              <w:rPr>
                <w:sz w:val="22"/>
                <w:szCs w:val="22"/>
                <w:color w:val="auto"/>
              </w:rPr>
            </w:pPr>
          </w:p>
        </w:tc>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12.4  Rules by Trustee and Agents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340" w:type="dxa"/>
            <w:vAlign w:val="bottom"/>
          </w:tcPr>
          <w:p>
            <w:pPr>
              <w:spacing w:after="0"/>
              <w:rPr>
                <w:sz w:val="22"/>
                <w:szCs w:val="22"/>
                <w:color w:val="auto"/>
              </w:rPr>
            </w:pPr>
          </w:p>
        </w:tc>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12.5  No Personal Liability of Directors, Officers, Employees and Stockholders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7"/>
        </w:trPr>
        <w:tc>
          <w:tcPr>
            <w:tcW w:w="340" w:type="dxa"/>
            <w:vAlign w:val="bottom"/>
          </w:tcPr>
          <w:p>
            <w:pPr>
              <w:spacing w:after="0"/>
              <w:rPr>
                <w:sz w:val="22"/>
                <w:szCs w:val="22"/>
                <w:color w:val="auto"/>
              </w:rPr>
            </w:pPr>
          </w:p>
        </w:tc>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12.6  Applicable Law, Jurisdiction, etc.</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56"/>
        </w:trPr>
        <w:tc>
          <w:tcPr>
            <w:tcW w:w="340" w:type="dxa"/>
            <w:vAlign w:val="bottom"/>
          </w:tcPr>
          <w:p>
            <w:pPr>
              <w:spacing w:after="0"/>
              <w:rPr>
                <w:sz w:val="22"/>
                <w:szCs w:val="22"/>
                <w:color w:val="auto"/>
              </w:rPr>
            </w:pPr>
          </w:p>
        </w:tc>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12.7  No Adverse Interpretation of Other Agreements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12.8</w:t>
            </w:r>
          </w:p>
        </w:tc>
        <w:tc>
          <w:tcPr>
            <w:tcW w:w="40" w:type="dxa"/>
            <w:vAlign w:val="bottom"/>
          </w:tcPr>
          <w:p>
            <w:pPr>
              <w:spacing w:after="0"/>
              <w:rPr>
                <w:sz w:val="22"/>
                <w:szCs w:val="22"/>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Successors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7"/>
        </w:trPr>
        <w:tc>
          <w:tcPr>
            <w:tcW w:w="34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12.9</w:t>
            </w:r>
          </w:p>
        </w:tc>
        <w:tc>
          <w:tcPr>
            <w:tcW w:w="40" w:type="dxa"/>
            <w:vAlign w:val="bottom"/>
          </w:tcPr>
          <w:p>
            <w:pPr>
              <w:spacing w:after="0"/>
              <w:rPr>
                <w:sz w:val="22"/>
                <w:szCs w:val="22"/>
                <w:color w:val="auto"/>
              </w:rPr>
            </w:pPr>
          </w:p>
        </w:tc>
        <w:tc>
          <w:tcPr>
            <w:tcW w:w="7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6"/>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3"/>
              </w:rPr>
              <w:t>12.10</w:t>
            </w:r>
          </w:p>
        </w:tc>
        <w:tc>
          <w:tcPr>
            <w:tcW w:w="7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Counterpart Originals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7"/>
        </w:trPr>
        <w:tc>
          <w:tcPr>
            <w:tcW w:w="340" w:type="dxa"/>
            <w:vAlign w:val="bottom"/>
          </w:tcPr>
          <w:p>
            <w:pPr>
              <w:spacing w:after="0"/>
              <w:rPr>
                <w:sz w:val="22"/>
                <w:szCs w:val="22"/>
                <w:color w:val="auto"/>
              </w:rPr>
            </w:pPr>
          </w:p>
        </w:tc>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12.11  Trustee’s Receipt of Funds to the Extent not Required to be Applied to Payment of the Notes</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340" w:type="dxa"/>
            <w:vAlign w:val="bottom"/>
          </w:tcPr>
          <w:p>
            <w:pPr>
              <w:spacing w:after="0"/>
              <w:rPr>
                <w:sz w:val="22"/>
                <w:szCs w:val="22"/>
                <w:color w:val="auto"/>
              </w:rPr>
            </w:pPr>
          </w:p>
        </w:tc>
        <w:tc>
          <w:tcPr>
            <w:tcW w:w="83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12.12  Table of Contents, Headings, etc.</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8"/>
        </w:trPr>
        <w:tc>
          <w:tcPr>
            <w:tcW w:w="340" w:type="dxa"/>
            <w:vAlign w:val="bottom"/>
          </w:tcPr>
          <w:p>
            <w:pPr>
              <w:spacing w:after="0"/>
              <w:rPr>
                <w:sz w:val="22"/>
                <w:szCs w:val="2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3"/>
              </w:rPr>
              <w:t>12.13</w:t>
            </w:r>
          </w:p>
        </w:tc>
        <w:tc>
          <w:tcPr>
            <w:tcW w:w="7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USA Patriot Act</w:t>
            </w:r>
          </w:p>
        </w:tc>
        <w:tc>
          <w:tcPr>
            <w:tcW w:w="2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38"/>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Exhibit A  FORM OF NOTE</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Exhibit B  FORM OF CERTIFICATE OF TRANSFER</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Exhibit C  FORM OF CERTIFICATE OF EXCHANGE</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Exhibit D  ADDITIONAL NOTES AND SUPPLEMENTAL INDENTURES FOR</w:t>
            </w:r>
          </w:p>
        </w:tc>
        <w:tc>
          <w:tcPr>
            <w:tcW w:w="21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ADDITIONAL NOTES</w:t>
            </w:r>
          </w:p>
        </w:tc>
        <w:tc>
          <w:tcPr>
            <w:tcW w:w="3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1440" w:right="35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20"/>
          </w:cols>
          <w:pgMar w:left="320" w:top="1440" w:right="359" w:bottom="1440" w:gutter="0" w:footer="0" w:header="0"/>
          <w:type w:val="continuous"/>
        </w:sectPr>
      </w:pPr>
    </w:p>
    <w:bookmarkStart w:id="355" w:name="page356"/>
    <w:bookmarkEnd w:id="355"/>
    <w:p>
      <w:pPr>
        <w:ind w:left="1280" w:right="100"/>
        <w:spacing w:after="0" w:line="454" w:lineRule="auto"/>
        <w:rPr>
          <w:sz w:val="20"/>
          <w:szCs w:val="20"/>
          <w:color w:val="auto"/>
        </w:rPr>
      </w:pPr>
      <w:r>
        <w:rPr>
          <w:rFonts w:ascii="Times New Roman" w:cs="Times New Roman" w:eastAsia="Times New Roman" w:hAnsi="Times New Roman"/>
          <w:sz w:val="20"/>
          <w:szCs w:val="20"/>
          <w:color w:val="auto"/>
        </w:rPr>
        <w:t>Exhibit E FORM OF CERTIFICATE OF ACQUIRING INSTITUTIONAL Exhibit 2.15-A FORM OF U.S. TAX COMPLIANCE CERTIFICATE Exhibit 2.15-B FORM OF U.S. TAX COMPLIANCE CERTIFICATE Exhibit 2.15-C FORM OF U.S. TAX COMPLIANCE 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ACCREDITED INVESTOR</w:t>
      </w:r>
    </w:p>
    <w:p>
      <w:pPr>
        <w:spacing w:after="0" w:line="1522" w:lineRule="exact"/>
        <w:rPr>
          <w:sz w:val="20"/>
          <w:szCs w:val="20"/>
          <w:color w:val="auto"/>
        </w:rPr>
      </w:pPr>
    </w:p>
    <w:p>
      <w:pPr>
        <w:sectPr>
          <w:pgSz w:w="11900" w:h="16838" w:orient="portrait"/>
          <w:cols w:equalWidth="0" w:num="2">
            <w:col w:w="7500" w:space="720"/>
            <w:col w:w="2280"/>
          </w:cols>
          <w:pgMar w:left="320" w:top="1413" w:right="1079" w:bottom="1440" w:gutter="0" w:footer="0" w:header="0"/>
        </w:sectPr>
      </w:pPr>
    </w:p>
    <w:p>
      <w:pPr>
        <w:ind w:left="1280"/>
        <w:spacing w:after="0"/>
        <w:tabs>
          <w:tab w:leader="none" w:pos="2640" w:val="left"/>
        </w:tabs>
        <w:rPr>
          <w:sz w:val="20"/>
          <w:szCs w:val="20"/>
          <w:color w:val="auto"/>
        </w:rPr>
      </w:pPr>
      <w:r>
        <w:rPr>
          <w:rFonts w:ascii="Times New Roman" w:cs="Times New Roman" w:eastAsia="Times New Roman" w:hAnsi="Times New Roman"/>
          <w:sz w:val="20"/>
          <w:szCs w:val="20"/>
          <w:color w:val="auto"/>
        </w:rPr>
        <w:t>Exhibit 2.15-D</w:t>
      </w:r>
      <w:r>
        <w:rPr>
          <w:sz w:val="20"/>
          <w:szCs w:val="20"/>
          <w:color w:val="auto"/>
        </w:rPr>
        <w:tab/>
      </w:r>
      <w:r>
        <w:rPr>
          <w:rFonts w:ascii="Times New Roman" w:cs="Times New Roman" w:eastAsia="Times New Roman" w:hAnsi="Times New Roman"/>
          <w:sz w:val="19"/>
          <w:szCs w:val="19"/>
          <w:color w:val="auto"/>
        </w:rPr>
        <w:t>FORM OF U.S. TAX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0500"/>
          </w:cols>
          <w:pgMar w:left="320" w:top="1413" w:right="1079" w:bottom="1440" w:gutter="0" w:footer="0" w:header="0"/>
          <w:type w:val="continuous"/>
        </w:sectPr>
      </w:pPr>
    </w:p>
    <w:bookmarkStart w:id="356" w:name="page357"/>
    <w:bookmarkEnd w:id="356"/>
    <w:p>
      <w:pPr>
        <w:spacing w:after="0" w:line="287"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xml:space="preserve"> dated as of July 12, 2023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together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and the Trustee agree as follows for the benefit of each other and for the equal and ratable benefit of the Noteholders (as defined herein).</w:t>
      </w:r>
    </w:p>
    <w:p>
      <w:pPr>
        <w:spacing w:after="0" w:line="155" w:lineRule="exact"/>
        <w:rPr>
          <w:sz w:val="20"/>
          <w:szCs w:val="20"/>
          <w:color w:val="auto"/>
        </w:rPr>
      </w:pPr>
    </w:p>
    <w:p>
      <w:pPr>
        <w:ind w:right="5740" w:firstLine="8"/>
        <w:spacing w:after="0" w:line="452" w:lineRule="auto"/>
        <w:tabs>
          <w:tab w:leader="none" w:pos="346" w:val="left"/>
        </w:tabs>
        <w:numPr>
          <w:ilvl w:val="0"/>
          <w:numId w:val="4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AND INCORPORATION BY REFERENCE 1.1 </w:t>
      </w:r>
      <w:r>
        <w:rPr>
          <w:rFonts w:ascii="Times New Roman" w:cs="Times New Roman" w:eastAsia="Times New Roman" w:hAnsi="Times New Roman"/>
          <w:sz w:val="20"/>
          <w:szCs w:val="20"/>
          <w:u w:val="single" w:color="auto"/>
          <w:color w:val="auto"/>
        </w:rPr>
        <w:t>Defined Terms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Unless otherwise defined herein, capitalized terms used herein shall have the meanings provided in the Common Terms Agreement.</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addition, the following terms shall have the following meanings: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w:t>
      </w:r>
      <w:r>
        <w:rPr>
          <w:rFonts w:ascii="Times New Roman" w:cs="Times New Roman" w:eastAsia="Times New Roman" w:hAnsi="Times New Roman"/>
          <w:sz w:val="20"/>
          <w:szCs w:val="20"/>
          <w:color w:val="auto"/>
        </w:rPr>
        <w:t>” has the meaning assigned to such term in the applicable Designated Offtake Agreement.</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Notes</w:t>
      </w:r>
      <w:r>
        <w:rPr>
          <w:rFonts w:ascii="Times New Roman" w:cs="Times New Roman" w:eastAsia="Times New Roman" w:hAnsi="Times New Roman"/>
          <w:sz w:val="20"/>
          <w:szCs w:val="20"/>
          <w:color w:val="auto"/>
        </w:rPr>
        <w:t xml:space="preserve">” means Notes (other than the Initial Notes) issued under this Indenture in accordance with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Decision</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means any Registrar, co-registrar, Paying Agent or additional paying agent.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Aggregate Funded Equity</w:t>
      </w:r>
      <w:r>
        <w:rPr>
          <w:rFonts w:ascii="Times New Roman" w:cs="Times New Roman" w:eastAsia="Times New Roman" w:hAnsi="Times New Roman"/>
          <w:sz w:val="20"/>
          <w:szCs w:val="20"/>
          <w:color w:val="auto"/>
        </w:rPr>
        <w:t>” has the meaning assigned to such term in the P1 Equity Contribution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 Facility Budget</w:t>
      </w:r>
      <w:r>
        <w:rPr>
          <w:rFonts w:ascii="Times New Roman" w:cs="Times New Roman" w:eastAsia="Times New Roman" w:hAnsi="Times New Roman"/>
          <w:sz w:val="20"/>
          <w:szCs w:val="20"/>
          <w:color w:val="auto"/>
        </w:rPr>
        <w:t>” has the meaning assigned to such term in the Definitions Agreement.</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Anti-Terrorism and Money Laundering Laws”</w:t>
      </w:r>
      <w:r>
        <w:rPr>
          <w:rFonts w:ascii="Times New Roman" w:cs="Times New Roman" w:eastAsia="Times New Roman" w:hAnsi="Times New Roman"/>
          <w:sz w:val="20"/>
          <w:szCs w:val="20"/>
          <w:color w:val="auto"/>
        </w:rPr>
        <w:t xml:space="preserve"> means any of the following (a) Section 1 of Executive Order 13224 of September 24, 2001, Blocking Property and Prohibiting Transactions With Persons Who Commit, Threaten to Commit, or Support Terrorism (Title 12, Part 595 of the US Code of Federal Regulations), (b) the Terrorism Sanctions Regulations (Title 31 Part 595 of the US Code of Federal Regulations), (c) the Terrorism List Governments Sanctions Regulations (Title 31 Part 596 of the US Code of Federal Regulations), (d) the Foreign Terrorist Organizations Sanctions Regulations (Title 31 Part 597 of the US Code of Federal Regulations), (e) the USA Patriot Act of 2001 (Pub. L. No. 107-56), (f) the U.S. Money Laundering Control Act of 1986, as amended, (g) the Bank Secrecy Act, 31 U.S.C. sections 5301 et seq., (h) Laundering of Monetary Instruments, 18 U.S.C. section 1956, (i) Engaging in Monetary Transactions in Property Derived from Specified Unlawful Activity, 18 U.S.C. section 1957, (j) the Financial Recordkeeping and Reporting of Currency and Foreign Transactions Regulations (Title 31 Part 103 of the US Code of Federal Regulations), (k) any other similar rule by any Sanctions Authority having the force of law and relating to money laundering, terrorist acts or acts of war, and (l) any regulations promulgated under any of the foregoing.</w:t>
      </w:r>
    </w:p>
    <w:p>
      <w:pPr>
        <w:spacing w:after="0" w:line="162"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Owners</w:t>
      </w:r>
      <w:r>
        <w:rPr>
          <w:rFonts w:ascii="Times New Roman" w:cs="Times New Roman" w:eastAsia="Times New Roman" w:hAnsi="Times New Roman"/>
          <w:sz w:val="20"/>
          <w:szCs w:val="20"/>
          <w:color w:val="auto"/>
        </w:rPr>
        <w:t>” means (a) Global Infrastructure Management, LLC, (b) Devonshire Investment Pte. Ltd., (c) MIC TI Holding Company 2 RSC Limited, (d) Global LNG North America Corp., (e) any Qualified Mezzanine Entity, and (f) to the extent satisfying the KYC Requirements, any other Person approved by the Trustee acting at the instruction of the Noteholders of a majority in aggregate principal amount of the Notes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57" w:name="page358"/>
    <w:bookmarkEnd w:id="357"/>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Sale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Sale Proceeds</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Authentication Order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Base Committed Quantity</w:t>
      </w:r>
      <w:r>
        <w:rPr>
          <w:rFonts w:ascii="Times New Roman" w:cs="Times New Roman" w:eastAsia="Times New Roman" w:hAnsi="Times New Roman"/>
          <w:sz w:val="19"/>
          <w:szCs w:val="19"/>
          <w:color w:val="auto"/>
        </w:rPr>
        <w:t xml:space="preserve">” means 844.880 million MMBtu (equivalent to approximately 16.19 MTPA), being the aggregate ACQ under the Initial Offtake Agreements;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w:t>
      </w:r>
      <w:r>
        <w:rPr>
          <w:rFonts w:ascii="Times New Roman" w:cs="Times New Roman" w:eastAsia="Times New Roman" w:hAnsi="Times New Roman"/>
          <w:sz w:val="19"/>
          <w:szCs w:val="19"/>
          <w:b w:val="1"/>
          <w:bCs w:val="1"/>
          <w:u w:val="single" w:color="auto"/>
          <w:color w:val="auto"/>
        </w:rPr>
        <w:t>following the full payment of the required amount of Senior Secured</w:t>
      </w:r>
    </w:p>
    <w:p>
      <w:pPr>
        <w:jc w:val="both"/>
        <w:ind w:left="640"/>
        <w:spacing w:after="0" w:line="248" w:lineRule="auto"/>
        <w:rPr>
          <w:sz w:val="20"/>
          <w:szCs w:val="20"/>
          <w:color w:val="auto"/>
        </w:rPr>
      </w:pPr>
      <w:r>
        <w:rPr>
          <w:rFonts w:ascii="Times New Roman" w:cs="Times New Roman" w:eastAsia="Times New Roman" w:hAnsi="Times New Roman"/>
          <w:sz w:val="20"/>
          <w:szCs w:val="20"/>
          <w:b w:val="1"/>
          <w:bCs w:val="1"/>
          <w:u w:val="single" w:color="auto"/>
          <w:color w:val="auto"/>
        </w:rPr>
        <w:t>Debt (taking into account any amounts offered but not accepted by the Noteholders or other applicable Senior Secured Debt Holders) upon any LNG Sales Mandatory Prepayment Event pursuant to Section 4.8(a), the Base Committed Quantity will be equal to the aggregate ACQ under the Designated Offtake Agreements used to calculate the amount of Senior Secured</w:t>
      </w:r>
    </w:p>
    <w:p>
      <w:pPr>
        <w:spacing w:after="0" w:line="3"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19"/>
          <w:szCs w:val="19"/>
          <w:b w:val="1"/>
          <w:bCs w:val="1"/>
          <w:u w:val="single" w:color="auto"/>
          <w:color w:val="auto"/>
        </w:rPr>
        <w:t>Debt that the Company is not required to repay pursuant to Section 4.8(a), (b)</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extent that any other Offtake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becomes a Designated Offtake Agreement or an existing Designated Offtake Agreement is amended to adjust the quantity of LNG contracted to be sold thereunder, the Base Committed Quantity will be equal to the aggregate ACQ under such Designated Offtake Agreements as at such time</w:t>
      </w:r>
      <w:r>
        <w:rPr>
          <w:rFonts w:ascii="Times New Roman" w:cs="Times New Roman" w:eastAsia="Times New Roman" w:hAnsi="Times New Roman"/>
          <w:sz w:val="19"/>
          <w:szCs w:val="19"/>
          <w:b w:val="1"/>
          <w:bCs w:val="1"/>
          <w:u w:val="single" w:color="auto"/>
          <w:color w:val="auto"/>
        </w:rPr>
        <w:t>,</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color w:val="auto"/>
          <w:strike w:val="1"/>
        </w:rPr>
        <w:t>b</w:t>
      </w:r>
      <w:r>
        <w:rPr>
          <w:rFonts w:ascii="Times New Roman" w:cs="Times New Roman" w:eastAsia="Times New Roman" w:hAnsi="Times New Roman"/>
          <w:sz w:val="19"/>
          <w:szCs w:val="19"/>
          <w:b w:val="1"/>
          <w:bCs w:val="1"/>
          <w:u w:val="single" w:color="auto"/>
          <w:color w:val="auto"/>
        </w:rPr>
        <w:t>c</w:t>
      </w:r>
      <w:r>
        <w:rPr>
          <w:rFonts w:ascii="Times New Roman" w:cs="Times New Roman" w:eastAsia="Times New Roman" w:hAnsi="Times New Roman"/>
          <w:sz w:val="19"/>
          <w:szCs w:val="19"/>
          <w:color w:val="auto"/>
        </w:rPr>
        <w:t xml:space="preserve">) following </w:t>
      </w:r>
      <w:r>
        <w:rPr>
          <w:rFonts w:ascii="Times New Roman" w:cs="Times New Roman" w:eastAsia="Times New Roman" w:hAnsi="Times New Roman"/>
          <w:sz w:val="19"/>
          <w:szCs w:val="19"/>
          <w:color w:val="auto"/>
          <w:strike w:val="1"/>
        </w:rPr>
        <w:t>any</w:t>
      </w:r>
      <w:r>
        <w:rPr>
          <w:rFonts w:ascii="Times New Roman" w:cs="Times New Roman" w:eastAsia="Times New Roman" w:hAnsi="Times New Roman"/>
          <w:sz w:val="19"/>
          <w:szCs w:val="19"/>
          <w:color w:val="auto"/>
        </w:rPr>
        <w:t xml:space="preserve"> prepayment of Senior Secured Debt </w:t>
      </w:r>
      <w:r>
        <w:rPr>
          <w:rFonts w:ascii="Times New Roman" w:cs="Times New Roman" w:eastAsia="Times New Roman" w:hAnsi="Times New Roman"/>
          <w:sz w:val="19"/>
          <w:szCs w:val="19"/>
          <w:b w:val="1"/>
          <w:bCs w:val="1"/>
          <w:u w:val="single" w:color="auto"/>
          <w:color w:val="auto"/>
        </w:rPr>
        <w:t>(other than any prepayment referenced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the foregoing clause (a))</w:t>
      </w:r>
      <w:r>
        <w:rPr>
          <w:rFonts w:ascii="Times New Roman" w:cs="Times New Roman" w:eastAsia="Times New Roman" w:hAnsi="Times New Roman"/>
          <w:sz w:val="19"/>
          <w:szCs w:val="19"/>
          <w:color w:val="auto"/>
        </w:rPr>
        <w:t>, the Base Committed Quantity will be reduced to the minimum ACQ under the Designated Offtake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Agreements in effect at such time that is required to achieve an Indenture Projected DSCR of at least 1.40:1.00 </w:t>
      </w:r>
      <w:r>
        <w:rPr>
          <w:rFonts w:ascii="Times New Roman" w:cs="Times New Roman" w:eastAsia="Times New Roman" w:hAnsi="Times New Roman"/>
          <w:sz w:val="19"/>
          <w:szCs w:val="19"/>
          <w:b w:val="1"/>
          <w:bCs w:val="1"/>
          <w:u w:val="single" w:color="auto"/>
          <w:color w:val="auto"/>
        </w:rPr>
        <w:t>(or, at any time after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any prepayment referenced in clause (a), 1.20:1.00)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based on the Base Case Forecast updated only to reflect such prepayment.</w:t>
      </w:r>
    </w:p>
    <w:p>
      <w:pPr>
        <w:spacing w:after="0" w:line="161"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“beneficially owned” and “beneficial ownership” have a corresponding meaning.</w:t>
      </w:r>
    </w:p>
    <w:p>
      <w:pPr>
        <w:spacing w:after="0" w:line="160"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 (31 C.F.R. § 1010.230).</w:t>
      </w:r>
    </w:p>
    <w:p>
      <w:pPr>
        <w:spacing w:after="0" w:line="125"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Canada Blocked Person</w:t>
      </w:r>
      <w:r>
        <w:rPr>
          <w:rFonts w:ascii="Times New Roman" w:cs="Times New Roman" w:eastAsia="Times New Roman" w:hAnsi="Times New Roman"/>
          <w:sz w:val="20"/>
          <w:szCs w:val="20"/>
          <w:color w:val="auto"/>
        </w:rPr>
        <w:t>” means (i) a “terrorist group” as defined for the purposes of Part II.1 of the Criminal Code (Canada), as amended or (ii) a Person identified in or pursuant to (w) Part II.1 of the Criminal Code (Canada), as amended or (x) the Proceeds of Crime (Money Laundering) and Terrorist Financing Act, as amended or (y) the Justice for Victims of Corrupt Foreign Officials Act (Sergei Magnitsky Law), as amended or (z) regulations or orders promulgated pursuant to the Special Economic Measures Act (Canada), as amended, the United Nations Act (Canada), as amended, or the Freezing Assets of Corrupt Foreign Officials Act (Canada), as amended, in any case pursuant to this clause (ii) as a Person in respect of whose property or benefit a holder of Notes would be prohibited from entering into or facilitating a related financial transaction.</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CD Senior Notes DSRA</w:t>
      </w:r>
      <w:r>
        <w:rPr>
          <w:rFonts w:ascii="Times New Roman" w:cs="Times New Roman" w:eastAsia="Times New Roman" w:hAnsi="Times New Roman"/>
          <w:sz w:val="20"/>
          <w:szCs w:val="20"/>
          <w:color w:val="auto"/>
        </w:rPr>
        <w:t>” has the meaning assigned to such term in the P1 Accounts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58" w:name="page359"/>
    <w:bookmarkEnd w:id="358"/>
    <w:p>
      <w:pPr>
        <w:ind w:left="640"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Order</w:t>
      </w:r>
      <w:r>
        <w:rPr>
          <w:rFonts w:ascii="Times New Roman" w:cs="Times New Roman" w:eastAsia="Times New Roman" w:hAnsi="Times New Roman"/>
          <w:sz w:val="20"/>
          <w:szCs w:val="20"/>
          <w:color w:val="auto"/>
        </w:rPr>
        <w:t>” means, as the context may require, a “Change Order” as defined in the T1/T2 EPC Contract, a “Change Order” as defined in the T3 EPC Contract, or both.</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w:t>
      </w:r>
    </w:p>
    <w:p>
      <w:pPr>
        <w:spacing w:after="0" w:line="206" w:lineRule="exact"/>
        <w:rPr>
          <w:sz w:val="20"/>
          <w:szCs w:val="20"/>
          <w:color w:val="auto"/>
        </w:rPr>
      </w:pPr>
    </w:p>
    <w:p>
      <w:pPr>
        <w:ind w:left="1280" w:hanging="634"/>
        <w:spacing w:after="0" w:line="261" w:lineRule="auto"/>
        <w:tabs>
          <w:tab w:leader="none" w:pos="1158"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Project Completion Date, the Sponsor and the Approved Owners collectively fail to directly or indirectly hold legally and beneficially more than 50% of the total voting and economic Equity Interests of the Company and voting Equity Interests of the Pledgor;</w:t>
      </w:r>
    </w:p>
    <w:p>
      <w:pPr>
        <w:spacing w:after="0" w:line="167" w:lineRule="exact"/>
        <w:rPr>
          <w:rFonts w:ascii="Times New Roman" w:cs="Times New Roman" w:eastAsia="Times New Roman" w:hAnsi="Times New Roman"/>
          <w:sz w:val="20"/>
          <w:szCs w:val="20"/>
          <w:color w:val="auto"/>
        </w:rPr>
      </w:pPr>
    </w:p>
    <w:p>
      <w:pPr>
        <w:ind w:left="1280" w:right="20" w:hanging="634"/>
        <w:spacing w:after="0" w:line="269" w:lineRule="auto"/>
        <w:tabs>
          <w:tab w:leader="none" w:pos="1079"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Project Completion Date, the Sponsor fails to directly or indirectly hold legally and beneficially 15% or more of the voting and economic Equity Interests of the Company;</w:t>
      </w:r>
    </w:p>
    <w:p>
      <w:pPr>
        <w:spacing w:after="0" w:line="145" w:lineRule="exact"/>
        <w:rPr>
          <w:rFonts w:ascii="Times New Roman" w:cs="Times New Roman" w:eastAsia="Times New Roman" w:hAnsi="Times New Roman"/>
          <w:sz w:val="20"/>
          <w:szCs w:val="20"/>
          <w:color w:val="auto"/>
        </w:rPr>
      </w:pPr>
    </w:p>
    <w:p>
      <w:pPr>
        <w:ind w:left="1280" w:hanging="634"/>
        <w:spacing w:after="0" w:line="268" w:lineRule="auto"/>
        <w:tabs>
          <w:tab w:leader="none" w:pos="1111"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Project Completion Date, the Sponsor, any Approved Owners, any Qualified Public Company, any Qualified Investment Entity, any Qualified Offtaker Investor, and any Qualified Energy Company collectively fail to directly or indirectly hold legally and beneficially more than 50% of the total voting and economic Equity Interests of the Company; or</w:t>
      </w:r>
    </w:p>
    <w:p>
      <w:pPr>
        <w:spacing w:after="0" w:line="147" w:lineRule="exact"/>
        <w:rPr>
          <w:rFonts w:ascii="Times New Roman" w:cs="Times New Roman" w:eastAsia="Times New Roman" w:hAnsi="Times New Roman"/>
          <w:sz w:val="20"/>
          <w:szCs w:val="20"/>
          <w:color w:val="auto"/>
        </w:rPr>
      </w:pPr>
    </w:p>
    <w:p>
      <w:pPr>
        <w:ind w:left="1280" w:hanging="634"/>
        <w:spacing w:after="0" w:line="269" w:lineRule="auto"/>
        <w:tabs>
          <w:tab w:leader="none" w:pos="1144"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the Pledgor fails to hold legally and beneficially 100% of the total voting and economic Equity Interests in the Company;</w:t>
      </w:r>
    </w:p>
    <w:p>
      <w:pPr>
        <w:spacing w:after="0" w:line="159"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provided, that in clauses (a), (b), and (c), any Equity Interests of the Pledgor that are held legally and beneficially through an entity of which the Sponsor, any Approved Owners, any Qualified Investment Entity, any Qualified Offtaker Investor, or any Qualified Energy Company, as applicable, is the general partner and has the power, whether by contract, equity ownership, or otherwise, to direct or cause the direction of the policies and management of such entity, shall be included when calculating such percentage; provided, further, that for purposes of clauses (a) and (c) and the definition of Approved Owners, (w) “Global Infrastructure Management, LLC” means Global Infrastructure Management, LLC, its Related Entities and its Affiliates, where (i) “Affiliates” means (A) any Person that is managed or advised by Global Infrastructure Management, LLC or its Related Entities or (B) any trustee, custodian, or nominee of any fund managed or advised by Global Infrastructure Management, LLC or its Related Entities and (ii) “advised” means being in receipt of an implementing advice in relation to the management of investments of that Person which (other than in relation to actually making decisions to implement such advice) is substantially the same as the services which would be provided by a fund manager of the relevant Person, (x) “Devonshire Investment Pte. Ltd.” means Devonshire Investment Pte. Ltd., its Related Entities and its Affiliates, where “Affiliates” means any Person that is, or is managed or advised by, GIC Private Limited or its Related Entities and (y) “MIC TI Holding Company 2 RSC Limited” means MIC TI Holding Company 2 RSC Limited, its Related Entities and its Affiliates, where “Affiliates” means the government of the Emirate of Abu Dhabi and any Person it Controls, whether directly or indirectly.</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59" w:name="page360"/>
    <w:bookmarkEnd w:id="359"/>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Triggering Event</w:t>
      </w:r>
      <w:r>
        <w:rPr>
          <w:rFonts w:ascii="Times New Roman" w:cs="Times New Roman" w:eastAsia="Times New Roman" w:hAnsi="Times New Roman"/>
          <w:sz w:val="20"/>
          <w:szCs w:val="20"/>
          <w:color w:val="auto"/>
        </w:rPr>
        <w:t xml:space="preserve">” means the occurrence of a Change of Control;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Change of Control shall not be deemed to have occurred if the Company shall have received written confirmation that a Rating Reaffirmation shall have occurred.</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and the rules and regulations promulgated thereunder from time to time.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Proceeds</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Terms Agreement</w:t>
      </w:r>
      <w:r>
        <w:rPr>
          <w:rFonts w:ascii="Times New Roman" w:cs="Times New Roman" w:eastAsia="Times New Roman" w:hAnsi="Times New Roman"/>
          <w:sz w:val="20"/>
          <w:szCs w:val="20"/>
          <w:color w:val="auto"/>
        </w:rPr>
        <w:t>” means the Common Terms Agreement, dated as of July 12, 2023, by and among the Company, each Senior Secured Debt Holder Representative that is a party thereto and the P1 Intercreditor Agent.</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set forth in the Preamble hereto.</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Construction Budget and Schedule</w:t>
      </w:r>
      <w:r>
        <w:rPr>
          <w:rFonts w:ascii="Times New Roman" w:cs="Times New Roman" w:eastAsia="Times New Roman" w:hAnsi="Times New Roman"/>
          <w:sz w:val="20"/>
          <w:szCs w:val="20"/>
          <w:color w:val="auto"/>
        </w:rPr>
        <w:t xml:space="preserve">” means (a) a budget attached as </w:t>
      </w:r>
      <w:r>
        <w:rPr>
          <w:rFonts w:ascii="Times New Roman" w:cs="Times New Roman" w:eastAsia="Times New Roman" w:hAnsi="Times New Roman"/>
          <w:sz w:val="20"/>
          <w:szCs w:val="20"/>
          <w:u w:val="single" w:color="auto"/>
          <w:color w:val="auto"/>
        </w:rPr>
        <w:t>Exhibit O-1</w:t>
      </w:r>
      <w:r>
        <w:rPr>
          <w:rFonts w:ascii="Times New Roman" w:cs="Times New Roman" w:eastAsia="Times New Roman" w:hAnsi="Times New Roman"/>
          <w:sz w:val="20"/>
          <w:szCs w:val="20"/>
          <w:color w:val="auto"/>
        </w:rPr>
        <w:t xml:space="preserve"> to the CD Credit Agreement setting forth, on a monthly basis, the timing and amount of all projected payments of P1 Project Costs through the date on which Substantial Completion under each P1 EPC Contract shall have occurred under each of the P1 EPC Contracts and (b) a schedule attached as </w:t>
      </w:r>
      <w:r>
        <w:rPr>
          <w:rFonts w:ascii="Times New Roman" w:cs="Times New Roman" w:eastAsia="Times New Roman" w:hAnsi="Times New Roman"/>
          <w:sz w:val="20"/>
          <w:szCs w:val="20"/>
          <w:u w:val="single" w:color="auto"/>
          <w:color w:val="auto"/>
        </w:rPr>
        <w:t>Exhibit O-2</w:t>
      </w:r>
      <w:r>
        <w:rPr>
          <w:rFonts w:ascii="Times New Roman" w:cs="Times New Roman" w:eastAsia="Times New Roman" w:hAnsi="Times New Roman"/>
          <w:sz w:val="20"/>
          <w:szCs w:val="20"/>
          <w:color w:val="auto"/>
        </w:rPr>
        <w:t xml:space="preserve"> to the CD Credit Agreement setting forth the proposed engineering, procurement, construction and testing milestone schedule for the Project’s Development through the projected date on which Final Completion shall have occurred under each of the P1 EPC Contracts, which budget and schedule shall (i) be certified by the Company as the best reasonable estimate of the information set forth therein as of the Closing Date, (ii) be consistent with the requirements of the P1 Financing Documents and the Material Project Documents, and (iii) as of the Closing Date, be in form and substance acceptable to the Noteholders in consultation with the Independent Engineer, in each case as may be amended, supplemented or otherwise modified to take into account any Change Orders permitted under the CD Credit Agreement.</w:t>
      </w:r>
    </w:p>
    <w:p>
      <w:pPr>
        <w:spacing w:after="0" w:line="173"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Contracted Revenues</w:t>
      </w:r>
      <w:r>
        <w:rPr>
          <w:rFonts w:ascii="Times New Roman" w:cs="Times New Roman" w:eastAsia="Times New Roman" w:hAnsi="Times New Roman"/>
          <w:sz w:val="20"/>
          <w:szCs w:val="20"/>
          <w:color w:val="auto"/>
        </w:rPr>
        <w:t>” means, for any period, Cash Flow projected to be received by the Company during such period under Qualified Offtake Agreements calculated solely to reflect the price paid if no LNG is lifted under Qualified Offtake Agreements then in effect.</w:t>
      </w:r>
    </w:p>
    <w:p>
      <w:pPr>
        <w:spacing w:after="0" w:line="148"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Controlled Subsidiary</w:t>
      </w:r>
      <w:r>
        <w:rPr>
          <w:rFonts w:ascii="Times New Roman" w:cs="Times New Roman" w:eastAsia="Times New Roman" w:hAnsi="Times New Roman"/>
          <w:sz w:val="20"/>
          <w:szCs w:val="20"/>
          <w:color w:val="auto"/>
        </w:rPr>
        <w:t>” means, with respect to any specified Person, a corporation, partnership, joint venture, limited liability company or other Person of which a majority of the Equity Interests of such Person having ordinary voting power or authority for the election or appointment of directors, managers or other governing body (other than Equity Interests having such power or authority only by reason of the happening of a contingency) are at the time beneficially owned, or the management of which is otherwise Controlled, directly or indirectly through one or more intermediaries, or both, by such specified Person.</w:t>
      </w:r>
    </w:p>
    <w:p>
      <w:pPr>
        <w:spacing w:after="0" w:line="17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Trust Office of the Trustee</w:t>
      </w:r>
      <w:r>
        <w:rPr>
          <w:rFonts w:ascii="Times New Roman" w:cs="Times New Roman" w:eastAsia="Times New Roman" w:hAnsi="Times New Roman"/>
          <w:sz w:val="20"/>
          <w:szCs w:val="20"/>
          <w:color w:val="auto"/>
        </w:rPr>
        <w:t xml:space="preserve">” will be at the address of the Trustee specified in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or such other address as to which the Trustee may give notice to the Company and the Noteholders or the designated corporate trust office of any successor Trustee.</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Covenant Defeasance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Custodian</w:t>
      </w:r>
      <w:r>
        <w:rPr>
          <w:rFonts w:ascii="Times New Roman" w:cs="Times New Roman" w:eastAsia="Times New Roman" w:hAnsi="Times New Roman"/>
          <w:sz w:val="19"/>
          <w:szCs w:val="19"/>
          <w:color w:val="auto"/>
        </w:rPr>
        <w:t>” means the Trustee, as custodian with respect to the Notes in registered book-entry form, or any successor entity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60" w:name="page361"/>
    <w:bookmarkEnd w:id="360"/>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Date Certain</w:t>
      </w:r>
      <w:r>
        <w:rPr>
          <w:rFonts w:ascii="Times New Roman" w:cs="Times New Roman" w:eastAsia="Times New Roman" w:hAnsi="Times New Roman"/>
          <w:sz w:val="20"/>
          <w:szCs w:val="20"/>
          <w:color w:val="auto"/>
        </w:rPr>
        <w:t>” shall mean, the “Date Certain” as defined under the CD Credit Agreement, as of the date of this Indenture and without giving effect to how that term may be amended, waived, extended or otherwise modified from time to time, pursuant to the terms of the CD Credit Agreement notwithstanding any contrary provision in any P1 Financing Document.</w:t>
      </w:r>
    </w:p>
    <w:p>
      <w:pPr>
        <w:spacing w:after="0" w:line="148"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Debt Fund Affiliate</w:t>
      </w:r>
      <w:r>
        <w:rPr>
          <w:rFonts w:ascii="Times New Roman" w:cs="Times New Roman" w:eastAsia="Times New Roman" w:hAnsi="Times New Roman"/>
          <w:sz w:val="19"/>
          <w:szCs w:val="19"/>
          <w:color w:val="auto"/>
        </w:rPr>
        <w:t xml:space="preserve">” means any Affiliate of the Company or any if its subsidiaries that is, in each case, a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debt fund or an investment vehicle that is engaged in the making, purchasing, holding or otherwise investing in commercial loans, bonds and similar extensions of credit in the ordinary course, is not organized for the purpose of making equity investments, and with respect to which</w:t>
      </w:r>
    </w:p>
    <w:p>
      <w:pPr>
        <w:spacing w:after="0" w:line="1" w:lineRule="exact"/>
        <w:rPr>
          <w:sz w:val="20"/>
          <w:szCs w:val="20"/>
          <w:color w:val="auto"/>
        </w:rPr>
      </w:pPr>
    </w:p>
    <w:p>
      <w:pPr>
        <w:jc w:val="both"/>
        <w:ind w:left="640" w:firstLine="3"/>
        <w:spacing w:after="0" w:line="249" w:lineRule="auto"/>
        <w:tabs>
          <w:tab w:leader="none" w:pos="925" w:val="left"/>
        </w:tabs>
        <w:numPr>
          <w:ilvl w:val="0"/>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Debt Fund Affiliate has in place customary information barriers between it and the applicable Equity Owner and any Affiliate of the applicable Equity Owner that is not primarily engaged in the investing activities described above, (b) its managers have fiduciary duties to the investors thereof independent of and in addition to their duties to the applicable Equity Owner and any Affiliate of the applicable Equity Owner, and (c) the Equity Owners and investment vehicles managed or advised by any Equity Owner that are not engaged primarily in making, purchasing, holding or otherwise investing in commercial loans, bonds and similar extensions of credit in the ordinary course do not, either directly or indirectly, make investment decisions for such entity.</w:t>
      </w:r>
    </w:p>
    <w:p>
      <w:pPr>
        <w:spacing w:after="0" w:line="162"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 to Equity Ratio</w:t>
      </w:r>
      <w:r>
        <w:rPr>
          <w:rFonts w:ascii="Times New Roman" w:cs="Times New Roman" w:eastAsia="Times New Roman" w:hAnsi="Times New Roman"/>
          <w:sz w:val="20"/>
          <w:szCs w:val="20"/>
          <w:color w:val="auto"/>
        </w:rPr>
        <w:t>” means, as of any date of determination, the ratio of (a) the aggregate principal amount of all Senior Secured Debt (other than the principal of Working Capital Debt) at such time outstanding to (b) the sum of Aggregate Funded Equity and Voluntary Equity Contributions, in each case, made on or prior to such date.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 Relief Law</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(i) any CTA Default and (ii) any other event or condition which, with the giving of notice, lapse of time or upon a declaration or determination being made (or any combination thereof), would become an Event of Default.</w:t>
      </w:r>
    </w:p>
    <w:p>
      <w:pPr>
        <w:spacing w:after="0" w:line="125"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Definitive Note</w:t>
      </w:r>
      <w:r>
        <w:rPr>
          <w:rFonts w:ascii="Times New Roman" w:cs="Times New Roman" w:eastAsia="Times New Roman" w:hAnsi="Times New Roman"/>
          <w:sz w:val="20"/>
          <w:szCs w:val="20"/>
          <w:color w:val="auto"/>
        </w:rPr>
        <w:t xml:space="preserve">” means a certificated Note registered in the name of the Noteholder, issued in accordance with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and, in the case of Initial Notes,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Delivered</w:t>
      </w:r>
      <w:r>
        <w:rPr>
          <w:rFonts w:ascii="Times New Roman" w:cs="Times New Roman" w:eastAsia="Times New Roman" w:hAnsi="Times New Roman"/>
          <w:sz w:val="20"/>
          <w:szCs w:val="20"/>
          <w:color w:val="auto"/>
        </w:rPr>
        <w:t>” refers to quantities of LNG sold “cost, insurance and freight,” “cost and freight,” “delivered ex ship,” “delivered at terminal,” or otherwise where the Company is responsible for the transportation of LNG to a delivery point other than at the Rio Grande Facility under the terms of the relevant Offtake Agreement.</w:t>
      </w:r>
    </w:p>
    <w:p>
      <w:pPr>
        <w:spacing w:after="0" w:line="148"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DOE Export Authorizations</w:t>
      </w:r>
      <w:r>
        <w:rPr>
          <w:rFonts w:ascii="Times New Roman" w:cs="Times New Roman" w:eastAsia="Times New Roman" w:hAnsi="Times New Roman"/>
          <w:sz w:val="20"/>
          <w:szCs w:val="20"/>
          <w:color w:val="auto"/>
        </w:rPr>
        <w:t>” means (a) the Order Granting Long-Term Multi-Contract Authorization to Export LNG to Free Trade Agreement Nations issued by DOE/FE in FE Docket No. 15-190-LNG in its Order No. 3869 on August 17, 2016, and (b) the Opinion and Order Granting Long-Term Multi-Contract Authorization to Export LNG to Non-Free Trade Agreement Nations issued by DOE/FE in FE Docket No. 15-190-LNG in its Order No. 4492 on February 10, 2020, as amended to extend the term in DOE/FE Order No. 4492-A issued on October 21, 2020.</w:t>
      </w:r>
    </w:p>
    <w:p>
      <w:pPr>
        <w:spacing w:after="0" w:line="154" w:lineRule="exact"/>
        <w:rPr>
          <w:sz w:val="20"/>
          <w:szCs w:val="20"/>
          <w:color w:val="auto"/>
        </w:rPr>
      </w:pPr>
    </w:p>
    <w:p>
      <w:pPr>
        <w:jc w:val="both"/>
        <w:ind w:left="64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DOE/FE</w:t>
      </w:r>
      <w:r>
        <w:rPr>
          <w:rFonts w:ascii="Times New Roman" w:cs="Times New Roman" w:eastAsia="Times New Roman" w:hAnsi="Times New Roman"/>
          <w:sz w:val="20"/>
          <w:szCs w:val="20"/>
          <w:color w:val="auto"/>
        </w:rPr>
        <w:t>” means the U.S. Department of Energy, Office of Fossil Energy or, as subsequently renamed, Office of Fossil Energy and Carbon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61" w:name="page362"/>
    <w:bookmarkEnd w:id="361"/>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and Social Action Plan</w:t>
      </w:r>
      <w:r>
        <w:rPr>
          <w:rFonts w:ascii="Times New Roman" w:cs="Times New Roman" w:eastAsia="Times New Roman" w:hAnsi="Times New Roman"/>
          <w:sz w:val="20"/>
          <w:szCs w:val="20"/>
          <w:color w:val="auto"/>
        </w:rPr>
        <w:t>” means the Environmental and Social Action Plan attached to the report of the Environmental Advisor delivered pursuant to this Indenture, together with any updates thereto as may be made from time to time by the Company as required or permitted under the P1 Financing Documents.</w:t>
      </w:r>
    </w:p>
    <w:p>
      <w:pPr>
        <w:spacing w:after="0" w:line="148"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Equator Principles</w:t>
      </w:r>
      <w:r>
        <w:rPr>
          <w:rFonts w:ascii="Times New Roman" w:cs="Times New Roman" w:eastAsia="Times New Roman" w:hAnsi="Times New Roman"/>
          <w:sz w:val="20"/>
          <w:szCs w:val="20"/>
          <w:color w:val="auto"/>
        </w:rPr>
        <w:t>” means the principles named “The Equator Principles EP4 – A financial industry benchmark for determining, assessing and managing environmental and social risk in projects” adopted by various financial institutions in the form dated July 2020 that became effective on October 1, 2020.</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02"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any corporation or trade or business which is a member of any group of organizations: (a) described in Section 414(b) or Section 414(c) of the Code of which the Company is a member and (b) solely for purposes of potential liability under Section 302(b) of ERISA and Section 412(b) of the Code and the lien created under Section 303(k) of ERISA and Section 430(k) of the Code, described in Section 414(m) or Section 414(o) of the Code of which the Company is a member.</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Event</w:t>
      </w:r>
      <w:r>
        <w:rPr>
          <w:rFonts w:ascii="Times New Roman" w:cs="Times New Roman" w:eastAsia="Times New Roman" w:hAnsi="Times New Roman"/>
          <w:sz w:val="20"/>
          <w:szCs w:val="20"/>
          <w:color w:val="auto"/>
        </w:rPr>
        <w:t>” means:</w:t>
      </w:r>
    </w:p>
    <w:p>
      <w:pPr>
        <w:spacing w:after="0" w:line="206" w:lineRule="exact"/>
        <w:rPr>
          <w:sz w:val="20"/>
          <w:szCs w:val="20"/>
          <w:color w:val="auto"/>
        </w:rPr>
      </w:pPr>
    </w:p>
    <w:p>
      <w:pPr>
        <w:jc w:val="right"/>
        <w:ind w:left="1280" w:hanging="634"/>
        <w:spacing w:after="0" w:line="261" w:lineRule="auto"/>
        <w:tabs>
          <w:tab w:leader="none" w:pos="1095"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“reportable event”, as defined in Section 4043 of ERISA or the regulations issued thereunder with respect to a Plan, other than events for which the 30-day notice period has been waived by current regulation under PBGC Regulation Subsections</w:t>
      </w:r>
    </w:p>
    <w:p>
      <w:pPr>
        <w:spacing w:after="0" w:line="1" w:lineRule="exact"/>
        <w:rPr>
          <w:rFonts w:ascii="Times New Roman" w:cs="Times New Roman" w:eastAsia="Times New Roman" w:hAnsi="Times New Roman"/>
          <w:sz w:val="20"/>
          <w:szCs w:val="20"/>
          <w:color w:val="auto"/>
        </w:rPr>
      </w:pPr>
    </w:p>
    <w:p>
      <w:pPr>
        <w:ind w:left="12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.27, .28, .29 or .31;</w:t>
      </w:r>
    </w:p>
    <w:p>
      <w:pPr>
        <w:spacing w:after="0" w:line="186" w:lineRule="exact"/>
        <w:rPr>
          <w:rFonts w:ascii="Times New Roman" w:cs="Times New Roman" w:eastAsia="Times New Roman" w:hAnsi="Times New Roman"/>
          <w:sz w:val="20"/>
          <w:szCs w:val="20"/>
          <w:color w:val="auto"/>
        </w:rPr>
      </w:pPr>
    </w:p>
    <w:p>
      <w:pPr>
        <w:ind w:left="1280" w:hanging="634"/>
        <w:spacing w:after="0" w:line="269" w:lineRule="auto"/>
        <w:tabs>
          <w:tab w:leader="none" w:pos="1118"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with respect to any Plan to meet the minimum funding requirements of Section 412 or Section 430 of the Code or Section 302 or Section 303 of ERISA, whether or not waived;</w:t>
      </w:r>
    </w:p>
    <w:p>
      <w:pPr>
        <w:spacing w:after="0" w:line="159" w:lineRule="exact"/>
        <w:rPr>
          <w:rFonts w:ascii="Times New Roman" w:cs="Times New Roman" w:eastAsia="Times New Roman" w:hAnsi="Times New Roman"/>
          <w:sz w:val="20"/>
          <w:szCs w:val="20"/>
          <w:color w:val="auto"/>
        </w:rPr>
      </w:pPr>
    </w:p>
    <w:p>
      <w:pPr>
        <w:ind w:left="1280" w:right="20" w:hanging="634"/>
        <w:spacing w:after="0" w:line="269" w:lineRule="auto"/>
        <w:tabs>
          <w:tab w:leader="none" w:pos="1149"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pursuant to Section 412(c) of the Code or Section 303 of ERISA of an application for a waiver of the minimum funding standard with respect to any Plan;</w:t>
      </w:r>
    </w:p>
    <w:p>
      <w:pPr>
        <w:spacing w:after="0" w:line="159" w:lineRule="exact"/>
        <w:rPr>
          <w:rFonts w:ascii="Times New Roman" w:cs="Times New Roman" w:eastAsia="Times New Roman" w:hAnsi="Times New Roman"/>
          <w:sz w:val="20"/>
          <w:szCs w:val="20"/>
          <w:color w:val="auto"/>
        </w:rPr>
      </w:pPr>
    </w:p>
    <w:p>
      <w:pPr>
        <w:ind w:left="1280" w:right="20" w:hanging="634"/>
        <w:spacing w:after="0" w:line="269" w:lineRule="auto"/>
        <w:tabs>
          <w:tab w:leader="none" w:pos="1151"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Company or any of its ERISA Affiliates of any liability under Title IV of ERISA with respect to the termination of any Plan;</w:t>
      </w:r>
    </w:p>
    <w:p>
      <w:pPr>
        <w:spacing w:after="0" w:line="145" w:lineRule="exact"/>
        <w:rPr>
          <w:rFonts w:ascii="Times New Roman" w:cs="Times New Roman" w:eastAsia="Times New Roman" w:hAnsi="Times New Roman"/>
          <w:sz w:val="20"/>
          <w:szCs w:val="20"/>
          <w:color w:val="auto"/>
        </w:rPr>
      </w:pPr>
    </w:p>
    <w:p>
      <w:pPr>
        <w:ind w:left="1100" w:hanging="454"/>
        <w:spacing w:after="0"/>
        <w:tabs>
          <w:tab w:leader="none" w:pos="1100"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of notice of intent to terminate a Plan or the treatment of a Plan amendment as a termination under Section 4041 of</w:t>
      </w:r>
    </w:p>
    <w:p>
      <w:pPr>
        <w:spacing w:after="0" w:line="28" w:lineRule="exact"/>
        <w:rPr>
          <w:rFonts w:ascii="Times New Roman" w:cs="Times New Roman" w:eastAsia="Times New Roman" w:hAnsi="Times New Roman"/>
          <w:sz w:val="20"/>
          <w:szCs w:val="20"/>
          <w:color w:val="auto"/>
        </w:rPr>
      </w:pPr>
    </w:p>
    <w:p>
      <w:pPr>
        <w:ind w:left="12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ERISA;</w:t>
      </w:r>
    </w:p>
    <w:p>
      <w:pPr>
        <w:spacing w:after="0" w:line="186" w:lineRule="exact"/>
        <w:rPr>
          <w:rFonts w:ascii="Times New Roman" w:cs="Times New Roman" w:eastAsia="Times New Roman" w:hAnsi="Times New Roman"/>
          <w:sz w:val="20"/>
          <w:szCs w:val="20"/>
          <w:color w:val="auto"/>
        </w:rPr>
      </w:pPr>
    </w:p>
    <w:p>
      <w:pPr>
        <w:ind w:left="1040" w:hanging="394"/>
        <w:spacing w:after="0"/>
        <w:tabs>
          <w:tab w:leader="none" w:pos="1040"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institution of proceedings to terminate a Plan by PBGC or to appoint a trustee to administer any Plan;</w:t>
      </w:r>
    </w:p>
    <w:p>
      <w:pPr>
        <w:spacing w:after="0" w:line="202"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23"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withdrawal by the Company or any of its ERISA Affiliates from a multiple employer plan (within the meaning of Section 4064 of ERISA) during a plan year in which it was a “substantial employer”, as such term is defined under Section 4064 of ERISA, upon the termination of a Multiemployer Plan or the cessation of operations under a Plan pursuant to Section 4062(e) of ERISA;</w:t>
      </w:r>
    </w:p>
    <w:p>
      <w:pPr>
        <w:spacing w:after="0" w:line="172" w:lineRule="exact"/>
        <w:rPr>
          <w:rFonts w:ascii="Times New Roman" w:cs="Times New Roman" w:eastAsia="Times New Roman" w:hAnsi="Times New Roman"/>
          <w:sz w:val="20"/>
          <w:szCs w:val="20"/>
          <w:color w:val="auto"/>
        </w:rPr>
      </w:pPr>
    </w:p>
    <w:p>
      <w:pPr>
        <w:ind w:left="1280" w:hanging="634"/>
        <w:spacing w:after="0" w:line="269" w:lineRule="auto"/>
        <w:tabs>
          <w:tab w:leader="none" w:pos="1210"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the Company or any of its ERISA Affiliates of any liability with respect to the withdrawal or partial withdrawal from any Multiemployer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62" w:name="page363"/>
    <w:bookmarkEnd w:id="362"/>
    <w:p>
      <w:pPr>
        <w:ind w:left="1040" w:hanging="394"/>
        <w:spacing w:after="0"/>
        <w:tabs>
          <w:tab w:leader="none" w:pos="1040" w:val="left"/>
        </w:tabs>
        <w:numPr>
          <w:ilvl w:val="0"/>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attainment of any Plan of “at risk” status within the meaning of Section 430 of the Code or Section 303 of ERISA;</w:t>
      </w:r>
    </w:p>
    <w:p>
      <w:pPr>
        <w:spacing w:after="0" w:line="202" w:lineRule="exact"/>
        <w:rPr>
          <w:rFonts w:ascii="Times New Roman" w:cs="Times New Roman" w:eastAsia="Times New Roman" w:hAnsi="Times New Roman"/>
          <w:sz w:val="20"/>
          <w:szCs w:val="20"/>
          <w:color w:val="auto"/>
        </w:rPr>
      </w:pPr>
    </w:p>
    <w:p>
      <w:pPr>
        <w:ind w:left="1280" w:hanging="634"/>
        <w:spacing w:after="0" w:line="258" w:lineRule="auto"/>
        <w:tabs>
          <w:tab w:leader="none" w:pos="1048" w:val="left"/>
        </w:tabs>
        <w:numPr>
          <w:ilvl w:val="0"/>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or in critical, endangered or critical and declining status, within the meaning of the Code or Title IV of ERISA;</w:t>
      </w:r>
    </w:p>
    <w:p>
      <w:pPr>
        <w:spacing w:after="0" w:line="158" w:lineRule="exact"/>
        <w:rPr>
          <w:rFonts w:ascii="Times New Roman" w:cs="Times New Roman" w:eastAsia="Times New Roman" w:hAnsi="Times New Roman"/>
          <w:sz w:val="20"/>
          <w:szCs w:val="20"/>
          <w:color w:val="auto"/>
        </w:rPr>
      </w:pPr>
    </w:p>
    <w:p>
      <w:pPr>
        <w:ind w:left="1280" w:hanging="634"/>
        <w:spacing w:after="0" w:line="283" w:lineRule="auto"/>
        <w:tabs>
          <w:tab w:leader="none" w:pos="1092" w:val="left"/>
        </w:tabs>
        <w:numPr>
          <w:ilvl w:val="0"/>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the Company or any ERISA Affiliate to pay when due any amount that has become liable to the PBGC, any Plan or trust established thereunder pursuant to Title IV of ERISA or the Code;</w:t>
      </w:r>
    </w:p>
    <w:p>
      <w:pPr>
        <w:spacing w:after="0" w:line="132" w:lineRule="exact"/>
        <w:rPr>
          <w:rFonts w:ascii="Times New Roman" w:cs="Times New Roman" w:eastAsia="Times New Roman" w:hAnsi="Times New Roman"/>
          <w:sz w:val="20"/>
          <w:szCs w:val="20"/>
          <w:color w:val="auto"/>
        </w:rPr>
      </w:pPr>
    </w:p>
    <w:p>
      <w:pPr>
        <w:ind w:left="1040" w:hanging="394"/>
        <w:spacing w:after="0"/>
        <w:tabs>
          <w:tab w:leader="none" w:pos="1040" w:val="left"/>
        </w:tabs>
        <w:numPr>
          <w:ilvl w:val="0"/>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an amendment to a Plan requiring the provision of security to such Plan pursuant to Section 436(f) of the Code;</w:t>
      </w:r>
    </w:p>
    <w:p>
      <w:pPr>
        <w:spacing w:after="0" w:line="202" w:lineRule="exact"/>
        <w:rPr>
          <w:rFonts w:ascii="Times New Roman" w:cs="Times New Roman" w:eastAsia="Times New Roman" w:hAnsi="Times New Roman"/>
          <w:sz w:val="20"/>
          <w:szCs w:val="20"/>
          <w:color w:val="auto"/>
        </w:rPr>
      </w:pPr>
    </w:p>
    <w:p>
      <w:pPr>
        <w:ind w:left="1280" w:hanging="634"/>
        <w:spacing w:after="0" w:line="310" w:lineRule="auto"/>
        <w:tabs>
          <w:tab w:leader="none" w:pos="1135" w:val="left"/>
        </w:tabs>
        <w:numPr>
          <w:ilvl w:val="0"/>
          <w:numId w:val="4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or any of its Controlled Subsidiaries engages in a “prohibited transaction” within the meaning of Section 4975 of the Code or Section 406 of ERISA that is not otherwise exempt by statute, regulation or administrative pronouncement; or</w:t>
      </w:r>
    </w:p>
    <w:p>
      <w:pPr>
        <w:spacing w:after="0" w:line="110" w:lineRule="exact"/>
        <w:rPr>
          <w:rFonts w:ascii="Times New Roman" w:cs="Times New Roman" w:eastAsia="Times New Roman" w:hAnsi="Times New Roman"/>
          <w:sz w:val="19"/>
          <w:szCs w:val="19"/>
          <w:color w:val="auto"/>
        </w:rPr>
      </w:pPr>
    </w:p>
    <w:p>
      <w:pPr>
        <w:ind w:left="1080" w:hanging="434"/>
        <w:spacing w:after="0"/>
        <w:tabs>
          <w:tab w:leader="none" w:pos="1080" w:val="left"/>
        </w:tabs>
        <w:numPr>
          <w:ilvl w:val="0"/>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 lien under ERISA or the Code with respect to any Plan or Multiemployer Plan.</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Loss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Asset Sale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of the SEC promulgated thereunder.</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Export Authorization Remediation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 Independent Engineer</w:t>
      </w:r>
      <w:r>
        <w:rPr>
          <w:rFonts w:ascii="Times New Roman" w:cs="Times New Roman" w:eastAsia="Times New Roman" w:hAnsi="Times New Roman"/>
          <w:sz w:val="20"/>
          <w:szCs w:val="20"/>
          <w:color w:val="auto"/>
        </w:rPr>
        <w:t>” has the meaning assigned to such term in the Definitions Agreement.</w:t>
      </w:r>
    </w:p>
    <w:p>
      <w:pPr>
        <w:spacing w:after="0" w:line="216"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0"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Completion</w:t>
      </w:r>
      <w:r>
        <w:rPr>
          <w:rFonts w:ascii="Times New Roman" w:cs="Times New Roman" w:eastAsia="Times New Roman" w:hAnsi="Times New Roman"/>
          <w:sz w:val="20"/>
          <w:szCs w:val="20"/>
          <w:color w:val="auto"/>
        </w:rPr>
        <w:t>” means, as the context may require, a “Final Completion” as defined in the T1/T2 EPC Contract, a “Final Completion” as defined in the T3 EPC Contract, or both.</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Noteholder</w:t>
      </w:r>
      <w:r>
        <w:rPr>
          <w:rFonts w:ascii="Times New Roman" w:cs="Times New Roman" w:eastAsia="Times New Roman" w:hAnsi="Times New Roman"/>
          <w:sz w:val="20"/>
          <w:szCs w:val="20"/>
          <w:color w:val="auto"/>
        </w:rPr>
        <w:t>” means a Noteholder that is not a U.S. Noteholder.</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Shortfall Debt</w:t>
      </w:r>
      <w:r>
        <w:rPr>
          <w:rFonts w:ascii="Times New Roman" w:cs="Times New Roman" w:eastAsia="Times New Roman" w:hAnsi="Times New Roman"/>
          <w:sz w:val="20"/>
          <w:szCs w:val="20"/>
          <w:color w:val="auto"/>
        </w:rPr>
        <w:t>” means Supplemental Debt that satisfies: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63" w:name="page364"/>
    <w:bookmarkEnd w:id="363"/>
    <w:p>
      <w:pPr>
        <w:ind w:left="1060" w:hanging="414"/>
        <w:spacing w:after="0"/>
        <w:tabs>
          <w:tab w:leader="none" w:pos="1060" w:val="left"/>
        </w:tabs>
        <w:numPr>
          <w:ilvl w:val="0"/>
          <w:numId w:val="4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conditions set forth in Section 2.6 (</w:t>
      </w:r>
      <w:r>
        <w:rPr>
          <w:rFonts w:ascii="Times New Roman" w:cs="Times New Roman" w:eastAsia="Times New Roman" w:hAnsi="Times New Roman"/>
          <w:sz w:val="20"/>
          <w:szCs w:val="20"/>
          <w:i w:val="1"/>
          <w:iCs w:val="1"/>
          <w:color w:val="auto"/>
        </w:rPr>
        <w:t>Supplemental Debt</w:t>
      </w:r>
      <w:r>
        <w:rPr>
          <w:rFonts w:ascii="Times New Roman" w:cs="Times New Roman" w:eastAsia="Times New Roman" w:hAnsi="Times New Roman"/>
          <w:sz w:val="20"/>
          <w:szCs w:val="20"/>
          <w:color w:val="auto"/>
        </w:rPr>
        <w:t>) of the Common Terms Agreement,</w:t>
      </w:r>
    </w:p>
    <w:p>
      <w:pPr>
        <w:spacing w:after="0" w:line="206"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4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conditions set forth in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4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conditions:</w:t>
      </w:r>
    </w:p>
    <w:p>
      <w:pPr>
        <w:spacing w:after="0" w:line="202" w:lineRule="exact"/>
        <w:rPr>
          <w:rFonts w:ascii="Times New Roman" w:cs="Times New Roman" w:eastAsia="Times New Roman" w:hAnsi="Times New Roman"/>
          <w:sz w:val="20"/>
          <w:szCs w:val="20"/>
          <w:color w:val="auto"/>
        </w:rPr>
      </w:pPr>
    </w:p>
    <w:p>
      <w:pPr>
        <w:ind w:left="1920" w:hanging="636"/>
        <w:spacing w:after="0" w:line="263" w:lineRule="auto"/>
        <w:tabs>
          <w:tab w:leader="none" w:pos="1675" w:val="left"/>
        </w:tabs>
        <w:numPr>
          <w:ilvl w:val="1"/>
          <w:numId w:val="4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principal amount of such Funding Shortfall Debt does not exceed: (A) (1) if incurred prior to the Project Completion Date or the completion date of the Permitted Capital Improvement (as applicable), an amount equal to 75% of the aggregate amount of P1 Project Costs, or the costs of such Permitted Capital Improvement (as applicable) and (2) if incurred on or after the Project Completion Date or the completion date of the applicable Capital Improvement (as applicable), (x) in the case of Funding Shortfall Debt incurred to finance P1 Project Costs, an amount that, together with all funded or unfunded commitments under the CD Construction/Term Loans, the TCF </w:t>
      </w:r>
      <w:r>
        <w:rPr>
          <w:rFonts w:ascii="Times New Roman" w:cs="Times New Roman" w:eastAsia="Times New Roman" w:hAnsi="Times New Roman"/>
          <w:sz w:val="19"/>
          <w:szCs w:val="19"/>
          <w:color w:val="auto"/>
          <w:strike w:val="1"/>
        </w:rPr>
        <w:t>Construction/Term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Senior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Loans, the Notes, any Supplemental Debt incurred to fund such P1 Project Costs, any Replacement Debt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incurred to replace such funded or unfunded commitments, and any other Funding Shortfall Debt to finance P1 Project Costs, does not exceed 75% of aggregate P1 Project Costs as at the Project Completion Date or (y) in the case of Funding Shortfall Debt incurred to finance Permitted Capital Improvements, an amount that, together with all Senior Secured Debt incurred to finance such Permitted Capital Improvement, does not exceed 75% of aggregate costs in respect of such Permitted Capital Improvement as at the completion of such Permitted Capital Improvement, </w:t>
      </w:r>
      <w:r>
        <w:rPr>
          <w:rFonts w:ascii="Times New Roman" w:cs="Times New Roman" w:eastAsia="Times New Roman" w:hAnsi="Times New Roman"/>
          <w:sz w:val="19"/>
          <w:szCs w:val="19"/>
          <w:i w:val="1"/>
          <w:iCs w:val="1"/>
          <w:color w:val="auto"/>
        </w:rPr>
        <w:t xml:space="preserve">plus </w:t>
      </w:r>
      <w:r>
        <w:rPr>
          <w:rFonts w:ascii="Times New Roman" w:cs="Times New Roman" w:eastAsia="Times New Roman" w:hAnsi="Times New Roman"/>
          <w:sz w:val="19"/>
          <w:szCs w:val="19"/>
          <w:color w:val="auto"/>
        </w:rPr>
        <w:t>(B) all premiums, fees, costs, expenses, and reserves (including any incremental increase in the DSRA Reserve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Amounts resulting from the incurrence of such Funding Shortfall Debt) associated with arranging, issuing and incurring such Funding Shortfall Debt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(C) 105% of the P1 IR Hedge Termination Amounts reasonably projected as of such date of incurrence to be due and payable by the Company with respect to any portion of one or more Senior Secured IR Hedge Agreement to be terminated in connection with any such incurrence;</w:t>
      </w:r>
    </w:p>
    <w:p>
      <w:pPr>
        <w:spacing w:after="0" w:line="168" w:lineRule="exact"/>
        <w:rPr>
          <w:rFonts w:ascii="Times New Roman" w:cs="Times New Roman" w:eastAsia="Times New Roman" w:hAnsi="Times New Roman"/>
          <w:sz w:val="19"/>
          <w:szCs w:val="19"/>
          <w:color w:val="auto"/>
        </w:rPr>
      </w:pPr>
    </w:p>
    <w:p>
      <w:pPr>
        <w:ind w:left="1920" w:hanging="636"/>
        <w:spacing w:after="0" w:line="269" w:lineRule="auto"/>
        <w:tabs>
          <w:tab w:leader="none" w:pos="1885" w:val="left"/>
        </w:tabs>
        <w:numPr>
          <w:ilvl w:val="1"/>
          <w:numId w:val="4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Funding Shortfall Debt is incurred prior to the second anniversary of the Project Completion Date or the completion date of such Permitted Capital Improvement (as applicable); and</w:t>
      </w:r>
    </w:p>
    <w:p>
      <w:pPr>
        <w:spacing w:after="0" w:line="145" w:lineRule="exact"/>
        <w:rPr>
          <w:rFonts w:ascii="Times New Roman" w:cs="Times New Roman" w:eastAsia="Times New Roman" w:hAnsi="Times New Roman"/>
          <w:sz w:val="20"/>
          <w:szCs w:val="20"/>
          <w:color w:val="auto"/>
        </w:rPr>
      </w:pPr>
    </w:p>
    <w:p>
      <w:pPr>
        <w:ind w:left="1920" w:hanging="636"/>
        <w:spacing w:after="0" w:line="268" w:lineRule="auto"/>
        <w:tabs>
          <w:tab w:leader="none" w:pos="1800" w:val="left"/>
        </w:tabs>
        <w:numPr>
          <w:ilvl w:val="1"/>
          <w:numId w:val="4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simultaneously with the incurrence of any Funding Shortfall Debt, the Company shall use a portion of the proceeds of such Funding Shortfall Debt to fund any reserves (including any incremental increase in the DSRA Reserve Amounts) resulting from the incurrence of such Funding Shortfall Debt.</w:t>
      </w:r>
    </w:p>
    <w:p>
      <w:pPr>
        <w:spacing w:after="0" w:line="144"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xml:space="preserve">” means any </w:t>
      </w:r>
      <w:r>
        <w:rPr>
          <w:rFonts w:ascii="Times New Roman" w:cs="Times New Roman" w:eastAsia="Times New Roman" w:hAnsi="Times New Roman"/>
          <w:sz w:val="20"/>
          <w:szCs w:val="20"/>
          <w:color w:val="auto"/>
          <w:strike w:val="1"/>
        </w:rPr>
        <w:t>Subsidiary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subsidiary</w:t>
      </w:r>
      <w:r>
        <w:rPr>
          <w:rFonts w:ascii="Times New Roman" w:cs="Times New Roman" w:eastAsia="Times New Roman" w:hAnsi="Times New Roman"/>
          <w:sz w:val="20"/>
          <w:szCs w:val="20"/>
          <w:color w:val="auto"/>
        </w:rPr>
        <w:t xml:space="preserve"> of the Company which provides a Note Guarantee pursuant to or in accordance with this Indenture and its successors and assigns, in each case, until the Note Guarantee of such Person has been released in accordance with the provisions of this Indenture.</w:t>
      </w:r>
    </w:p>
    <w:p>
      <w:pPr>
        <w:spacing w:after="0" w:line="148"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 Securities</w:t>
      </w:r>
      <w:r>
        <w:rPr>
          <w:rFonts w:ascii="Times New Roman" w:cs="Times New Roman" w:eastAsia="Times New Roman" w:hAnsi="Times New Roman"/>
          <w:sz w:val="20"/>
          <w:szCs w:val="20"/>
          <w:color w:val="auto"/>
        </w:rPr>
        <w:t>” means direct obligations of, or obligations guaranteed by, the United States of America, and the payment for which the United States of America pledges its full faith and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64" w:name="page365"/>
    <w:bookmarkEnd w:id="364"/>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Historical DSCR</w:t>
      </w:r>
      <w:r>
        <w:rPr>
          <w:rFonts w:ascii="Times New Roman" w:cs="Times New Roman" w:eastAsia="Times New Roman" w:hAnsi="Times New Roman"/>
          <w:sz w:val="20"/>
          <w:szCs w:val="20"/>
          <w:color w:val="auto"/>
        </w:rPr>
        <w:t xml:space="preserve">” has the meaning set forth in the Common Terms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all purposes under this Indenture, “Historical DSCR” shall be deemed to exclude </w:t>
      </w:r>
      <w:r>
        <w:rPr>
          <w:rFonts w:ascii="Times New Roman" w:cs="Times New Roman" w:eastAsia="Times New Roman" w:hAnsi="Times New Roman"/>
          <w:sz w:val="20"/>
          <w:szCs w:val="20"/>
          <w:u w:val="single" w:color="auto"/>
          <w:color w:val="auto"/>
        </w:rPr>
        <w:t>subclause (b)(vii)</w:t>
      </w:r>
      <w:r>
        <w:rPr>
          <w:rFonts w:ascii="Times New Roman" w:cs="Times New Roman" w:eastAsia="Times New Roman" w:hAnsi="Times New Roman"/>
          <w:sz w:val="20"/>
          <w:szCs w:val="20"/>
          <w:color w:val="auto"/>
        </w:rPr>
        <w:t xml:space="preserve"> of the definition thereof in the Common Terms Agreement.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HMT</w:t>
      </w:r>
      <w:r>
        <w:rPr>
          <w:rFonts w:ascii="Times New Roman" w:cs="Times New Roman" w:eastAsia="Times New Roman" w:hAnsi="Times New Roman"/>
          <w:sz w:val="20"/>
          <w:szCs w:val="20"/>
          <w:color w:val="auto"/>
        </w:rPr>
        <w:t>” means His Majesty’s Treasury, the economic and finance ministry of the United Kingdom.</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incur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xml:space="preserve">” means any taxes, which term includes any interest, additions to tax or penalties applicable in respect thereof, imposed on or with respect to any payment made by or on account of any obligation of the Company under any Notes Document other than any of the following taxes imposed on or with respect to a Noteholder or required to be withheld or deducted from a payment to a Noteholder: (a) taxes imposed on or measured by net income (however denominated), franchise taxes, and branch profits taxes, in each case, (i) imposed as a result of such Noteholder being organized under the laws of, or having its principal office or its applicable lending office located in, the jurisdiction imposing such tax (or any political subdivision thereof) or (ii) imposed as a result of a present or former connection between such Noteholder and the jurisdiction imposing such tax (other than connections arising from such holder of a Note having executed, delivered, become a party to, performed its obligations under, received payments under, received or perfected a security interest under, engaged in any other transaction pursuant to or enforced any Notes Document, or sold or assigned an interest in any Note or Notes Document), (b) U.S. federal withholding taxes imposed on amounts payable to or for the account of such Noteholder with respect to an applicable interest in a Note pursuant to a law in effect on the date on which (i) such Noteholder acquires such interest in the Note or (ii) such Noteholder changes its lending office, except in each case to the extent that, pursuant to Section 2.15, amounts with respect to such taxes were payable either to an assignor of such Noteholder immediately before such Noteholder acquired the Note or to such Noteholder immediately before it changed its lending office, (c) taxes attributable to the failure of such holder of the Notes to comply with Section </w:t>
      </w:r>
      <w:r>
        <w:rPr>
          <w:rFonts w:ascii="Times New Roman" w:cs="Times New Roman" w:eastAsia="Times New Roman" w:hAnsi="Times New Roman"/>
          <w:sz w:val="20"/>
          <w:szCs w:val="20"/>
          <w:u w:val="single" w:color="auto"/>
          <w:color w:val="auto"/>
        </w:rPr>
        <w:t>2.15(d)</w:t>
      </w:r>
      <w:r>
        <w:rPr>
          <w:rFonts w:ascii="Times New Roman" w:cs="Times New Roman" w:eastAsia="Times New Roman" w:hAnsi="Times New Roman"/>
          <w:sz w:val="20"/>
          <w:szCs w:val="20"/>
          <w:color w:val="auto"/>
        </w:rPr>
        <w:t xml:space="preserve"> and (d) any U.S. federal withholding taxes imposed under FATCA.</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means this Indenture, as amended or supplemented from time to time.</w:t>
      </w:r>
    </w:p>
    <w:p>
      <w:pPr>
        <w:spacing w:after="0" w:line="202"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 Debt Service Reserve Amount</w:t>
      </w:r>
      <w:r>
        <w:rPr>
          <w:rFonts w:ascii="Times New Roman" w:cs="Times New Roman" w:eastAsia="Times New Roman" w:hAnsi="Times New Roman"/>
          <w:sz w:val="20"/>
          <w:szCs w:val="20"/>
          <w:color w:val="auto"/>
        </w:rPr>
        <w:t xml:space="preserve">” means as of any date of determination, an amount reasonably projected by the Company to be the amount necessary to pay the forecasted Debt Service in respect of the Notes from such date through (and including) the next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calculation of the amount specified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Debt Service, any final balloon payment or bullet maturity of Senior Secured Debt shall not be taken into account and instead only the equivalent of the principal payment on the immediately preceding Interest Payment Date prior to such balloon payment or bullet maturity shall be taken into account.</w:t>
      </w:r>
    </w:p>
    <w:p>
      <w:pPr>
        <w:spacing w:after="0" w:line="173"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 Projected CFADS</w:t>
      </w:r>
      <w:r>
        <w:rPr>
          <w:rFonts w:ascii="Times New Roman" w:cs="Times New Roman" w:eastAsia="Times New Roman" w:hAnsi="Times New Roman"/>
          <w:sz w:val="20"/>
          <w:szCs w:val="20"/>
          <w:color w:val="auto"/>
        </w:rPr>
        <w:t xml:space="preserve">” means, for any period, an amount equal to (a) the amount of Cash Flow from Contracted Revenues projected to be received by the Company during such period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(b) all amounts projected to be paid during such period pursuant to Sections 3.3(c)(i) and 3.3(c)(ii) (</w:t>
      </w:r>
      <w:r>
        <w:rPr>
          <w:rFonts w:ascii="Times New Roman" w:cs="Times New Roman" w:eastAsia="Times New Roman" w:hAnsi="Times New Roman"/>
          <w:sz w:val="20"/>
          <w:szCs w:val="20"/>
          <w:i w:val="1"/>
          <w:iCs w:val="1"/>
          <w:color w:val="auto"/>
        </w:rPr>
        <w:t>P1 Revenue Account</w:t>
      </w:r>
      <w:r>
        <w:rPr>
          <w:rFonts w:ascii="Times New Roman" w:cs="Times New Roman" w:eastAsia="Times New Roman" w:hAnsi="Times New Roman"/>
          <w:sz w:val="20"/>
          <w:szCs w:val="20"/>
          <w:color w:val="auto"/>
        </w:rPr>
        <w:t>) of the P1 Accounts Agreement (other than any fee projected to be payable to any Senior Secured Party), which amounts under this clause (b) shall exclude any such amounts that (i) are related to the lifting of LNG or (ii) are P1 Project Costs, RCI EPC CAPEX (as defined in the Definitions Agreement), or RCI Owners’ Costs (as defined in the Definitions Agreement), in each case, to the extent funded with Indebtedness or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65" w:name="page366"/>
    <w:bookmarkEnd w:id="365"/>
    <w:p>
      <w:pPr>
        <w:jc w:val="both"/>
        <w:ind w:left="64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Indenture Projected DSCR</w:t>
      </w:r>
      <w:r>
        <w:rPr>
          <w:rFonts w:ascii="Times New Roman" w:cs="Times New Roman" w:eastAsia="Times New Roman" w:hAnsi="Times New Roman"/>
          <w:sz w:val="20"/>
          <w:szCs w:val="20"/>
          <w:color w:val="auto"/>
        </w:rPr>
        <w:t xml:space="preserve">” means, for the applicable period, the ratio of (a) Indenture Projected CFADS to (b) Debt Service (other than (i) principal of Working Capital Debt and the principal amount of Senior Secured Debt payable on the Maturity Date thereof, (ii) commitment fees, front-end fees and up-front fees paid prior to the Project Completion Date or, if later, out of the proceeds of Senior Secured Debt, (iii) LC Costs, (iv) interest in respect of the Senior Secured Debt and Senior Secured Obligations under Senior Secured IR Hedge Agreements, in each case, paid prior to the Project Completion Date, (v) amounts payable under Senior Secured Hedge Agreements that are not in respect of interest rates, (vi) without duplication of amounts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P1 Hedge Termination Amounts under Senior Secured Hedge Agreements, and (vii) for purposes of satisfying the conditions set forth in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incremental carrying costs of such Senior Secured Debt and the costs associated with arranging, issuing, and incurring such Senior Secured Debt projected for such period</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Notes</w:t>
      </w:r>
      <w:r>
        <w:rPr>
          <w:rFonts w:ascii="Times New Roman" w:cs="Times New Roman" w:eastAsia="Times New Roman" w:hAnsi="Times New Roman"/>
          <w:sz w:val="20"/>
          <w:szCs w:val="20"/>
          <w:color w:val="auto"/>
        </w:rPr>
        <w:t>” means $700,000,000 aggregate principal amount of 6.67% Senior Secured Notes due 2033 issued under this Indenture on the date hereof.</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Offtakers</w:t>
      </w:r>
      <w:r>
        <w:rPr>
          <w:rFonts w:ascii="Times New Roman" w:cs="Times New Roman" w:eastAsia="Times New Roman" w:hAnsi="Times New Roman"/>
          <w:sz w:val="20"/>
          <w:szCs w:val="20"/>
          <w:color w:val="auto"/>
        </w:rPr>
        <w:t>” means:</w:t>
      </w:r>
    </w:p>
    <w:p>
      <w:pPr>
        <w:spacing w:after="0" w:line="206" w:lineRule="exact"/>
        <w:rPr>
          <w:sz w:val="20"/>
          <w:szCs w:val="20"/>
          <w:color w:val="auto"/>
        </w:rPr>
      </w:pPr>
    </w:p>
    <w:p>
      <w:pPr>
        <w:ind w:left="1120" w:hanging="474"/>
        <w:spacing w:after="0"/>
        <w:tabs>
          <w:tab w:leader="none" w:pos="1120"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China Gas Hongda Energy Trading Co., Ltd.;</w:t>
      </w:r>
    </w:p>
    <w:p>
      <w:pPr>
        <w:spacing w:after="0" w:line="202"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Engie S.A.;</w:t>
      </w:r>
    </w:p>
    <w:p>
      <w:pPr>
        <w:spacing w:after="0" w:line="215"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ENN LNG (Singapore) Pte. Ltd.;</w:t>
      </w:r>
    </w:p>
    <w:p>
      <w:pPr>
        <w:spacing w:after="0" w:line="202"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ExxonMobil Asia Pacific Pte. Ltd.;</w:t>
      </w:r>
    </w:p>
    <w:p>
      <w:pPr>
        <w:spacing w:after="0" w:line="202"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Galp Trading S.A.;</w:t>
      </w:r>
    </w:p>
    <w:p>
      <w:pPr>
        <w:spacing w:after="0" w:line="202" w:lineRule="exact"/>
        <w:rPr>
          <w:rFonts w:ascii="Times New Roman" w:cs="Times New Roman" w:eastAsia="Times New Roman" w:hAnsi="Times New Roman"/>
          <w:sz w:val="20"/>
          <w:szCs w:val="20"/>
          <w:color w:val="auto"/>
        </w:rPr>
      </w:pPr>
    </w:p>
    <w:p>
      <w:pPr>
        <w:ind w:left="1040" w:hanging="394"/>
        <w:spacing w:after="0"/>
        <w:tabs>
          <w:tab w:leader="none" w:pos="1040"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Guangdong Energy Group Natural Gas Co., Ltd.;</w:t>
      </w:r>
    </w:p>
    <w:p>
      <w:pPr>
        <w:spacing w:after="0" w:line="215"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Guangdong Energy Group Co., Ltd.;</w:t>
      </w:r>
    </w:p>
    <w:p>
      <w:pPr>
        <w:spacing w:after="0" w:line="202"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Itochu Corporation;</w:t>
      </w:r>
    </w:p>
    <w:p>
      <w:pPr>
        <w:spacing w:after="0" w:line="202" w:lineRule="exact"/>
        <w:rPr>
          <w:rFonts w:ascii="Times New Roman" w:cs="Times New Roman" w:eastAsia="Times New Roman" w:hAnsi="Times New Roman"/>
          <w:sz w:val="20"/>
          <w:szCs w:val="20"/>
          <w:color w:val="auto"/>
        </w:rPr>
      </w:pPr>
    </w:p>
    <w:p>
      <w:pPr>
        <w:ind w:left="1040" w:hanging="394"/>
        <w:spacing w:after="0"/>
        <w:tabs>
          <w:tab w:leader="none" w:pos="1040"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Shell NA LNG LLC; and</w:t>
      </w:r>
    </w:p>
    <w:p>
      <w:pPr>
        <w:spacing w:after="0" w:line="202" w:lineRule="exact"/>
        <w:rPr>
          <w:rFonts w:ascii="Times New Roman" w:cs="Times New Roman" w:eastAsia="Times New Roman" w:hAnsi="Times New Roman"/>
          <w:sz w:val="20"/>
          <w:szCs w:val="20"/>
          <w:color w:val="auto"/>
        </w:rPr>
      </w:pPr>
    </w:p>
    <w:p>
      <w:pPr>
        <w:ind w:left="1020" w:hanging="374"/>
        <w:spacing w:after="0"/>
        <w:tabs>
          <w:tab w:leader="none" w:pos="1020"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TotalEnergies Gas &amp; Power North America, Inc.</w:t>
      </w:r>
    </w:p>
    <w:p>
      <w:pPr>
        <w:spacing w:after="0" w:line="212" w:lineRule="exact"/>
        <w:rPr>
          <w:sz w:val="20"/>
          <w:szCs w:val="20"/>
          <w:color w:val="auto"/>
        </w:rPr>
      </w:pPr>
    </w:p>
    <w:p>
      <w:pPr>
        <w:ind w:left="64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Institutional Accredited Investor</w:t>
      </w:r>
      <w:r>
        <w:rPr>
          <w:rFonts w:ascii="Times New Roman" w:cs="Times New Roman" w:eastAsia="Times New Roman" w:hAnsi="Times New Roman"/>
          <w:sz w:val="20"/>
          <w:szCs w:val="20"/>
          <w:color w:val="auto"/>
        </w:rPr>
        <w:t>” means an institution that is an “accredited investor” as defined in Rule 501(a)(1), (2), (3), (7) or (9) under the Securities Act, who is not also a QIB.</w:t>
      </w:r>
    </w:p>
    <w:p>
      <w:pPr>
        <w:spacing w:after="0" w:line="138"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Institutional Investor</w:t>
      </w:r>
      <w:r>
        <w:rPr>
          <w:rFonts w:ascii="Times New Roman" w:cs="Times New Roman" w:eastAsia="Times New Roman" w:hAnsi="Times New Roman"/>
          <w:sz w:val="20"/>
          <w:szCs w:val="20"/>
          <w:color w:val="auto"/>
        </w:rPr>
        <w:t>” means (a) any Noteholder holding (together with one or more of its affiliates) more than 15% of the aggregate principal amount of the Notes then outstanding, (b) any bank, trust company, savings and loan association or other financial institution, any pension plan, any investment company, any insurance company, any broker or dealer, or any other similar financial institution or entity, regardless of legal form, and (c) any Related Fund of any Noteholder referred to in clause (a).</w:t>
      </w:r>
    </w:p>
    <w:p>
      <w:pPr>
        <w:spacing w:after="0" w:line="151"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means September 30 and March 30 of each year, commencing on September 30, 2023, or if any such day is not a Business Day, the next succeeding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66" w:name="page367"/>
    <w:bookmarkEnd w:id="366"/>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Grade</w:t>
      </w:r>
      <w:r>
        <w:rPr>
          <w:rFonts w:ascii="Times New Roman" w:cs="Times New Roman" w:eastAsia="Times New Roman" w:hAnsi="Times New Roman"/>
          <w:sz w:val="20"/>
          <w:szCs w:val="20"/>
          <w:color w:val="auto"/>
        </w:rPr>
        <w:t>” means that such person is rated by at least one Recognized Credit Rating Agency and at least one such rating is equal to or better than “Baa3” by Moody’s, “BBB-” by S&amp;P, “BBB-” by Fitch, or a comparable credit rating that is a Recognized Credit Rating Agency.</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Issue Date</w:t>
      </w:r>
      <w:r>
        <w:rPr>
          <w:rFonts w:ascii="Times New Roman" w:cs="Times New Roman" w:eastAsia="Times New Roman" w:hAnsi="Times New Roman"/>
          <w:sz w:val="20"/>
          <w:szCs w:val="20"/>
          <w:color w:val="auto"/>
        </w:rPr>
        <w:t>” means the first date of original issuance of the Notes under this Indenture.</w:t>
      </w:r>
    </w:p>
    <w:p>
      <w:pPr>
        <w:spacing w:after="0" w:line="216" w:lineRule="exact"/>
        <w:rPr>
          <w:sz w:val="20"/>
          <w:szCs w:val="20"/>
          <w:color w:val="auto"/>
        </w:rPr>
      </w:pPr>
    </w:p>
    <w:p>
      <w:pPr>
        <w:jc w:val="both"/>
        <w:ind w:left="64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KYC Requirements</w:t>
      </w:r>
      <w:r>
        <w:rPr>
          <w:rFonts w:ascii="Times New Roman" w:cs="Times New Roman" w:eastAsia="Times New Roman" w:hAnsi="Times New Roman"/>
          <w:sz w:val="20"/>
          <w:szCs w:val="20"/>
          <w:color w:val="auto"/>
        </w:rPr>
        <w:t>” means the consistently applied “know your customer” requirements of the Noteholders under applicable “know your customer” and Anti-Terrorism and Money Laundering Laws, including the USA Patriot Act.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Legal Defeasance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Liquefaction Owners</w:t>
      </w:r>
      <w:r>
        <w:rPr>
          <w:rFonts w:ascii="Times New Roman" w:cs="Times New Roman" w:eastAsia="Times New Roman" w:hAnsi="Times New Roman"/>
          <w:sz w:val="20"/>
          <w:szCs w:val="20"/>
          <w:color w:val="auto"/>
        </w:rPr>
        <w:t>” means (a) the Company and (b) any other Person that (i) is permitted under the CFAA to construct and own the assets comprising a Train Facility, (ii) has entered into a construction advisor services agreement in respect of a Subsequent Train Facility, and (iii) has acceded to the RG Facility Agreements in accordance therewith.</w:t>
      </w:r>
    </w:p>
    <w:p>
      <w:pPr>
        <w:spacing w:after="0" w:line="148"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Sales Mandatory Prepayment Event</w:t>
      </w:r>
      <w:r>
        <w:rPr>
          <w:rFonts w:ascii="Times New Roman" w:cs="Times New Roman" w:eastAsia="Times New Roman" w:hAnsi="Times New Roman"/>
          <w:sz w:val="20"/>
          <w:szCs w:val="20"/>
          <w:color w:val="auto"/>
        </w:rPr>
        <w:t xml:space="preserve">” means any event triggering a mandatory prepayment or any requirement to make an offer to prepay (including any such requirement pursuant to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of Senior Secured Debt in connection with the termination of a Offtake Agreement or any Impairment of any related Government</w:t>
      </w:r>
      <w:r>
        <w:rPr>
          <w:rFonts w:ascii="Times New Roman" w:cs="Times New Roman" w:eastAsia="Times New Roman" w:hAnsi="Times New Roman"/>
          <w:sz w:val="20"/>
          <w:szCs w:val="20"/>
          <w:color w:val="auto"/>
          <w:strike w:val="1"/>
        </w:rPr>
        <w:t>al</w:t>
      </w:r>
      <w:r>
        <w:rPr>
          <w:rFonts w:ascii="Times New Roman" w:cs="Times New Roman" w:eastAsia="Times New Roman" w:hAnsi="Times New Roman"/>
          <w:sz w:val="20"/>
          <w:szCs w:val="20"/>
          <w:color w:val="auto"/>
        </w:rPr>
        <w:t xml:space="preserve"> Approval.</w:t>
      </w:r>
    </w:p>
    <w:p>
      <w:pPr>
        <w:spacing w:after="0" w:line="162"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Sales Mandatory Prepayment</w:t>
      </w:r>
      <w:r>
        <w:rPr>
          <w:rFonts w:ascii="Times New Roman" w:cs="Times New Roman" w:eastAsia="Times New Roman" w:hAnsi="Times New Roman"/>
          <w:sz w:val="20"/>
          <w:szCs w:val="20"/>
          <w:color w:val="auto"/>
        </w:rPr>
        <w:t>” means any prepayment of Senior Secured Debt in connection with an LNG Sales Mandatory Prepayment Event.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SPA Termination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LNG SPA Termination Prepayment Amount</w:t>
      </w:r>
      <w:r>
        <w:rPr>
          <w:rFonts w:ascii="Times New Roman" w:cs="Times New Roman" w:eastAsia="Times New Roman" w:hAnsi="Times New Roman"/>
          <w:sz w:val="20"/>
          <w:szCs w:val="20"/>
          <w:color w:val="auto"/>
        </w:rPr>
        <w:t xml:space="preserve">” means an amount determined by the Company and allocated to a prepayment offer in respect of the notes pursuant to </w:t>
      </w:r>
      <w:r>
        <w:rPr>
          <w:rFonts w:ascii="Times New Roman" w:cs="Times New Roman" w:eastAsia="Times New Roman" w:hAnsi="Times New Roman"/>
          <w:sz w:val="20"/>
          <w:szCs w:val="20"/>
          <w:u w:val="single" w:color="auto"/>
          <w:color w:val="auto"/>
        </w:rPr>
        <w:t>Section 4.8(a)</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 Proceeds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Make-Whole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Project Party</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means July 7, 2033.</w:t>
      </w:r>
    </w:p>
    <w:p>
      <w:pPr>
        <w:spacing w:after="0" w:line="216"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Mezzanine Financing Facility</w:t>
      </w:r>
      <w:r>
        <w:rPr>
          <w:rFonts w:ascii="Times New Roman" w:cs="Times New Roman" w:eastAsia="Times New Roman" w:hAnsi="Times New Roman"/>
          <w:sz w:val="20"/>
          <w:szCs w:val="20"/>
          <w:color w:val="auto"/>
        </w:rPr>
        <w:t>” means any financing facility entered into at any time by a Person that is a parent of the Pledgor in connection with the Project.</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has the meaning assigned to such term in the Collateral and Intercreditor Agreement.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MTPA</w:t>
      </w:r>
      <w:r>
        <w:rPr>
          <w:rFonts w:ascii="Times New Roman" w:cs="Times New Roman" w:eastAsia="Times New Roman" w:hAnsi="Times New Roman"/>
          <w:sz w:val="20"/>
          <w:szCs w:val="20"/>
          <w:color w:val="auto"/>
        </w:rPr>
        <w:t>” means million metric tonnes per annum.</w:t>
      </w:r>
    </w:p>
    <w:p>
      <w:pPr>
        <w:spacing w:after="0" w:line="202"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 multiemployer plan defined as such in Section 3(37) of ERISA to which contributions have been made by the Company or any ERISA Affiliate in the past five years and which is covered by Title IV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67" w:name="page368"/>
    <w:bookmarkEnd w:id="367"/>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Necessary Senior Secured Debt Instrument</w:t>
      </w:r>
      <w:r>
        <w:rPr>
          <w:rFonts w:ascii="Times New Roman" w:cs="Times New Roman" w:eastAsia="Times New Roman" w:hAnsi="Times New Roman"/>
          <w:sz w:val="20"/>
          <w:szCs w:val="20"/>
          <w:color w:val="auto"/>
        </w:rPr>
        <w:t>” means any Senior Secured Debt Instrument providing for Indebtedness without which the Company could not reasonably expect to have sufficient funds (on the basis of all available funds, including Senior Secured Debt Commitments, cash on deposit in the P1 Construction Account or the Distribution Account, or other committed equity, and projected Contracted Revenues under the Designated Offtake Agreements) to achieve the Project Completion Date by the Date Certain.</w:t>
      </w:r>
    </w:p>
    <w:p>
      <w:pPr>
        <w:spacing w:after="0" w:line="174"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 Guarantee</w:t>
      </w:r>
      <w:r>
        <w:rPr>
          <w:rFonts w:ascii="Times New Roman" w:cs="Times New Roman" w:eastAsia="Times New Roman" w:hAnsi="Times New Roman"/>
          <w:sz w:val="20"/>
          <w:szCs w:val="20"/>
          <w:color w:val="auto"/>
        </w:rPr>
        <w:t>” means the Guarantee by each Guarantor of the Company’s obligations under this Indenture and the Notes, contained in this Indenture or in any Supplemental Indenture.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Noteholder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Holder</w:t>
      </w:r>
      <w:r>
        <w:rPr>
          <w:rFonts w:ascii="Times New Roman" w:cs="Times New Roman" w:eastAsia="Times New Roman" w:hAnsi="Times New Roman"/>
          <w:sz w:val="20"/>
          <w:szCs w:val="20"/>
          <w:color w:val="auto"/>
        </w:rPr>
        <w:t>” means a Person in whose name a Note is registered.</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means the Initial Notes and any Additional Notes, unless the context otherwise requires.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 Documents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202"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 Laws</w:t>
      </w:r>
      <w:r>
        <w:rPr>
          <w:rFonts w:ascii="Times New Roman" w:cs="Times New Roman" w:eastAsia="Times New Roman" w:hAnsi="Times New Roman"/>
          <w:sz w:val="20"/>
          <w:szCs w:val="20"/>
          <w:color w:val="auto"/>
        </w:rPr>
        <w:t>” means any laws, regulations, and executive orders relating to the economic sanctions programs administered by OFAC, including the International Emergency Economic Powers Act, 50 U.S.C. sections 1701 et seq.; the Trading with the Enemy Act, 50 App. U.S.C. sections 1 et seq.; and the Office of Foreign Assets Control, Department of the Treasury Regulations, 31 C.F.R. Parts 500 et seq. (implementing the economic sanctions programs administered by OFAC).</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 SDN List</w:t>
      </w:r>
      <w:r>
        <w:rPr>
          <w:rFonts w:ascii="Times New Roman" w:cs="Times New Roman" w:eastAsia="Times New Roman" w:hAnsi="Times New Roman"/>
          <w:sz w:val="20"/>
          <w:szCs w:val="20"/>
          <w:color w:val="auto"/>
        </w:rPr>
        <w:t>” means the list of “Specially Designated Nationals and Blocked Persons” maintained by OFAC.</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Officer’s Certificate</w:t>
      </w:r>
      <w:r>
        <w:rPr>
          <w:rFonts w:ascii="Times New Roman" w:cs="Times New Roman" w:eastAsia="Times New Roman" w:hAnsi="Times New Roman"/>
          <w:sz w:val="20"/>
          <w:szCs w:val="20"/>
          <w:color w:val="auto"/>
        </w:rPr>
        <w:t xml:space="preserve">” means a certificate signed by one Authorized Officer of the Company, which officer must be the principal executive officer, the principal financial officer, the treasurer </w:t>
      </w:r>
      <w:r>
        <w:rPr>
          <w:rFonts w:ascii="Times New Roman" w:cs="Times New Roman" w:eastAsia="Times New Roman" w:hAnsi="Times New Roman"/>
          <w:sz w:val="20"/>
          <w:szCs w:val="20"/>
          <w:color w:val="auto"/>
          <w:strike w:val="1"/>
        </w:rPr>
        <w:t>or</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 xml:space="preserve"> the principal accounting officer </w:t>
      </w:r>
      <w:r>
        <w:rPr>
          <w:rFonts w:ascii="Times New Roman" w:cs="Times New Roman" w:eastAsia="Times New Roman" w:hAnsi="Times New Roman"/>
          <w:sz w:val="20"/>
          <w:szCs w:val="20"/>
          <w:b w:val="1"/>
          <w:bCs w:val="1"/>
          <w:u w:val="single" w:color="auto"/>
          <w:color w:val="auto"/>
        </w:rPr>
        <w:t>or the general counsel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secretary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meets the requirements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Offtaker</w:t>
      </w:r>
      <w:r>
        <w:rPr>
          <w:rFonts w:ascii="Times New Roman" w:cs="Times New Roman" w:eastAsia="Times New Roman" w:hAnsi="Times New Roman"/>
          <w:sz w:val="20"/>
          <w:szCs w:val="20"/>
          <w:color w:val="auto"/>
        </w:rPr>
        <w:t>” means each counterparty to an Offtake Agreement (but excluding the Company).</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Opinion of Counsel</w:t>
      </w:r>
      <w:r>
        <w:rPr>
          <w:rFonts w:ascii="Times New Roman" w:cs="Times New Roman" w:eastAsia="Times New Roman" w:hAnsi="Times New Roman"/>
          <w:sz w:val="20"/>
          <w:szCs w:val="20"/>
          <w:color w:val="auto"/>
        </w:rPr>
        <w:t xml:space="preserve">” means an opinion or opinions from legal counsel who is reasonably acceptable to the Trustee that meets the requirements of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The counsel may be an employee of, or counsel to, the Company or to a Holder, as applicable.</w:t>
      </w:r>
    </w:p>
    <w:p>
      <w:pPr>
        <w:spacing w:after="0" w:line="125" w:lineRule="exact"/>
        <w:rPr>
          <w:sz w:val="20"/>
          <w:szCs w:val="20"/>
          <w:color w:val="auto"/>
        </w:rPr>
      </w:pPr>
    </w:p>
    <w:p>
      <w:pPr>
        <w:ind w:left="640" w:right="4460"/>
        <w:spacing w:after="0" w:line="4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P1 CASA Advisor</w:t>
      </w:r>
      <w:r>
        <w:rPr>
          <w:rFonts w:ascii="Times New Roman" w:cs="Times New Roman" w:eastAsia="Times New Roman" w:hAnsi="Times New Roman"/>
          <w:sz w:val="20"/>
          <w:szCs w:val="20"/>
          <w:color w:val="auto"/>
        </w:rPr>
        <w:t>” has the meaning assigned to such term in the P1 CASA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has the meaning set forth in the Preamble hereto. “</w:t>
      </w: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PBGC</w:t>
      </w:r>
      <w:r>
        <w:rPr>
          <w:rFonts w:ascii="Times New Roman" w:cs="Times New Roman" w:eastAsia="Times New Roman" w:hAnsi="Times New Roman"/>
          <w:sz w:val="20"/>
          <w:szCs w:val="20"/>
          <w:color w:val="auto"/>
        </w:rPr>
        <w:t>” means the Pension Benefit Guaranty Corporation established pursuant to Subtitle A of Title IV of ERISA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68" w:name="page369"/>
    <w:bookmarkEnd w:id="368"/>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Liquidated Damages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strike w:val="1"/>
        </w:rPr>
        <w:t>means any liquidated damages resulting from the Project’s performance which are required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strike w:val="1"/>
        </w:rPr>
        <w:t xml:space="preserve">be paid by the P1 EPC Contractor or any other Material Project Party for or on account of any diminution to the performance of the Project </w:t>
      </w:r>
      <w:r>
        <w:rPr>
          <w:rFonts w:ascii="Times New Roman" w:cs="Times New Roman" w:eastAsia="Times New Roman" w:hAnsi="Times New Roman"/>
          <w:sz w:val="20"/>
          <w:szCs w:val="20"/>
          <w:b w:val="1"/>
          <w:bCs w:val="1"/>
          <w:u w:val="single" w:color="auto"/>
          <w:color w:val="auto"/>
          <w:strike w:val="1"/>
        </w:rPr>
        <w:t>has the meaning assigned to such term in the Collateral and Intercreditor Agreement</w:t>
      </w:r>
      <w:r>
        <w:rPr>
          <w:rFonts w:ascii="Times New Roman" w:cs="Times New Roman" w:eastAsia="Times New Roman" w:hAnsi="Times New Roman"/>
          <w:sz w:val="20"/>
          <w:szCs w:val="20"/>
          <w:color w:val="auto"/>
          <w:strike w:val="1"/>
        </w:rPr>
        <w:t>.</w:t>
      </w:r>
    </w:p>
    <w:p>
      <w:pPr>
        <w:spacing w:after="0" w:line="148"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any “employee benefit plan” as defined in Section 3(3) of ERISA, including any “employee welfare benefit plan” (as defined in Section 3(1) of ERISA) and/or any “employee pension benefit plan” (as defined in Section 3(2) of ERISA), that is or was maintained or contributed to by the Company or any ERISA Affiliate.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PLD Excess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PLD Proceeds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Private Placement Legend</w:t>
      </w:r>
      <w:r>
        <w:rPr>
          <w:rFonts w:ascii="Times New Roman" w:cs="Times New Roman" w:eastAsia="Times New Roman" w:hAnsi="Times New Roman"/>
          <w:sz w:val="20"/>
          <w:szCs w:val="20"/>
          <w:color w:val="auto"/>
        </w:rPr>
        <w:t xml:space="preserve">” means (a) in the case of the Initial Notes, the legend set forth in </w:t>
      </w:r>
      <w:r>
        <w:rPr>
          <w:rFonts w:ascii="Times New Roman" w:cs="Times New Roman" w:eastAsia="Times New Roman" w:hAnsi="Times New Roman"/>
          <w:sz w:val="20"/>
          <w:szCs w:val="20"/>
          <w:u w:val="single" w:color="auto"/>
          <w:color w:val="auto"/>
        </w:rPr>
        <w:t>Section 2.6(b)(i)</w:t>
      </w:r>
      <w:r>
        <w:rPr>
          <w:rFonts w:ascii="Times New Roman" w:cs="Times New Roman" w:eastAsia="Times New Roman" w:hAnsi="Times New Roman"/>
          <w:sz w:val="20"/>
          <w:szCs w:val="20"/>
          <w:color w:val="auto"/>
        </w:rPr>
        <w:t xml:space="preserve"> and (b) in the case of any Additional Notes, any legend required or permitted by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QIB</w:t>
      </w:r>
      <w:r>
        <w:rPr>
          <w:rFonts w:ascii="Times New Roman" w:cs="Times New Roman" w:eastAsia="Times New Roman" w:hAnsi="Times New Roman"/>
          <w:sz w:val="20"/>
          <w:szCs w:val="20"/>
          <w:color w:val="auto"/>
        </w:rPr>
        <w:t>” means a “qualified institutional buyer” as defined in Rule 144A.</w:t>
      </w:r>
    </w:p>
    <w:p>
      <w:pPr>
        <w:spacing w:after="0" w:line="216"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Energy Company</w:t>
      </w:r>
      <w:r>
        <w:rPr>
          <w:rFonts w:ascii="Times New Roman" w:cs="Times New Roman" w:eastAsia="Times New Roman" w:hAnsi="Times New Roman"/>
          <w:sz w:val="20"/>
          <w:szCs w:val="20"/>
          <w:color w:val="auto"/>
        </w:rPr>
        <w:t xml:space="preserve">” means, to the extent satisfying the KYC Requirements, a person: (a) (i) that is, owns, or is Controlled by, or whose ultimate parent company is, (A) an international reputable oil and gas or LNG company (integrated or non-integrated) substantially involved in the exploration, development, production or marketing of hydrocarbons, or (B) a power company or utility that has not less than 5000 megawatts of power generation assets under ownership, management and operation </w:t>
      </w:r>
      <w:r>
        <w:rPr>
          <w:rFonts w:ascii="Times New Roman" w:cs="Times New Roman" w:eastAsia="Times New Roman" w:hAnsi="Times New Roman"/>
          <w:sz w:val="20"/>
          <w:szCs w:val="20"/>
          <w:color w:val="auto"/>
          <w:strike w:val="1"/>
        </w:rPr>
        <w:t>with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of which 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least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2500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strike w:val="1"/>
        </w:rPr>
        <w:t>of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megawatts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attributable to gas-fired power generation assets, or (C) a utility or trading company, a substantial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portion of whose business involves the ownership, transportation, liquefaction, regasification or purchase, sale or trading of gas or LNG, (ii) with a tangible net worth </w:t>
      </w:r>
      <w:r>
        <w:rPr>
          <w:rFonts w:ascii="Times New Roman" w:cs="Times New Roman" w:eastAsia="Times New Roman" w:hAnsi="Times New Roman"/>
          <w:sz w:val="20"/>
          <w:szCs w:val="20"/>
          <w:color w:val="auto"/>
          <w:strike w:val="1"/>
        </w:rPr>
        <w:t>at least</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u w:val="single" w:color="auto"/>
          <w:color w:val="auto"/>
        </w:rPr>
        <w:t>no less than</w:t>
      </w:r>
      <w:r>
        <w:rPr>
          <w:rFonts w:ascii="Times New Roman" w:cs="Times New Roman" w:eastAsia="Times New Roman" w:hAnsi="Times New Roman"/>
          <w:sz w:val="20"/>
          <w:szCs w:val="20"/>
          <w:color w:val="auto"/>
        </w:rPr>
        <w:t xml:space="preserve"> $5,000,000,000, and (iii) that is not, or whose ultimate parent company is not, an affiliate of any </w:t>
      </w:r>
      <w:r>
        <w:rPr>
          <w:rFonts w:ascii="Times New Roman" w:cs="Times New Roman" w:eastAsia="Times New Roman" w:hAnsi="Times New Roman"/>
          <w:sz w:val="20"/>
          <w:szCs w:val="20"/>
          <w:color w:val="auto"/>
          <w:strike w:val="1"/>
        </w:rPr>
        <w:t>state or government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Government Authority</w:t>
      </w:r>
      <w:r>
        <w:rPr>
          <w:rFonts w:ascii="Times New Roman" w:cs="Times New Roman" w:eastAsia="Times New Roman" w:hAnsi="Times New Roman"/>
          <w:sz w:val="20"/>
          <w:szCs w:val="20"/>
          <w:color w:val="auto"/>
        </w:rPr>
        <w:t xml:space="preserve"> or (b) that is, or is an affiliate of, the Sponsor or </w:t>
      </w:r>
      <w:r>
        <w:rPr>
          <w:rFonts w:ascii="Times New Roman" w:cs="Times New Roman" w:eastAsia="Times New Roman" w:hAnsi="Times New Roman"/>
          <w:sz w:val="20"/>
          <w:szCs w:val="20"/>
          <w:color w:val="auto"/>
          <w:strike w:val="1"/>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any</w:t>
      </w:r>
      <w:r>
        <w:rPr>
          <w:rFonts w:ascii="Times New Roman" w:cs="Times New Roman" w:eastAsia="Times New Roman" w:hAnsi="Times New Roman"/>
          <w:sz w:val="20"/>
          <w:szCs w:val="20"/>
          <w:color w:val="auto"/>
        </w:rPr>
        <w:t xml:space="preserve"> Approved Owner</w:t>
      </w:r>
      <w:r>
        <w:rPr>
          <w:rFonts w:ascii="Times New Roman" w:cs="Times New Roman" w:eastAsia="Times New Roman" w:hAnsi="Times New Roman"/>
          <w:sz w:val="20"/>
          <w:szCs w:val="20"/>
          <w:color w:val="auto"/>
          <w:strike w:val="1"/>
        </w:rPr>
        <w:t>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Investment Entities</w:t>
      </w:r>
      <w:r>
        <w:rPr>
          <w:rFonts w:ascii="Times New Roman" w:cs="Times New Roman" w:eastAsia="Times New Roman" w:hAnsi="Times New Roman"/>
          <w:sz w:val="20"/>
          <w:szCs w:val="20"/>
          <w:color w:val="auto"/>
        </w:rPr>
        <w:t>” means, to the extent satisfying the KYC Requirements, any Person that is managed or advised by a Qualified Investment House or its Related Entities; where “advised” means being in receipt of implementing advice in relation to the management of investments of a person which (other than in relation to actually making decisions to implement such advice) is substantially the same as the services which would be provided by a fund manager of the relevant Person.</w:t>
      </w:r>
    </w:p>
    <w:p>
      <w:pPr>
        <w:spacing w:after="0" w:line="151" w:lineRule="exact"/>
        <w:rPr>
          <w:sz w:val="20"/>
          <w:szCs w:val="20"/>
          <w:color w:val="auto"/>
        </w:rPr>
      </w:pPr>
    </w:p>
    <w:p>
      <w:pPr>
        <w:jc w:val="both"/>
        <w:ind w:left="640" w:right="2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Investment House</w:t>
      </w:r>
      <w:r>
        <w:rPr>
          <w:rFonts w:ascii="Times New Roman" w:cs="Times New Roman" w:eastAsia="Times New Roman" w:hAnsi="Times New Roman"/>
          <w:sz w:val="20"/>
          <w:szCs w:val="20"/>
          <w:color w:val="auto"/>
        </w:rPr>
        <w:t>” means (a) Global Infrastructure Management, LLC or (b) any other investment manager (i) who has aggregate assets under management and committed capital in excess of $10,000,000,000 and (ii) has satisfied the KYC Requirements.</w:t>
      </w:r>
    </w:p>
    <w:p>
      <w:pPr>
        <w:spacing w:after="0" w:line="148"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Manager</w:t>
      </w:r>
      <w:r>
        <w:rPr>
          <w:rFonts w:ascii="Times New Roman" w:cs="Times New Roman" w:eastAsia="Times New Roman" w:hAnsi="Times New Roman"/>
          <w:sz w:val="20"/>
          <w:szCs w:val="20"/>
          <w:color w:val="auto"/>
        </w:rPr>
        <w:t>” means an entity that (a) manages (by contract, as the manager of a limited liability company, or the general partner of a limited partnership) or advises infrastructure funds, private equity funds, pension funds, government sponsored funds or other similar funds (including publicly traded entities commonly referred to as “</w:t>
      </w:r>
      <w:r>
        <w:rPr>
          <w:rFonts w:ascii="Times New Roman" w:cs="Times New Roman" w:eastAsia="Times New Roman" w:hAnsi="Times New Roman"/>
          <w:sz w:val="20"/>
          <w:szCs w:val="20"/>
          <w:b w:val="1"/>
          <w:bCs w:val="1"/>
          <w:color w:val="auto"/>
        </w:rPr>
        <w:t>master limited partnerships</w:t>
      </w:r>
      <w:r>
        <w:rPr>
          <w:rFonts w:ascii="Times New Roman" w:cs="Times New Roman" w:eastAsia="Times New Roman" w:hAnsi="Times New Roman"/>
          <w:sz w:val="20"/>
          <w:szCs w:val="20"/>
          <w:color w:val="auto"/>
        </w:rPr>
        <w:t>”), which collectively hold assets that in the aggregate are valued in excess of $5,000,000,000,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69" w:name="page370"/>
    <w:bookmarkEnd w:id="369"/>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has the expertise, experience, and technical resources to successfully manage the relevant managed entity’s ownership interest in the Project, and (c) satisfies the KYC Requirements. For purposes of this definition of “</w:t>
      </w:r>
      <w:r>
        <w:rPr>
          <w:rFonts w:ascii="Times New Roman" w:cs="Times New Roman" w:eastAsia="Times New Roman" w:hAnsi="Times New Roman"/>
          <w:sz w:val="20"/>
          <w:szCs w:val="20"/>
          <w:b w:val="1"/>
          <w:bCs w:val="1"/>
          <w:color w:val="auto"/>
        </w:rPr>
        <w:t>Qualified Manager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advised</w:t>
      </w:r>
      <w:r>
        <w:rPr>
          <w:rFonts w:ascii="Times New Roman" w:cs="Times New Roman" w:eastAsia="Times New Roman" w:hAnsi="Times New Roman"/>
          <w:sz w:val="20"/>
          <w:szCs w:val="20"/>
          <w:color w:val="auto"/>
        </w:rPr>
        <w:t>” means being in receipt of and implementing advice in relation to the management of investments of that person which (other than in relation to actually making decisions to implement such advice) is substantially the same as the services which would be provided by a fund manager of the relevant person.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Mezzanine Entity</w:t>
      </w:r>
      <w:r>
        <w:rPr>
          <w:rFonts w:ascii="Times New Roman" w:cs="Times New Roman" w:eastAsia="Times New Roman" w:hAnsi="Times New Roman"/>
          <w:sz w:val="20"/>
          <w:szCs w:val="20"/>
          <w:color w:val="auto"/>
        </w:rPr>
        <w:t>” means, in connection with a foreclosure under any Mezzanine Financing Facility, a Person that:</w:t>
      </w:r>
    </w:p>
    <w:p>
      <w:pPr>
        <w:spacing w:after="0" w:line="206" w:lineRule="exact"/>
        <w:rPr>
          <w:sz w:val="20"/>
          <w:szCs w:val="20"/>
          <w:color w:val="auto"/>
        </w:rPr>
      </w:pPr>
    </w:p>
    <w:p>
      <w:pPr>
        <w:jc w:val="right"/>
        <w:ind w:left="1280" w:hanging="634"/>
        <w:spacing w:after="0" w:line="262" w:lineRule="auto"/>
        <w:tabs>
          <w:tab w:leader="none" w:pos="1075" w:val="left"/>
        </w:tabs>
        <w:numPr>
          <w:ilvl w:val="0"/>
          <w:numId w:val="4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is one of (i) an agent under such Mezzanine Financing Facility who acquires, holds, or controls the relevant Equity Interests, as agent, pending further disposition thereof for a period not to exceed 270 days (unless, prior to the expiration of such 270 days, a Rating Reaffirmation shall have occurred), (ii) either (A) any infrastructure fund, private equity fund, pension fund, government sponsored fund, or other similar fund (including publicly traded entities commonly referred to as “master limited partnerships”) or an investment vehicle owned directly or indirectly by one or more such entities that is a lender under such Mezzanine Financing Facility and is Controlled by a Qualified Manager or (B) the Qualified Manager of any entity referred to in subpart (A) of this subpart (ii) and, in each of cases (A) and (B) acquires the relevant Equity Interests for its own account or for further disposition thereof, or (iii) a Person who receives the relevant Equity Interests through a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foreclosure over the security interests granted in respect of such Mezzanine Financing Facility and such Person is (A) otherwise an Approved Owner, Qualified Investment Entity, Qualified Offtaker Investor, or Qualified Energy Company or</w:t>
      </w:r>
    </w:p>
    <w:p>
      <w:pPr>
        <w:spacing w:after="0" w:line="6" w:lineRule="exact"/>
        <w:rPr>
          <w:rFonts w:ascii="Times New Roman" w:cs="Times New Roman" w:eastAsia="Times New Roman" w:hAnsi="Times New Roman"/>
          <w:sz w:val="19"/>
          <w:szCs w:val="19"/>
          <w:color w:val="auto"/>
        </w:rPr>
      </w:pPr>
    </w:p>
    <w:p>
      <w:pPr>
        <w:ind w:left="128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has caused each Specified Rating Agency then-rating all or a portion of the Notes to provide a Ratings Reaffirmation of such Notes that gives effect to the acquisition, holding or control of such Equity Interests by such Person; and</w:t>
      </w:r>
    </w:p>
    <w:p>
      <w:pPr>
        <w:spacing w:after="0" w:line="174" w:lineRule="exact"/>
        <w:rPr>
          <w:rFonts w:ascii="Times New Roman" w:cs="Times New Roman" w:eastAsia="Times New Roman" w:hAnsi="Times New Roman"/>
          <w:sz w:val="19"/>
          <w:szCs w:val="19"/>
          <w:color w:val="auto"/>
        </w:rPr>
      </w:pPr>
    </w:p>
    <w:p>
      <w:pPr>
        <w:ind w:left="1280" w:hanging="634"/>
        <w:spacing w:after="0" w:line="269" w:lineRule="auto"/>
        <w:tabs>
          <w:tab w:leader="none" w:pos="1074" w:val="left"/>
        </w:tabs>
        <w:numPr>
          <w:ilvl w:val="0"/>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and is not 50% or more owned or otherwise Controlled by, and does not own or Control, a Restricted Person and satisfies the KYC Requirements.</w:t>
      </w:r>
    </w:p>
    <w:p>
      <w:pPr>
        <w:spacing w:after="0" w:line="155"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Offtake Agreement</w:t>
      </w:r>
      <w:r>
        <w:rPr>
          <w:rFonts w:ascii="Times New Roman" w:cs="Times New Roman" w:eastAsia="Times New Roman" w:hAnsi="Times New Roman"/>
          <w:sz w:val="20"/>
          <w:szCs w:val="20"/>
          <w:color w:val="auto"/>
        </w:rPr>
        <w:t xml:space="preserve">” means the Initial Offtake Agreements and any other Offtake Agreement that meets each of the following conditions: (a) such Offtake Agreement is entered into for a Qualified Term with a Qualified Offtaker, (b) such Offtake Agreement provides for the delivery of LNG on an FOB or Delivered basis, (c) the Company has delivered to the P1 Intercreditor Agent notice of the proposed terms of such Offtake Agreement and such terms (other than as specified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are consistent, in all material respects with (or not materially less favorable in the aggregate to the interests of the Company than) those set forth in any of Qualified Offtake Agreements then in effect, and (d) the execution of such Qualified Offtake Agreement and performance by the Company of its obligations under such Qualified Offtake Agreement shall not result in a breach of any Qualified Offtake Agreement then in effect, or any Required Export Authorization then in-effect and any additional Required Export Authorizations that are necessary in connection with the execution of such Offtake Agreement.</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Offtaker</w:t>
      </w:r>
      <w:r>
        <w:rPr>
          <w:rFonts w:ascii="Times New Roman" w:cs="Times New Roman" w:eastAsia="Times New Roman" w:hAnsi="Times New Roman"/>
          <w:sz w:val="20"/>
          <w:szCs w:val="20"/>
          <w:color w:val="auto"/>
        </w:rPr>
        <w:t>” means, to the extent satisfying the KYC Requirements:</w:t>
      </w:r>
    </w:p>
    <w:p>
      <w:pPr>
        <w:spacing w:after="0" w:line="206" w:lineRule="exact"/>
        <w:rPr>
          <w:sz w:val="20"/>
          <w:szCs w:val="20"/>
          <w:color w:val="auto"/>
        </w:rPr>
      </w:pPr>
    </w:p>
    <w:p>
      <w:pPr>
        <w:ind w:left="1280" w:hanging="634"/>
        <w:spacing w:after="0" w:line="261" w:lineRule="auto"/>
        <w:tabs>
          <w:tab w:leader="none" w:pos="1063" w:val="left"/>
        </w:tabs>
        <w:numPr>
          <w:ilvl w:val="0"/>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Initial Offtaker so long as, either (A) such Initial Offtaker is not required to provide credit support on the Closing Date in respect of its obligations under the Initial Offtake Agreement to which is a party or (B) such Initial Offtaker has entered into the applicable Designated Offtake Agreement after the Closing Date that provides for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70" w:name="page371"/>
    <w:bookmarkEnd w:id="370"/>
    <w:p>
      <w:pPr>
        <w:jc w:val="both"/>
        <w:ind w:left="1280"/>
        <w:spacing w:after="0" w:line="261" w:lineRule="auto"/>
        <w:rPr>
          <w:sz w:val="20"/>
          <w:szCs w:val="20"/>
          <w:color w:val="auto"/>
        </w:rPr>
      </w:pPr>
      <w:r>
        <w:rPr>
          <w:rFonts w:ascii="Times New Roman" w:cs="Times New Roman" w:eastAsia="Times New Roman" w:hAnsi="Times New Roman"/>
          <w:sz w:val="20"/>
          <w:szCs w:val="20"/>
          <w:color w:val="auto"/>
        </w:rPr>
        <w:t>support requirements that are either substantially similar to those included in the applicable Initial Offtake Agreement or more favorable to the Company and (ii) any entity that, as of the Closing Date, provides a guaranty in respect of an Initial Offtaker’s obligations under the Initial Offtake Agreement to which it is a party;</w:t>
      </w:r>
    </w:p>
    <w:p>
      <w:pPr>
        <w:spacing w:after="0" w:line="154" w:lineRule="exact"/>
        <w:rPr>
          <w:sz w:val="20"/>
          <w:szCs w:val="20"/>
          <w:color w:val="auto"/>
        </w:rPr>
      </w:pPr>
    </w:p>
    <w:p>
      <w:pPr>
        <w:ind w:left="1280" w:hanging="634"/>
        <w:spacing w:after="0" w:line="258" w:lineRule="auto"/>
        <w:tabs>
          <w:tab w:leader="none" w:pos="1075" w:val="left"/>
        </w:tabs>
        <w:numPr>
          <w:ilvl w:val="0"/>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Offtaker under any Offtake Agreement which, as of the date it enters into the applicable Designated Offtake Agreement (or, if later, the date on which the applicable Offtake Agreement is designated as a Designated Offtake Agreement pursuant to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as applicable), is, or whose obligations under such Designated Offtake Agreement are guaranteed by an entity that is, Investment Grade;</w:t>
      </w:r>
    </w:p>
    <w:p>
      <w:pPr>
        <w:spacing w:after="0" w:line="158" w:lineRule="exact"/>
        <w:rPr>
          <w:rFonts w:ascii="Times New Roman" w:cs="Times New Roman" w:eastAsia="Times New Roman" w:hAnsi="Times New Roman"/>
          <w:sz w:val="20"/>
          <w:szCs w:val="20"/>
          <w:color w:val="auto"/>
        </w:rPr>
      </w:pPr>
    </w:p>
    <w:p>
      <w:pPr>
        <w:ind w:left="1280" w:hanging="634"/>
        <w:spacing w:after="0" w:line="258" w:lineRule="auto"/>
        <w:tabs>
          <w:tab w:leader="none" w:pos="1116" w:val="left"/>
        </w:tabs>
        <w:numPr>
          <w:ilvl w:val="0"/>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Offtaker under any Offtake Agreement that has provided one or more (x) guarantees from a guarantor that is Investment Grade and/or (y) letters of credit issued by a Qualifying LC Issuer (as defined in the P1 Accounts Agreement), that are each issued for the benefit of the Company in respect of its obligations under its applicable Offtake Agreement, in the case of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in an amount (in the aggregate) equal to the greater of:</w:t>
      </w:r>
    </w:p>
    <w:p>
      <w:pPr>
        <w:spacing w:after="0" w:line="172" w:lineRule="exact"/>
        <w:rPr>
          <w:rFonts w:ascii="Times New Roman" w:cs="Times New Roman" w:eastAsia="Times New Roman" w:hAnsi="Times New Roman"/>
          <w:sz w:val="20"/>
          <w:szCs w:val="20"/>
          <w:color w:val="auto"/>
        </w:rPr>
      </w:pPr>
    </w:p>
    <w:p>
      <w:pPr>
        <w:ind w:left="1920" w:hanging="636"/>
        <w:spacing w:after="0" w:line="269" w:lineRule="auto"/>
        <w:tabs>
          <w:tab w:leader="none" w:pos="1746" w:val="left"/>
        </w:tabs>
        <w:numPr>
          <w:ilvl w:val="1"/>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of the present value of the Contracted Revenues from the applicable Designated Offtake Agreement during the remaining Qualified Term of such Designated Offtake Agreement; and</w:t>
      </w:r>
    </w:p>
    <w:p>
      <w:pPr>
        <w:spacing w:after="0" w:line="145" w:lineRule="exact"/>
        <w:rPr>
          <w:rFonts w:ascii="Times New Roman" w:cs="Times New Roman" w:eastAsia="Times New Roman" w:hAnsi="Times New Roman"/>
          <w:sz w:val="20"/>
          <w:szCs w:val="20"/>
          <w:color w:val="auto"/>
        </w:rPr>
      </w:pPr>
    </w:p>
    <w:p>
      <w:pPr>
        <w:ind w:left="1920" w:hanging="636"/>
        <w:spacing w:after="0" w:line="268" w:lineRule="auto"/>
        <w:tabs>
          <w:tab w:leader="none" w:pos="1771" w:val="left"/>
        </w:tabs>
        <w:numPr>
          <w:ilvl w:val="1"/>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present value of the Contracted Revenues from the applicable Designated Offtake Agreement during the lesser of (A) the succeeding seven years under such Designated Offtake Agreement and (B) the remaining term of such Designated Offtake Agreement;</w:t>
      </w:r>
    </w:p>
    <w:p>
      <w:pPr>
        <w:spacing w:after="0" w:line="147" w:lineRule="exact"/>
        <w:rPr>
          <w:rFonts w:ascii="Times New Roman" w:cs="Times New Roman" w:eastAsia="Times New Roman" w:hAnsi="Times New Roman"/>
          <w:sz w:val="20"/>
          <w:szCs w:val="20"/>
          <w:color w:val="auto"/>
        </w:rPr>
      </w:pPr>
    </w:p>
    <w:p>
      <w:pPr>
        <w:ind w:left="1280" w:hanging="634"/>
        <w:spacing w:after="0" w:line="269" w:lineRule="auto"/>
        <w:tabs>
          <w:tab w:leader="none" w:pos="1162" w:val="left"/>
        </w:tabs>
        <w:numPr>
          <w:ilvl w:val="0"/>
          <w:numId w:val="4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of Vitol Inc., Glencore Ltd., Trafigura Pte Ltd, Gunvor Singapore Pte Ltd, NFE North Trading, LLC, Mercuria Energy Group Ltd, Petrobras Global Trading B.V., Axpo Singapore Pte Ltd., and Litasco SA; and</w:t>
      </w:r>
    </w:p>
    <w:p>
      <w:pPr>
        <w:spacing w:after="0" w:line="159" w:lineRule="exact"/>
        <w:rPr>
          <w:rFonts w:ascii="Times New Roman" w:cs="Times New Roman" w:eastAsia="Times New Roman" w:hAnsi="Times New Roman"/>
          <w:sz w:val="20"/>
          <w:szCs w:val="20"/>
          <w:b w:val="1"/>
          <w:bCs w:val="1"/>
          <w:color w:val="auto"/>
        </w:rPr>
      </w:pPr>
    </w:p>
    <w:p>
      <w:pPr>
        <w:ind w:left="1280" w:hanging="634"/>
        <w:spacing w:after="0" w:line="254" w:lineRule="auto"/>
        <w:tabs>
          <w:tab w:leader="none" w:pos="1154" w:val="left"/>
        </w:tabs>
        <w:numPr>
          <w:ilvl w:val="0"/>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the Company has other Designated Offtake Agreements for at least 12.25 MTPA of ACQ with an Offtaker that satisfies the criteria set forth in any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any Offtaker that has, or whose obligations under the applicable Designated Offtake Agreement are guaranteed by an entity that has, a tangible net worth of at least $3,000,000,000 per 1.0 MTPA of ACQ.</w:t>
      </w:r>
    </w:p>
    <w:p>
      <w:pPr>
        <w:spacing w:after="0" w:line="170"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Qualified Offtaker Investors</w:t>
      </w:r>
      <w:r>
        <w:rPr>
          <w:rFonts w:ascii="Times New Roman" w:cs="Times New Roman" w:eastAsia="Times New Roman" w:hAnsi="Times New Roman"/>
          <w:sz w:val="19"/>
          <w:szCs w:val="19"/>
          <w:color w:val="auto"/>
        </w:rPr>
        <w:t>” means (a) any Initial Offtaker that is not required to provide credit support on the Closing Date in respect of its obligations under the Initial Offtake Agreement to which is a party, (b) any entity that, as of the Closing Date, provides a guaranty in respect of an Initial Offtaker’s obligations under the Initial Offtake Agreement to which such Initial Offtaker is a party,</w:t>
      </w:r>
    </w:p>
    <w:p>
      <w:pPr>
        <w:spacing w:after="0" w:line="2" w:lineRule="exact"/>
        <w:rPr>
          <w:sz w:val="20"/>
          <w:szCs w:val="20"/>
          <w:color w:val="auto"/>
        </w:rPr>
      </w:pPr>
    </w:p>
    <w:p>
      <w:pPr>
        <w:jc w:val="both"/>
        <w:ind w:left="640" w:firstLine="3"/>
        <w:spacing w:after="0" w:line="256" w:lineRule="auto"/>
        <w:tabs>
          <w:tab w:leader="none" w:pos="920"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entity that provides a guaranty as contemplated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“Qualified Offtaker”, (d) any entity referred to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the definition of “Qualified Offtaker”, and (e) to the extent satisfying the KYC Requirements, any entity that Controls any of the foregoing.</w:t>
      </w:r>
    </w:p>
    <w:p>
      <w:pPr>
        <w:spacing w:after="0" w:line="156"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Public Company</w:t>
      </w:r>
      <w:r>
        <w:rPr>
          <w:rFonts w:ascii="Times New Roman" w:cs="Times New Roman" w:eastAsia="Times New Roman" w:hAnsi="Times New Roman"/>
          <w:sz w:val="20"/>
          <w:szCs w:val="20"/>
          <w:color w:val="auto"/>
        </w:rPr>
        <w:t>” means any publicly listed indirect parent of the Company following a Qualified Public Offering, so long as following such Qualified Public Offering, no person (other than such entity, the Sponsor, the Approved Owners, Qualified Investment Entities, Qualified Offtaker Investors, Qualified Energy Companies, such publicly listed parent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71" w:name="page372"/>
    <w:bookmarkEnd w:id="371"/>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following such Qualified Public Offering or any underwriter or placement agent participating in such Qualified Public Offering) or persons constituting a “group” (within the meaning of Section 13(d) of the Securities Exchange Act of 1934 or any successor provision) (excluding employee benefit plans of the Company or any of its Affiliates and any person or entity acting in its capacity as trustee, agent or other fiduciary or administrator of any such plan) becomes the Beneficial Owner, directly or indirectly, of more than 50% of the economic interests in the Company and, directly or indirectly, Controls the Company.</w:t>
      </w:r>
    </w:p>
    <w:p>
      <w:pPr>
        <w:spacing w:after="0" w:line="174"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Public Offering</w:t>
      </w:r>
      <w:r>
        <w:rPr>
          <w:rFonts w:ascii="Times New Roman" w:cs="Times New Roman" w:eastAsia="Times New Roman" w:hAnsi="Times New Roman"/>
          <w:sz w:val="20"/>
          <w:szCs w:val="20"/>
          <w:color w:val="auto"/>
        </w:rPr>
        <w:t>” means any public offering of the Sponsor or its Affiliates with any indirect ownership interest in the Company or any direct or indirect shareholder of the Company.</w:t>
      </w:r>
    </w:p>
    <w:p>
      <w:pPr>
        <w:spacing w:after="0" w:line="138"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Term</w:t>
      </w:r>
      <w:r>
        <w:rPr>
          <w:rFonts w:ascii="Times New Roman" w:cs="Times New Roman" w:eastAsia="Times New Roman" w:hAnsi="Times New Roman"/>
          <w:sz w:val="20"/>
          <w:szCs w:val="20"/>
          <w:color w:val="auto"/>
        </w:rPr>
        <w:t>” means (a) with respect to any Designated Offtake Agreement other than a replacement Designated Offtake Agreement, the term of such Offtake Agreement used in the Base Case Forecast when determining the applicable quantum of Senior Secured Debt that could be incurred based on the revenues projected to be generated under such Offtake Agreement and (b) with respect to one or more Offtake Agreements entered into to replace any terminated Designated Offtake Agreement, (i) a term at least as long, taken as a whole, as the remaining term of the terminated Designated Offtake Agreement that such Offtake Agreement(s) are replacing or (ii) the term for such replacement Offtake Agreement(s) used in the Base Case Forecast to calculate the quantum of Senior Secured Debt required to be prepaid as a result of the terminated Designated Offtake Agreement and entry into such replacement Offtake Agreement(s).</w:t>
      </w:r>
    </w:p>
    <w:p>
      <w:pPr>
        <w:spacing w:after="0" w:line="159"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Rating Reaffirmation</w:t>
      </w:r>
      <w:r>
        <w:rPr>
          <w:rFonts w:ascii="Times New Roman" w:cs="Times New Roman" w:eastAsia="Times New Roman" w:hAnsi="Times New Roman"/>
          <w:sz w:val="20"/>
          <w:szCs w:val="20"/>
          <w:color w:val="auto"/>
        </w:rPr>
        <w:t>” means, with respect to any matter under this Indenture requiring a Rating Reaffirmation, that any two Specified Rating Agencies that are then rating the Notes (or, if only one Specified Rating Agency is then rating the Notes, such agency) have considered the matter and confirmed that, if implemented (or if such matter is an Event of Default, if such event continued), they would reaffirm the then current rating or provide a more favorable rating.</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S</w:t>
      </w:r>
      <w:r>
        <w:rPr>
          <w:rFonts w:ascii="Times New Roman" w:cs="Times New Roman" w:eastAsia="Times New Roman" w:hAnsi="Times New Roman"/>
          <w:sz w:val="20"/>
          <w:szCs w:val="20"/>
          <w:color w:val="auto"/>
        </w:rPr>
        <w:t>” means Regulation S promulgated under the Securities Act.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Reinstatement Debt</w:t>
      </w:r>
      <w:r>
        <w:rPr>
          <w:rFonts w:ascii="Times New Roman" w:cs="Times New Roman" w:eastAsia="Times New Roman" w:hAnsi="Times New Roman"/>
          <w:sz w:val="20"/>
          <w:szCs w:val="20"/>
          <w:color w:val="auto"/>
        </w:rPr>
        <w:t>” means Relevering Debt that satisfies (a) the conditions set forth in Section 2.5 (</w:t>
      </w:r>
      <w:r>
        <w:rPr>
          <w:rFonts w:ascii="Times New Roman" w:cs="Times New Roman" w:eastAsia="Times New Roman" w:hAnsi="Times New Roman"/>
          <w:sz w:val="20"/>
          <w:szCs w:val="20"/>
          <w:i w:val="1"/>
          <w:iCs w:val="1"/>
          <w:color w:val="auto"/>
        </w:rPr>
        <w:t>Relevering Debt</w:t>
      </w:r>
      <w:r>
        <w:rPr>
          <w:rFonts w:ascii="Times New Roman" w:cs="Times New Roman" w:eastAsia="Times New Roman" w:hAnsi="Times New Roman"/>
          <w:sz w:val="20"/>
          <w:szCs w:val="20"/>
          <w:color w:val="auto"/>
        </w:rPr>
        <w:t>) of the</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Common Terms Agreement and (b) the following conditions:</w:t>
      </w:r>
    </w:p>
    <w:p>
      <w:pPr>
        <w:spacing w:after="0" w:line="187" w:lineRule="exact"/>
        <w:rPr>
          <w:sz w:val="20"/>
          <w:szCs w:val="20"/>
          <w:color w:val="auto"/>
        </w:rPr>
      </w:pPr>
    </w:p>
    <w:p>
      <w:pPr>
        <w:ind w:left="1660" w:hanging="376"/>
        <w:spacing w:after="0"/>
        <w:tabs>
          <w:tab w:leader="none" w:pos="1660" w:val="left"/>
        </w:tabs>
        <w:numPr>
          <w:ilvl w:val="0"/>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LNG Sales Mandatory Prepayment Event has occurred;</w:t>
      </w:r>
    </w:p>
    <w:p>
      <w:pPr>
        <w:spacing w:after="0" w:line="215" w:lineRule="exact"/>
        <w:rPr>
          <w:rFonts w:ascii="Times New Roman" w:cs="Times New Roman" w:eastAsia="Times New Roman" w:hAnsi="Times New Roman"/>
          <w:sz w:val="20"/>
          <w:szCs w:val="20"/>
          <w:color w:val="auto"/>
        </w:rPr>
      </w:pPr>
    </w:p>
    <w:p>
      <w:pPr>
        <w:ind w:left="1920" w:hanging="636"/>
        <w:spacing w:after="0" w:line="269" w:lineRule="auto"/>
        <w:tabs>
          <w:tab w:leader="none" w:pos="1752" w:val="left"/>
        </w:tabs>
        <w:numPr>
          <w:ilvl w:val="0"/>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LNG Sales Mandatory Prepayment Event shall have been cured pursuant to each applicable Senior Secured Debt Instrument;</w:t>
      </w:r>
    </w:p>
    <w:p>
      <w:pPr>
        <w:spacing w:after="0" w:line="145" w:lineRule="exact"/>
        <w:rPr>
          <w:rFonts w:ascii="Times New Roman" w:cs="Times New Roman" w:eastAsia="Times New Roman" w:hAnsi="Times New Roman"/>
          <w:sz w:val="20"/>
          <w:szCs w:val="20"/>
          <w:color w:val="auto"/>
        </w:rPr>
      </w:pPr>
    </w:p>
    <w:p>
      <w:pPr>
        <w:ind w:left="1920" w:hanging="636"/>
        <w:spacing w:after="0" w:line="268" w:lineRule="auto"/>
        <w:tabs>
          <w:tab w:leader="none" w:pos="1796" w:val="left"/>
        </w:tabs>
        <w:numPr>
          <w:ilvl w:val="0"/>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Reinstatement Debt is incurred no later than two years after all applicable LNG Sales Mandatory Prepayments in respect of such LNG Sales Mandatory Prepayment Event have been made pursuant to the applicable Senior Secured Debt Instruments;</w:t>
      </w:r>
    </w:p>
    <w:p>
      <w:pPr>
        <w:spacing w:after="0" w:line="147" w:lineRule="exact"/>
        <w:rPr>
          <w:rFonts w:ascii="Times New Roman" w:cs="Times New Roman" w:eastAsia="Times New Roman" w:hAnsi="Times New Roman"/>
          <w:sz w:val="20"/>
          <w:szCs w:val="20"/>
          <w:color w:val="auto"/>
        </w:rPr>
      </w:pPr>
    </w:p>
    <w:p>
      <w:pPr>
        <w:jc w:val="both"/>
        <w:ind w:left="1920" w:hanging="636"/>
        <w:spacing w:after="0" w:line="258" w:lineRule="auto"/>
        <w:tabs>
          <w:tab w:leader="none" w:pos="1862" w:val="left"/>
        </w:tabs>
        <w:numPr>
          <w:ilvl w:val="0"/>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of such Reinstatement Debt does not exceed: (A) the amount of such LNG Sales Mandatory Prepayment,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all premiums, fees, costs, expenses and reserves (including any incremental increase in the DSRA Reserve Amounts resulting from the incurrence of such Reinstatement Debt) associated with arranging, issuing and incurring such Reinstatement Debt,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(C) 105%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72" w:name="page373"/>
    <w:bookmarkEnd w:id="372"/>
    <w:p>
      <w:pPr>
        <w:jc w:val="both"/>
        <w:ind w:left="1920"/>
        <w:spacing w:after="0" w:line="261" w:lineRule="auto"/>
        <w:rPr>
          <w:sz w:val="20"/>
          <w:szCs w:val="20"/>
          <w:color w:val="auto"/>
        </w:rPr>
      </w:pPr>
      <w:r>
        <w:rPr>
          <w:rFonts w:ascii="Times New Roman" w:cs="Times New Roman" w:eastAsia="Times New Roman" w:hAnsi="Times New Roman"/>
          <w:sz w:val="20"/>
          <w:szCs w:val="20"/>
          <w:color w:val="auto"/>
        </w:rPr>
        <w:t>the P1 IR Hedge Termination Amounts reasonably projected as of such date of incurrence to be due and payable by the Company with respect to any Senior Secured IR Hedge Agreement to be terminated in connection with any such incurrence;</w:t>
      </w:r>
    </w:p>
    <w:p>
      <w:pPr>
        <w:spacing w:after="0" w:line="154" w:lineRule="exact"/>
        <w:rPr>
          <w:sz w:val="20"/>
          <w:szCs w:val="20"/>
          <w:color w:val="auto"/>
        </w:rPr>
      </w:pPr>
    </w:p>
    <w:p>
      <w:pPr>
        <w:ind w:left="1920" w:hanging="636"/>
        <w:spacing w:after="0" w:line="253" w:lineRule="auto"/>
        <w:tabs>
          <w:tab w:leader="none" w:pos="1812"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demonstrated by delivery to the Trustee of an updated Base Case Forecast that all Senior Secured Debt (after taking into account the incurrence of such Reinstatement Debt) outstanding at such time is capable of amortization such that the Indenture Projected DSCR commencing on the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the Debt Service used to calculate the Indenture Projected DSCR shall assume, if such Reinstatement Debt is incurred prior to the Term Conversion Date, that all Senior Secured Debt Commitments will be fully drawn; and</w:t>
      </w:r>
    </w:p>
    <w:p>
      <w:pPr>
        <w:spacing w:after="0" w:line="165" w:lineRule="exact"/>
        <w:rPr>
          <w:rFonts w:ascii="Times New Roman" w:cs="Times New Roman" w:eastAsia="Times New Roman" w:hAnsi="Times New Roman"/>
          <w:sz w:val="20"/>
          <w:szCs w:val="20"/>
          <w:color w:val="auto"/>
        </w:rPr>
      </w:pPr>
    </w:p>
    <w:p>
      <w:pPr>
        <w:jc w:val="both"/>
        <w:ind w:left="1920" w:hanging="636"/>
        <w:spacing w:after="0" w:line="250" w:lineRule="auto"/>
        <w:tabs>
          <w:tab w:leader="none" w:pos="1974"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incurrence of any Reinstatement Debt, the Company shall apply the proceeds of such Reinstatement Debt in the following order: (A)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pay all premiums, fees, costs, expenses and reserves (including any incremental increase in the DSRA Reserve Amount resulting from the incurrence of such Reinstatement Debt) associated with arranging, issuing, and incurring such Reinstatement Debt; (B)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fund any reserves (including any incremental increase in the DSRA Reserve Amount) resulting from the incurrence of such Reinstatement Debt; (C)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(1) pay any P1 IR Hedge Termination Amount that is or will be due and payable with respect to any Senior Secured IR Hedge Agreement to be terminated in connection with any such incurrence or (2) reserve an amount equal to 105% of the P1 IR Hedge Termination Amounts reasonably projected as of such date of incurrence to be due and payable by the Company with respect to any Senior Secured IR Hedge Agreement to be terminated in connection with any such incurrence; and (D)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make Distributions to the Pledgor.</w:t>
      </w:r>
    </w:p>
    <w:p>
      <w:pPr>
        <w:spacing w:after="0" w:line="169"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Entity</w:t>
      </w:r>
      <w:r>
        <w:rPr>
          <w:rFonts w:ascii="Times New Roman" w:cs="Times New Roman" w:eastAsia="Times New Roman" w:hAnsi="Times New Roman"/>
          <w:sz w:val="20"/>
          <w:szCs w:val="20"/>
          <w:color w:val="auto"/>
        </w:rPr>
        <w:t>” means, with respect to any Person, any other person directly or indirectly Controlling, Controlled by or under direct or indirect common Control with such Person.</w:t>
      </w:r>
    </w:p>
    <w:p>
      <w:pPr>
        <w:spacing w:after="0" w:line="125"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Fund</w:t>
      </w:r>
      <w:r>
        <w:rPr>
          <w:rFonts w:ascii="Times New Roman" w:cs="Times New Roman" w:eastAsia="Times New Roman" w:hAnsi="Times New Roman"/>
          <w:sz w:val="20"/>
          <w:szCs w:val="20"/>
          <w:color w:val="auto"/>
        </w:rPr>
        <w:t>” means, with respect to any Noteholder, any fund or entity that (a) invests in securities or bank loans, and (b) is advised or managed by such Noteholder, the same investment advisor as such Noteholder or by an Affiliate of such Noteholder or such investment advisor.</w:t>
      </w:r>
    </w:p>
    <w:p>
      <w:pPr>
        <w:spacing w:after="0" w:line="162"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Export Authorization</w:t>
      </w:r>
      <w:r>
        <w:rPr>
          <w:rFonts w:ascii="Times New Roman" w:cs="Times New Roman" w:eastAsia="Times New Roman" w:hAnsi="Times New Roman"/>
          <w:sz w:val="20"/>
          <w:szCs w:val="20"/>
          <w:color w:val="auto"/>
        </w:rPr>
        <w:t>” means, with respect to each Designated Offtake Agreement at any time, the DOE Export Authorization and any other export authorization that the Company designates as a “Required Export Authorization” in connection with the entry into, or designation of, a Designated Offtake Agreement, in each case, to the extent that, at such time, the volumes permitted to be exported under the DOE Export Authorization or such export authorization, as the case may be, are required in order to enable the sale of such Designated Offtake Agreement’s share of the then-applicable Base Committed Quantity of LNG in accordance with the terms of such Designated Offtake Agreement.</w:t>
      </w:r>
    </w:p>
    <w:p>
      <w:pPr>
        <w:spacing w:after="0" w:line="160" w:lineRule="exact"/>
        <w:rPr>
          <w:sz w:val="20"/>
          <w:szCs w:val="20"/>
          <w:color w:val="auto"/>
        </w:rPr>
      </w:pPr>
    </w:p>
    <w:p>
      <w:pPr>
        <w:jc w:val="both"/>
        <w:ind w:left="640"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when used with respect to the Trustee, means any officer within the corporate trust department of the Trustee (or any successor division or unit of the Trustee)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73" w:name="page374"/>
    <w:bookmarkEnd w:id="373"/>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at the Corporate Trust Office of the Trustee, who has direct responsibility for the administration of this Indenture and also means any other officer to whom such matter is referred because of his knowledge of and familiarity with the particular subject.</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Definitive Note</w:t>
      </w:r>
      <w:r>
        <w:rPr>
          <w:rFonts w:ascii="Times New Roman" w:cs="Times New Roman" w:eastAsia="Times New Roman" w:hAnsi="Times New Roman"/>
          <w:sz w:val="20"/>
          <w:szCs w:val="20"/>
          <w:color w:val="auto"/>
        </w:rPr>
        <w:t>” means a Definitive Note bearing the Private Placement Legend.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means the forty-day distribution compliance period as defined in Regulation S.</w:t>
      </w:r>
    </w:p>
    <w:p>
      <w:pPr>
        <w:spacing w:after="0" w:line="202"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Person</w:t>
      </w:r>
      <w:r>
        <w:rPr>
          <w:rFonts w:ascii="Times New Roman" w:cs="Times New Roman" w:eastAsia="Times New Roman" w:hAnsi="Times New Roman"/>
          <w:sz w:val="20"/>
          <w:szCs w:val="20"/>
          <w:color w:val="auto"/>
        </w:rPr>
        <w:t>” means a Person that is: (a) the target of Sanctions Regulations; (b) a Canada Blocked Person, (c) a Person listed on, or acting on behalf of a Person listed on, any Sanctions List; (d) a Person located, organized, or ordinarily resident in a country, territory, or region that is, or whose government is, the target of country-wide or territory-wide comprehensive Sanctions Regulations (as of the date of this Agreement, Cuba, Iran, North Korea, Syria, the Crimea region of Ukraine, the so-called Donetsk People’s Republic, and the so-called Luhansk People’s Republic) but excluding, for the elimination of doubt, the United States; or (e) a Person owned more than 50% by or otherwise controlled by a Person or Persons, country, territory or region in (a) through (d).</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144</w:t>
      </w:r>
      <w:r>
        <w:rPr>
          <w:rFonts w:ascii="Times New Roman" w:cs="Times New Roman" w:eastAsia="Times New Roman" w:hAnsi="Times New Roman"/>
          <w:sz w:val="20"/>
          <w:szCs w:val="20"/>
          <w:color w:val="auto"/>
        </w:rPr>
        <w:t>” means Rule 144 promulgated under the Securities Act.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144A</w:t>
      </w:r>
      <w:r>
        <w:rPr>
          <w:rFonts w:ascii="Times New Roman" w:cs="Times New Roman" w:eastAsia="Times New Roman" w:hAnsi="Times New Roman"/>
          <w:sz w:val="20"/>
          <w:szCs w:val="20"/>
          <w:color w:val="auto"/>
        </w:rPr>
        <w:t>” means Rule 144A promulgated under the Securities Act.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144A 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903</w:t>
      </w:r>
      <w:r>
        <w:rPr>
          <w:rFonts w:ascii="Times New Roman" w:cs="Times New Roman" w:eastAsia="Times New Roman" w:hAnsi="Times New Roman"/>
          <w:sz w:val="20"/>
          <w:szCs w:val="20"/>
          <w:color w:val="auto"/>
        </w:rPr>
        <w:t>” means Rule 903 promulgated under the Securities Act.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904</w:t>
      </w:r>
      <w:r>
        <w:rPr>
          <w:rFonts w:ascii="Times New Roman" w:cs="Times New Roman" w:eastAsia="Times New Roman" w:hAnsi="Times New Roman"/>
          <w:sz w:val="20"/>
          <w:szCs w:val="20"/>
          <w:color w:val="auto"/>
        </w:rPr>
        <w:t>” means Rule 904 promulgated under the Securities Act.</w:t>
      </w:r>
    </w:p>
    <w:p>
      <w:pPr>
        <w:spacing w:after="0" w:line="202"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Authorities</w:t>
      </w:r>
      <w:r>
        <w:rPr>
          <w:rFonts w:ascii="Times New Roman" w:cs="Times New Roman" w:eastAsia="Times New Roman" w:hAnsi="Times New Roman"/>
          <w:sz w:val="20"/>
          <w:szCs w:val="20"/>
          <w:color w:val="auto"/>
        </w:rPr>
        <w:t>” means (a) the United States; (b) the United Nations (acting through the United Nations Security Council as a whole and not each individual member or member state); (c) the European Union (as a whole and not each member state); (d) the United Kingdom; (e) Canada; or (f) the respective governmental institutions and agencies of any of the foregoing, including OFAC, the United States Department of State, and HMT.</w:t>
      </w:r>
    </w:p>
    <w:p>
      <w:pPr>
        <w:spacing w:after="0" w:line="151"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List</w:t>
      </w:r>
      <w:r>
        <w:rPr>
          <w:rFonts w:ascii="Times New Roman" w:cs="Times New Roman" w:eastAsia="Times New Roman" w:hAnsi="Times New Roman"/>
          <w:sz w:val="20"/>
          <w:szCs w:val="20"/>
          <w:color w:val="auto"/>
        </w:rPr>
        <w:t>” means the OFAC SDN List, the Consolidated List of Financial Sanctions Targets and the Investment Ban List maintained by HMT, or any similar list maintained by, or public announcement of sanctions designation under Sanctions Regulations made by, any of the Sanctions Authorities but excluding, in all cases, to the extent such list is made by any Sanctions Authority and targeted against the United States or Persons in or connected to the United States.</w:t>
      </w:r>
    </w:p>
    <w:p>
      <w:pPr>
        <w:spacing w:after="0" w:line="151" w:lineRule="exact"/>
        <w:rPr>
          <w:sz w:val="20"/>
          <w:szCs w:val="20"/>
          <w:color w:val="auto"/>
        </w:rPr>
      </w:pPr>
    </w:p>
    <w:p>
      <w:pPr>
        <w:jc w:val="both"/>
        <w:ind w:left="740" w:hanging="9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Regulations</w:t>
      </w:r>
      <w:r>
        <w:rPr>
          <w:rFonts w:ascii="Times New Roman" w:cs="Times New Roman" w:eastAsia="Times New Roman" w:hAnsi="Times New Roman"/>
          <w:sz w:val="20"/>
          <w:szCs w:val="20"/>
          <w:color w:val="auto"/>
        </w:rPr>
        <w:t>” means the applicable economic sanctions laws, regulations, embargoes or restrictive measures administered, enacted or enforced by the Sanctions Authorities, including the OFAC Laws but excluding, in all cases, to the extent administered, enacted or enforced by any other Sanctions Authority against the United States.</w:t>
      </w:r>
    </w:p>
    <w:p>
      <w:pPr>
        <w:spacing w:after="0" w:line="148"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Screened Affiliate</w:t>
      </w:r>
      <w:r>
        <w:rPr>
          <w:rFonts w:ascii="Times New Roman" w:cs="Times New Roman" w:eastAsia="Times New Roman" w:hAnsi="Times New Roman"/>
          <w:sz w:val="20"/>
          <w:szCs w:val="20"/>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 (iii) whose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74" w:name="page375"/>
    <w:bookmarkEnd w:id="374"/>
    <w:p>
      <w:pPr>
        <w:jc w:val="both"/>
        <w:ind w:left="640"/>
        <w:spacing w:after="0" w:line="281" w:lineRule="auto"/>
        <w:rPr>
          <w:sz w:val="20"/>
          <w:szCs w:val="20"/>
          <w:color w:val="auto"/>
        </w:rPr>
      </w:pPr>
      <w:r>
        <w:rPr>
          <w:rFonts w:ascii="Times New Roman" w:cs="Times New Roman" w:eastAsia="Times New Roman" w:hAnsi="Times New Roman"/>
          <w:sz w:val="19"/>
          <w:szCs w:val="19"/>
          <w:color w:val="auto"/>
        </w:rPr>
        <w:t>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Securities and Exchange Commission.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 xml:space="preserve">“Senior Financial Officer” </w:t>
      </w:r>
      <w:r>
        <w:rPr>
          <w:rFonts w:ascii="Times New Roman" w:cs="Times New Roman" w:eastAsia="Times New Roman" w:hAnsi="Times New Roman"/>
          <w:sz w:val="19"/>
          <w:szCs w:val="19"/>
          <w:color w:val="auto"/>
        </w:rPr>
        <w:t>means the chief financial officer, principal accounting officer, treasurer or comptroller of the Company.</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Bank Debt</w:t>
      </w:r>
      <w:r>
        <w:rPr>
          <w:rFonts w:ascii="Times New Roman" w:cs="Times New Roman" w:eastAsia="Times New Roman" w:hAnsi="Times New Roman"/>
          <w:sz w:val="20"/>
          <w:szCs w:val="20"/>
          <w:color w:val="auto"/>
        </w:rPr>
        <w:t>” has the meaning set forth in the Collateral and Intercreditor Agreement.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Bank Debt Holder Representative</w:t>
      </w:r>
      <w:r>
        <w:rPr>
          <w:rFonts w:ascii="Times New Roman" w:cs="Times New Roman" w:eastAsia="Times New Roman" w:hAnsi="Times New Roman"/>
          <w:sz w:val="20"/>
          <w:szCs w:val="20"/>
          <w:color w:val="auto"/>
        </w:rPr>
        <w:t>” has the meaning set forth in the Collateral and Intercreditor Agreement.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Creditor Representative</w:t>
      </w:r>
      <w:r>
        <w:rPr>
          <w:rFonts w:ascii="Times New Roman" w:cs="Times New Roman" w:eastAsia="Times New Roman" w:hAnsi="Times New Roman"/>
          <w:sz w:val="20"/>
          <w:szCs w:val="20"/>
          <w:color w:val="auto"/>
        </w:rPr>
        <w:t>” has the meaning set forth in the Collateral and Intercreditor Agreement.</w:t>
      </w:r>
    </w:p>
    <w:p>
      <w:pPr>
        <w:spacing w:after="0" w:line="229"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Rating Agency</w:t>
      </w:r>
      <w:r>
        <w:rPr>
          <w:rFonts w:ascii="Times New Roman" w:cs="Times New Roman" w:eastAsia="Times New Roman" w:hAnsi="Times New Roman"/>
          <w:sz w:val="20"/>
          <w:szCs w:val="20"/>
          <w:color w:val="auto"/>
        </w:rPr>
        <w:t>” means Moody’s, S&amp;P or Fitch or such other nationally recognized rating agency as approved by Noteholders that individually or collectively hold at least 25% of the then outstanding principal amount of the Notes.</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Subsequent Train Facility</w:t>
      </w:r>
      <w:r>
        <w:rPr>
          <w:rFonts w:ascii="Times New Roman" w:cs="Times New Roman" w:eastAsia="Times New Roman" w:hAnsi="Times New Roman"/>
          <w:sz w:val="20"/>
          <w:szCs w:val="20"/>
          <w:color w:val="auto"/>
        </w:rPr>
        <w:t>” has the meaning assigned to such term in the Definitions Agreement.</w:t>
      </w:r>
    </w:p>
    <w:p>
      <w:pPr>
        <w:spacing w:after="0" w:line="202"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Supplemental Indenture</w:t>
      </w:r>
      <w:r>
        <w:rPr>
          <w:rFonts w:ascii="Times New Roman" w:cs="Times New Roman" w:eastAsia="Times New Roman" w:hAnsi="Times New Roman"/>
          <w:sz w:val="20"/>
          <w:szCs w:val="20"/>
          <w:color w:val="auto"/>
        </w:rPr>
        <w:t xml:space="preserve">” means any indenture supplemental to this Indenture governing the terms and conditions of any Additional Notes issued from time to time pursuant to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in each case, to the extent that the Indebtedness evidence by any Additional Notes, and the terms and conditions of any such Indebtedness, Additional Notes and Supplemental Indenture, are permitted by this Indenture, including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Train Facility</w:t>
      </w:r>
      <w:r>
        <w:rPr>
          <w:rFonts w:ascii="Times New Roman" w:cs="Times New Roman" w:eastAsia="Times New Roman" w:hAnsi="Times New Roman"/>
          <w:sz w:val="20"/>
          <w:szCs w:val="20"/>
          <w:color w:val="auto"/>
        </w:rPr>
        <w:t>” has the meaning assigned to such term in the Definitions Agreement.</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Treasury Rate</w:t>
      </w:r>
      <w:r>
        <w:rPr>
          <w:rFonts w:ascii="Times New Roman" w:cs="Times New Roman" w:eastAsia="Times New Roman" w:hAnsi="Times New Roman"/>
          <w:sz w:val="20"/>
          <w:szCs w:val="20"/>
          <w:color w:val="auto"/>
        </w:rPr>
        <w:t>” means, with respect to any redemption date, the yield determined by the Company in accordance with the following two paragraphs.</w:t>
      </w:r>
    </w:p>
    <w:p>
      <w:pPr>
        <w:spacing w:after="0" w:line="129"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9"/>
          <w:szCs w:val="19"/>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75" w:name="page376"/>
    <w:bookmarkEnd w:id="375"/>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6"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66" w:lineRule="exact"/>
        <w:rPr>
          <w:sz w:val="20"/>
          <w:szCs w:val="20"/>
          <w:color w:val="auto"/>
        </w:rPr>
      </w:pPr>
    </w:p>
    <w:p>
      <w:pPr>
        <w:jc w:val="both"/>
        <w:ind w:left="6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means Wilmington Trust, National Association, until a successor replaces it in accordance with the applicable provisions of this Indenture and thereafter means the successor serving hereunder.</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 Person</w:t>
      </w:r>
      <w:r>
        <w:rPr>
          <w:rFonts w:ascii="Times New Roman" w:cs="Times New Roman" w:eastAsia="Times New Roman" w:hAnsi="Times New Roman"/>
          <w:sz w:val="20"/>
          <w:szCs w:val="20"/>
          <w:color w:val="auto"/>
        </w:rPr>
        <w:t>” means a “U.S. person” as defined in Rule 902(k) promulgated under the Securities Act.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Unrestricted Definitive Note</w:t>
      </w:r>
      <w:r>
        <w:rPr>
          <w:rFonts w:ascii="Times New Roman" w:cs="Times New Roman" w:eastAsia="Times New Roman" w:hAnsi="Times New Roman"/>
          <w:sz w:val="19"/>
          <w:szCs w:val="19"/>
          <w:color w:val="auto"/>
        </w:rPr>
        <w:t>” means a Definitive Note that does not bear and is not required to bear the Private Placement Legend.</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Noteholder</w:t>
      </w:r>
      <w:r>
        <w:rPr>
          <w:rFonts w:ascii="Times New Roman" w:cs="Times New Roman" w:eastAsia="Times New Roman" w:hAnsi="Times New Roman"/>
          <w:sz w:val="20"/>
          <w:szCs w:val="20"/>
          <w:color w:val="auto"/>
        </w:rPr>
        <w:t>” means a Noteholder that is a U.S. Person.</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means a “United States Person” as defined in Section 7701(a)(30) of the Code.</w:t>
      </w:r>
    </w:p>
    <w:p>
      <w:pPr>
        <w:spacing w:after="0" w:line="216"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USA Patriot Act</w:t>
      </w:r>
      <w:r>
        <w:rPr>
          <w:rFonts w:ascii="Times New Roman" w:cs="Times New Roman" w:eastAsia="Times New Roman" w:hAnsi="Times New Roman"/>
          <w:sz w:val="20"/>
          <w:szCs w:val="20"/>
          <w:color w:val="auto"/>
        </w:rPr>
        <w:t>” means United States Public Law 107-56, Uniting and Strengthening America by Providing Appropriate Tools Required to Intercept and Obstruct Terrorism (USA PATRIOT ACT) of 2001, and the rules and regulations promulgated thereunder from time to time in effect.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Voluntary Equity Contributions</w:t>
      </w:r>
      <w:r>
        <w:rPr>
          <w:rFonts w:ascii="Times New Roman" w:cs="Times New Roman" w:eastAsia="Times New Roman" w:hAnsi="Times New Roman"/>
          <w:sz w:val="20"/>
          <w:szCs w:val="20"/>
          <w:color w:val="auto"/>
        </w:rPr>
        <w:t>” has the meaning assigned to such term in the P1 Equity Contribution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76" w:name="page377"/>
    <w:bookmarkEnd w:id="376"/>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Waive</w:t>
      </w:r>
      <w:r>
        <w:rPr>
          <w:rFonts w:ascii="Times New Roman" w:cs="Times New Roman" w:eastAsia="Times New Roman" w:hAnsi="Times New Roman"/>
          <w:sz w:val="20"/>
          <w:szCs w:val="20"/>
          <w:color w:val="auto"/>
        </w:rPr>
        <w:t>” has the meaning set forth in the Collateral and Intercreditor Agreement.</w:t>
      </w:r>
    </w:p>
    <w:p>
      <w:pPr>
        <w:spacing w:after="0" w:line="202"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Interpretation</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In this Indenture, except to the extent specified to the contrary or where context otherwise requires, the provisions of Section 1.2 (</w:t>
      </w:r>
      <w:r>
        <w:rPr>
          <w:rFonts w:ascii="Times New Roman" w:cs="Times New Roman" w:eastAsia="Times New Roman" w:hAnsi="Times New Roman"/>
          <w:sz w:val="20"/>
          <w:szCs w:val="20"/>
          <w:i w:val="1"/>
          <w:iCs w:val="1"/>
          <w:color w:val="auto"/>
        </w:rPr>
        <w:t>Interpretation</w:t>
      </w:r>
      <w:r>
        <w:rPr>
          <w:rFonts w:ascii="Times New Roman" w:cs="Times New Roman" w:eastAsia="Times New Roman" w:hAnsi="Times New Roman"/>
          <w:sz w:val="20"/>
          <w:szCs w:val="20"/>
          <w:color w:val="auto"/>
        </w:rPr>
        <w:t>) of the Common Terms Agreement shall be applied.</w:t>
      </w:r>
    </w:p>
    <w:p>
      <w:pPr>
        <w:spacing w:after="0" w:line="13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UCC Terms</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used herein that are defined in the UCC shall have the respective meanings given to those terms in the UCC.</w:t>
      </w:r>
    </w:p>
    <w:p>
      <w:pPr>
        <w:spacing w:after="0" w:line="13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Accounting and Financial Determinations</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Except as otherwise expressly provided herein, all terms of an accounting or financial nature shall be construed in accordance with GAAP, as in effect from time to time. If at any time any change in GAAP would affect the computation of any financial ratio or requirement set forth herein, then such ratio or requirement shall be modified in a manner determined as soon as reasonably practicable and in good faith by the Company and set forth in a written notice to the Trustee that preserves the original intent thereof in light of such change in GAAP.</w:t>
      </w:r>
    </w:p>
    <w:p>
      <w:pPr>
        <w:spacing w:after="0" w:line="16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THE NOTES</w:t>
      </w:r>
    </w:p>
    <w:p>
      <w:pPr>
        <w:spacing w:after="0" w:line="2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Form and Dating</w:t>
      </w:r>
    </w:p>
    <w:p>
      <w:pPr>
        <w:spacing w:after="0" w:line="212" w:lineRule="exact"/>
        <w:rPr>
          <w:sz w:val="20"/>
          <w:szCs w:val="20"/>
          <w:color w:val="auto"/>
        </w:rPr>
      </w:pPr>
    </w:p>
    <w:p>
      <w:pPr>
        <w:ind w:left="1280" w:hanging="634"/>
        <w:spacing w:after="0" w:line="255" w:lineRule="auto"/>
        <w:tabs>
          <w:tab w:leader="none" w:pos="1194" w:val="left"/>
        </w:tabs>
        <w:numPr>
          <w:ilvl w:val="0"/>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The terms and provisions contained in the Notes will constitute, and are hereby expressly made, a part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70" w:lineRule="exact"/>
        <w:rPr>
          <w:rFonts w:ascii="Times New Roman" w:cs="Times New Roman" w:eastAsia="Times New Roman" w:hAnsi="Times New Roman"/>
          <w:sz w:val="20"/>
          <w:szCs w:val="20"/>
          <w:color w:val="auto"/>
        </w:rPr>
      </w:pPr>
    </w:p>
    <w:p>
      <w:pPr>
        <w:ind w:left="1280" w:hanging="634"/>
        <w:spacing w:after="0" w:line="273" w:lineRule="auto"/>
        <w:tabs>
          <w:tab w:leader="none" w:pos="1124" w:val="left"/>
        </w:tabs>
        <w:numPr>
          <w:ilvl w:val="0"/>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Additional Notes</w:t>
      </w:r>
      <w:r>
        <w:rPr>
          <w:rFonts w:ascii="Times New Roman" w:cs="Times New Roman" w:eastAsia="Times New Roman" w:hAnsi="Times New Roman"/>
          <w:sz w:val="20"/>
          <w:szCs w:val="20"/>
          <w:color w:val="auto"/>
        </w:rPr>
        <w:t>. Subject to compliance with the provisions of this Indenture, the Company may from time to time after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Issue Date issue Additional Notes as provided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which is incorporated by reference in this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Execution and Authentication</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At least one Authorized Officer must sign the Notes for the Company by manual or electronically imaged signature.</w:t>
      </w:r>
    </w:p>
    <w:p>
      <w:pPr>
        <w:spacing w:after="0" w:line="202" w:lineRule="exact"/>
        <w:rPr>
          <w:sz w:val="20"/>
          <w:szCs w:val="20"/>
          <w:color w:val="auto"/>
        </w:rPr>
      </w:pPr>
    </w:p>
    <w:p>
      <w:pPr>
        <w:ind w:left="640" w:right="20"/>
        <w:spacing w:after="0" w:line="283" w:lineRule="auto"/>
        <w:rPr>
          <w:sz w:val="20"/>
          <w:szCs w:val="20"/>
          <w:color w:val="auto"/>
        </w:rPr>
      </w:pPr>
      <w:r>
        <w:rPr>
          <w:rFonts w:ascii="Times New Roman" w:cs="Times New Roman" w:eastAsia="Times New Roman" w:hAnsi="Times New Roman"/>
          <w:sz w:val="20"/>
          <w:szCs w:val="20"/>
          <w:color w:val="auto"/>
        </w:rPr>
        <w:t>If an Authorized Officer whose signature is on a Note no longer holds that office at the time a Note is authenticated, the Note will nevertheless be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77" w:name="page378"/>
    <w:bookmarkEnd w:id="377"/>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A Note will not be valid until authenticated by the manual or electronically imaged signature of the Trustee. The signature will be conclusive evidence that the Note has been authenticated under this Indenture.</w:t>
      </w:r>
    </w:p>
    <w:p>
      <w:pPr>
        <w:spacing w:after="0" w:line="129"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0"/>
          <w:szCs w:val="20"/>
          <w:color w:val="auto"/>
        </w:rPr>
        <w:t>The Trustee will, upon receipt of a written order of the Company signed by at least one Authorized Officer (an “</w:t>
      </w:r>
      <w:r>
        <w:rPr>
          <w:rFonts w:ascii="Times New Roman" w:cs="Times New Roman" w:eastAsia="Times New Roman" w:hAnsi="Times New Roman"/>
          <w:sz w:val="20"/>
          <w:szCs w:val="20"/>
          <w:b w:val="1"/>
          <w:bCs w:val="1"/>
          <w:color w:val="auto"/>
        </w:rPr>
        <w:t>Authentication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authenticate Notes for original issue that may be validly issued under this Indenture, including any Additional Notes.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aggregate principal amount of Notes outstanding at any time may not exceed the aggregate principal amount of Notes authorized for issuance by the Company pursuant to one or more Authentication Orders, except as provided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Noteholders or an Affiliate of the Company.</w:t>
      </w:r>
    </w:p>
    <w:p>
      <w:pPr>
        <w:spacing w:after="0" w:line="15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The Initial Notes and the Additional Notes shall be treated as a single class for all purposes under this Indenture, and unless the context otherwise requires, all references to the Notes shall include the Initial Notes and any Additional Notes. Nothing in this paragraph shall be deemed to modify, replace or otherwise affect the restrictions on transfer applicable to Restricted Definitive Notes set forth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Registrar and Paying Agent</w:t>
      </w:r>
    </w:p>
    <w:p>
      <w:pPr>
        <w:spacing w:after="0" w:line="198"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Trustee is hereby appointed “</w:t>
      </w:r>
      <w:r>
        <w:rPr>
          <w:rFonts w:ascii="Times New Roman" w:cs="Times New Roman" w:eastAsia="Times New Roman" w:hAnsi="Times New Roman"/>
          <w:sz w:val="20"/>
          <w:szCs w:val="20"/>
          <w:b w:val="1"/>
          <w:bCs w:val="1"/>
          <w:color w:val="auto"/>
        </w:rPr>
        <w:t>Registrar</w:t>
      </w:r>
      <w:r>
        <w:rPr>
          <w:rFonts w:ascii="Times New Roman" w:cs="Times New Roman" w:eastAsia="Times New Roman" w:hAnsi="Times New Roman"/>
          <w:sz w:val="20"/>
          <w:szCs w:val="20"/>
          <w:color w:val="auto"/>
        </w:rPr>
        <w:t>” for the purpose of registering Notes and transfers of Notes as herein provided (including any temporary Notes). The Registrar shall keep a register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in which, subject to such reasonable regulations as it may prescribe, the Registrar shall, subject to the provisions hereof, provide for the registration of Notes and transfers of Notes. The Register is intended to cause each Note and other obligation hereunder to be in registered form within the meaning of Section 5f.103-1(c) of the United States Treasury Regulations and Proposed Treasury Regulations Section 1.163-5(b) (or any amended or successor version) and within the meaning of Sections 163(f), 871(h)(2) and 881(c)(2) of the Code and any related United States Treasury Regulations (or any other relevant or successor provisions of the Code or of such United States Treasury Regulations). The entries in the Register shall be conclusive and binding for all purposes, absent manifest error, and the Company, the Trustee, and the Holders shall treat each Person whose name is recorded in the Register pursuant to the terms of this Indenture as a Holder for all purposes of this Indenture. The Register shall be available for inspection by the Company and each Holder (but only as to its own holdings), at any reasonable time and from time to time upon reasonable prior notice.</w:t>
      </w:r>
    </w:p>
    <w:p>
      <w:pPr>
        <w:spacing w:after="0" w:line="166"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Subject to the provisions hereof upon surrender for registration of transfer of any Definitive Note of any series to the Trustee, the Company shall execute, and the Trustee shall authenticate and deliver, in the name of the designated transferee or transferees, one or more new Definitive Notes of the same series of any authorized denominations and of a like aggregate principal amount.</w:t>
      </w:r>
    </w:p>
    <w:p>
      <w:pPr>
        <w:spacing w:after="0" w:line="148" w:lineRule="exact"/>
        <w:rPr>
          <w:sz w:val="20"/>
          <w:szCs w:val="20"/>
          <w:color w:val="auto"/>
        </w:rPr>
      </w:pPr>
    </w:p>
    <w:p>
      <w:pPr>
        <w:jc w:val="both"/>
        <w:ind w:left="640" w:right="20"/>
        <w:spacing w:after="0" w:line="261" w:lineRule="auto"/>
        <w:rPr>
          <w:sz w:val="20"/>
          <w:szCs w:val="20"/>
          <w:color w:val="auto"/>
        </w:rPr>
      </w:pPr>
      <w:r>
        <w:rPr>
          <w:rFonts w:ascii="Times New Roman" w:cs="Times New Roman" w:eastAsia="Times New Roman" w:hAnsi="Times New Roman"/>
          <w:sz w:val="20"/>
          <w:szCs w:val="20"/>
          <w:color w:val="auto"/>
        </w:rPr>
        <w:t>Subject to the provisions hereof, at the option of the Noteholder, Definitive Notes of any series may be exchanged for other Definitive Notes of the same series, of any authorized denominations and of a like aggregate principal amount, upon surrender of the Definitive Notes to be exchanged at such office or agency. Whenever any Definitive Notes are so surrendered for exchange,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78" w:name="page379"/>
    <w:bookmarkEnd w:id="378"/>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Company shall execute, and the Trustee shall authenticate and deliver, the Definitive Notes which the Noteholder making the exchange is entitled to receive.</w:t>
      </w:r>
    </w:p>
    <w:p>
      <w:pPr>
        <w:spacing w:after="0" w:line="13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All Notes issued upon any registration of transfer or exchange of Notes shall be the valid obligations of the Company, evidencing the same debt, and entitled to the same benefits and subject to the same obligations under this Indenture, as the Notes surrendered upon such registration of transfer or exchange.</w:t>
      </w:r>
    </w:p>
    <w:p>
      <w:pPr>
        <w:spacing w:after="0" w:line="15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Every Note presented or surrendered for registration of transfer or for exchange shall (if so required by the Company or the Trustee) be duly endorsed, or be accompanied by a written instrument of transfer, in form satisfactory to the Company and the Registrar, duly executed by the Noteholder thereof or its attorney duly authorized in writing.</w:t>
      </w:r>
    </w:p>
    <w:p>
      <w:pPr>
        <w:spacing w:after="0" w:line="168"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All Notes shall be issued in the form of Definitive Notes, which Notes shall be issued to and delivered to each applicable Noteholder or, at the Noteholder’s option, the Custodian.</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Company initially appoints the Trustee to act as paying agent with respect to the Notes (the “</w:t>
      </w: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Paying Agent to Hold Money in Trust</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Company will require each Paying Agent other than the Trustee to agree in writing that the Paying Agent will hold in trust for the benefit of the Noteholders or the Trustee all money held by the Paying Agent for the payment of principal, premium,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will have no further liability for the money. If the Company acts as Paying Agent, it will segregate and hold in a separate trust fund for the benefit of the Noteholders all money held by it as Paying Agent. Upon any bankruptcy or reorganization proceedings relating to the Company, the Trustee will serve as Paying Agent for the Notes.</w:t>
      </w:r>
    </w:p>
    <w:p>
      <w:pPr>
        <w:spacing w:after="0" w:line="16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Noteholder Lists</w:t>
      </w:r>
    </w:p>
    <w:p>
      <w:pPr>
        <w:spacing w:after="0" w:line="216"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Trustee will preserve in as current a form as is reasonably practicable the most recent list available to it of the names and addresses of all Noteholders.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Noteholders.</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Transfer and Exchange</w:t>
      </w:r>
    </w:p>
    <w:p>
      <w:pPr>
        <w:spacing w:after="0" w:line="198" w:lineRule="exact"/>
        <w:rPr>
          <w:sz w:val="20"/>
          <w:szCs w:val="20"/>
          <w:color w:val="auto"/>
        </w:rPr>
      </w:pPr>
    </w:p>
    <w:p>
      <w:pPr>
        <w:ind w:left="1280" w:hanging="634"/>
        <w:spacing w:after="0" w:line="254" w:lineRule="auto"/>
        <w:tabs>
          <w:tab w:leader="none" w:pos="1127" w:val="left"/>
        </w:tabs>
        <w:numPr>
          <w:ilvl w:val="0"/>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and Exchange of Definitive Notes for Definitive Notes</w:t>
      </w:r>
      <w:r>
        <w:rPr>
          <w:rFonts w:ascii="Times New Roman" w:cs="Times New Roman" w:eastAsia="Times New Roman" w:hAnsi="Times New Roman"/>
          <w:sz w:val="20"/>
          <w:szCs w:val="20"/>
          <w:color w:val="auto"/>
        </w:rPr>
        <w:t>. Upon request by a Noteholder of Definitive Notes and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Noteholder’s compliance with the provisions of this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 the Registrar will register the transfer or exchange of Definitive Notes. Prior to such registration of transfer or exchange, the requesting Noteholder must present or surrender to the Registrar the Definitive Notes duly endorsed or accompanied by a written instruction of transfer in form satisfactory to the Registrar duly executed by such Noteholder or by its attorney, duly authorized in writing. In addition, the requesting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79" w:name="page380"/>
    <w:bookmarkEnd w:id="379"/>
    <w:p>
      <w:pPr>
        <w:ind w:left="1280" w:right="20"/>
        <w:spacing w:after="0" w:line="283" w:lineRule="auto"/>
        <w:rPr>
          <w:sz w:val="20"/>
          <w:szCs w:val="20"/>
          <w:color w:val="auto"/>
        </w:rPr>
      </w:pPr>
      <w:r>
        <w:rPr>
          <w:rFonts w:ascii="Times New Roman" w:cs="Times New Roman" w:eastAsia="Times New Roman" w:hAnsi="Times New Roman"/>
          <w:sz w:val="20"/>
          <w:szCs w:val="20"/>
          <w:color w:val="auto"/>
        </w:rPr>
        <w:t xml:space="preserve">Noteholder must provide any additional certifications, documents and information, as applicable, required pursuant to the following provisions of this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ind w:left="1920" w:hanging="636"/>
        <w:spacing w:after="0" w:line="263" w:lineRule="auto"/>
        <w:tabs>
          <w:tab w:leader="none" w:pos="1749"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Restricted Definitive Notes to Restricted Definitive Notes</w:t>
      </w:r>
      <w:r>
        <w:rPr>
          <w:rFonts w:ascii="Times New Roman" w:cs="Times New Roman" w:eastAsia="Times New Roman" w:hAnsi="Times New Roman"/>
          <w:sz w:val="20"/>
          <w:szCs w:val="20"/>
          <w:color w:val="auto"/>
        </w:rPr>
        <w:t>. Any Restricted Definitive Note may be transferred to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registered in the name of Persons who take delivery thereof in the form of a Restricted Definitive Note if the Registrar receives the following:</w:t>
      </w:r>
    </w:p>
    <w:p>
      <w:pPr>
        <w:spacing w:after="0" w:line="152" w:lineRule="exact"/>
        <w:rPr>
          <w:rFonts w:ascii="Times New Roman" w:cs="Times New Roman" w:eastAsia="Times New Roman" w:hAnsi="Times New Roman"/>
          <w:sz w:val="20"/>
          <w:szCs w:val="20"/>
          <w:color w:val="auto"/>
        </w:rPr>
      </w:pPr>
    </w:p>
    <w:p>
      <w:pPr>
        <w:ind w:left="2560" w:right="20" w:hanging="639"/>
        <w:spacing w:after="0" w:line="283" w:lineRule="auto"/>
        <w:tabs>
          <w:tab w:leader="none" w:pos="2419" w:val="left"/>
        </w:tabs>
        <w:numPr>
          <w:ilvl w:val="1"/>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144A,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(1) thereof;</w:t>
      </w:r>
    </w:p>
    <w:p>
      <w:pPr>
        <w:spacing w:after="0" w:line="132" w:lineRule="exact"/>
        <w:rPr>
          <w:rFonts w:ascii="Times New Roman" w:cs="Times New Roman" w:eastAsia="Times New Roman" w:hAnsi="Times New Roman"/>
          <w:sz w:val="20"/>
          <w:szCs w:val="20"/>
          <w:color w:val="auto"/>
        </w:rPr>
      </w:pPr>
    </w:p>
    <w:p>
      <w:pPr>
        <w:ind w:left="2560" w:right="20" w:hanging="639"/>
        <w:spacing w:after="0" w:line="283" w:lineRule="auto"/>
        <w:tabs>
          <w:tab w:leader="none" w:pos="2426" w:val="left"/>
        </w:tabs>
        <w:numPr>
          <w:ilvl w:val="1"/>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(2) thereof; and</w:t>
      </w:r>
    </w:p>
    <w:p>
      <w:pPr>
        <w:spacing w:after="0" w:line="132" w:lineRule="exact"/>
        <w:rPr>
          <w:rFonts w:ascii="Times New Roman" w:cs="Times New Roman" w:eastAsia="Times New Roman" w:hAnsi="Times New Roman"/>
          <w:sz w:val="20"/>
          <w:szCs w:val="20"/>
          <w:color w:val="auto"/>
        </w:rPr>
      </w:pPr>
    </w:p>
    <w:p>
      <w:pPr>
        <w:ind w:left="2560" w:hanging="639"/>
        <w:spacing w:after="0" w:line="261" w:lineRule="auto"/>
        <w:tabs>
          <w:tab w:leader="none" w:pos="2386" w:val="left"/>
        </w:tabs>
        <w:numPr>
          <w:ilvl w:val="1"/>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certificates and Opinion of Counsel required by item (3) thereof, if applicable.</w:t>
      </w:r>
    </w:p>
    <w:p>
      <w:pPr>
        <w:spacing w:after="0" w:line="150" w:lineRule="exact"/>
        <w:rPr>
          <w:rFonts w:ascii="Times New Roman" w:cs="Times New Roman" w:eastAsia="Times New Roman" w:hAnsi="Times New Roman"/>
          <w:sz w:val="20"/>
          <w:szCs w:val="20"/>
          <w:color w:val="auto"/>
        </w:rPr>
      </w:pPr>
    </w:p>
    <w:p>
      <w:pPr>
        <w:ind w:left="1920" w:hanging="636"/>
        <w:spacing w:after="0" w:line="270" w:lineRule="auto"/>
        <w:tabs>
          <w:tab w:leader="none" w:pos="1749"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Restricted Definitive Notes to Unrestricted Definitive Notes</w:t>
      </w:r>
      <w:r>
        <w:rPr>
          <w:rFonts w:ascii="Times New Roman" w:cs="Times New Roman" w:eastAsia="Times New Roman" w:hAnsi="Times New Roman"/>
          <w:sz w:val="20"/>
          <w:szCs w:val="20"/>
          <w:color w:val="auto"/>
        </w:rPr>
        <w:t>. Any Restricted Definitive Note may be exchanged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Noteholder thereof for an Unrestricted Definitive Note or transferred to a Person or Persons who take delivery thereof in the form of an Unrestricted Definitive Note if the Registrar receives the following:</w:t>
      </w:r>
    </w:p>
    <w:p>
      <w:pPr>
        <w:spacing w:after="0" w:line="145" w:lineRule="exact"/>
        <w:rPr>
          <w:rFonts w:ascii="Times New Roman" w:cs="Times New Roman" w:eastAsia="Times New Roman" w:hAnsi="Times New Roman"/>
          <w:sz w:val="20"/>
          <w:szCs w:val="20"/>
          <w:color w:val="auto"/>
        </w:rPr>
      </w:pPr>
    </w:p>
    <w:p>
      <w:pPr>
        <w:ind w:left="2560" w:hanging="639"/>
        <w:spacing w:after="0" w:line="261" w:lineRule="auto"/>
        <w:tabs>
          <w:tab w:leader="none" w:pos="2485" w:val="left"/>
        </w:tabs>
        <w:numPr>
          <w:ilvl w:val="1"/>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of such Restricted Definitive Notes proposes to exchange such Notes for an Unrestricted Definitive Note, a certificate from such Noteholder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including the certifications in item (1)(a) thereof; or</w:t>
      </w:r>
    </w:p>
    <w:p>
      <w:pPr>
        <w:spacing w:after="0" w:line="154" w:lineRule="exact"/>
        <w:rPr>
          <w:rFonts w:ascii="Times New Roman" w:cs="Times New Roman" w:eastAsia="Times New Roman" w:hAnsi="Times New Roman"/>
          <w:sz w:val="20"/>
          <w:szCs w:val="20"/>
          <w:color w:val="auto"/>
        </w:rPr>
      </w:pPr>
    </w:p>
    <w:p>
      <w:pPr>
        <w:ind w:left="2560" w:hanging="639"/>
        <w:spacing w:after="0" w:line="261" w:lineRule="auto"/>
        <w:tabs>
          <w:tab w:leader="none" w:pos="2384" w:val="left"/>
        </w:tabs>
        <w:numPr>
          <w:ilvl w:val="1"/>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Noteholder of such Restricted Definitive Notes proposes to transfer such Notes to a Person who shall take delivery thereof in the form of an Unrestricted Definitive Note, a certificate from such Noteholder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including the certifications in item (4) thereof;</w:t>
      </w:r>
    </w:p>
    <w:p>
      <w:pPr>
        <w:spacing w:after="0" w:line="168" w:lineRule="exact"/>
        <w:rPr>
          <w:sz w:val="20"/>
          <w:szCs w:val="20"/>
          <w:color w:val="auto"/>
        </w:rPr>
      </w:pPr>
    </w:p>
    <w:p>
      <w:pPr>
        <w:jc w:val="both"/>
        <w:ind w:left="1920"/>
        <w:spacing w:after="0" w:line="258" w:lineRule="auto"/>
        <w:rPr>
          <w:sz w:val="20"/>
          <w:szCs w:val="20"/>
          <w:color w:val="auto"/>
        </w:rPr>
      </w:pPr>
      <w:r>
        <w:rPr>
          <w:rFonts w:ascii="Times New Roman" w:cs="Times New Roman" w:eastAsia="Times New Roman" w:hAnsi="Times New Roman"/>
          <w:sz w:val="20"/>
          <w:szCs w:val="20"/>
          <w:color w:val="auto"/>
        </w:rPr>
        <w:t>and, in each such case,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5" w:lineRule="exact"/>
        <w:rPr>
          <w:sz w:val="20"/>
          <w:szCs w:val="20"/>
          <w:color w:val="auto"/>
        </w:rPr>
      </w:pPr>
    </w:p>
    <w:p>
      <w:pPr>
        <w:jc w:val="both"/>
        <w:ind w:left="1920" w:hanging="636"/>
        <w:spacing w:after="0" w:line="260" w:lineRule="auto"/>
        <w:tabs>
          <w:tab w:leader="none" w:pos="1858" w:val="left"/>
        </w:tabs>
        <w:numPr>
          <w:ilvl w:val="0"/>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Unrestricted Definitive Notes to Unrestricted Definitive Notes</w:t>
      </w:r>
      <w:r>
        <w:rPr>
          <w:rFonts w:ascii="Times New Roman" w:cs="Times New Roman" w:eastAsia="Times New Roman" w:hAnsi="Times New Roman"/>
          <w:sz w:val="20"/>
          <w:szCs w:val="20"/>
          <w:color w:val="auto"/>
        </w:rPr>
        <w:t>. A Noteholder of Unrestricted Definitive Notes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Noteholder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80" w:name="page381"/>
    <w:bookmarkEnd w:id="380"/>
    <w:p>
      <w:pPr>
        <w:ind w:left="1280" w:hanging="634"/>
        <w:spacing w:after="0" w:line="287" w:lineRule="auto"/>
        <w:tabs>
          <w:tab w:leader="none" w:pos="1111"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Legends</w:t>
      </w:r>
      <w:r>
        <w:rPr>
          <w:rFonts w:ascii="Times New Roman" w:cs="Times New Roman" w:eastAsia="Times New Roman" w:hAnsi="Times New Roman"/>
          <w:sz w:val="20"/>
          <w:szCs w:val="20"/>
          <w:color w:val="auto"/>
        </w:rPr>
        <w:t>. The following legends will appear on the face of all Definitive Notes issued under this Indenture unless specifically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stated otherwise in the applicable provisions of this Indenture or any Supplemental Indenture governing Additional Notes.</w:t>
      </w:r>
    </w:p>
    <w:p>
      <w:pPr>
        <w:spacing w:after="0" w:line="124" w:lineRule="exact"/>
        <w:rPr>
          <w:rFonts w:ascii="Times New Roman" w:cs="Times New Roman" w:eastAsia="Times New Roman" w:hAnsi="Times New Roman"/>
          <w:sz w:val="20"/>
          <w:szCs w:val="20"/>
          <w:color w:val="auto"/>
        </w:rPr>
      </w:pPr>
    </w:p>
    <w:p>
      <w:pPr>
        <w:ind w:left="1660" w:hanging="376"/>
        <w:spacing w:after="0"/>
        <w:tabs>
          <w:tab w:leader="none" w:pos="1660" w:val="left"/>
        </w:tabs>
        <w:numPr>
          <w:ilvl w:val="1"/>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Private Placement Legend</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2560" w:hanging="639"/>
        <w:spacing w:after="0" w:line="283" w:lineRule="auto"/>
        <w:tabs>
          <w:tab w:leader="none" w:pos="2523"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permitted by </w:t>
      </w:r>
      <w:r>
        <w:rPr>
          <w:rFonts w:ascii="Times New Roman" w:cs="Times New Roman" w:eastAsia="Times New Roman" w:hAnsi="Times New Roman"/>
          <w:sz w:val="20"/>
          <w:szCs w:val="20"/>
          <w:u w:val="single" w:color="auto"/>
          <w:color w:val="auto"/>
        </w:rPr>
        <w:t>subparagraph (B)</w:t>
      </w:r>
      <w:r>
        <w:rPr>
          <w:rFonts w:ascii="Times New Roman" w:cs="Times New Roman" w:eastAsia="Times New Roman" w:hAnsi="Times New Roman"/>
          <w:sz w:val="20"/>
          <w:szCs w:val="20"/>
          <w:color w:val="auto"/>
        </w:rPr>
        <w:t xml:space="preserve"> below, each Definitive Note (and all Notes issued in exchange therefor or substitution thereof) shall bear the legend in substantially the following form:</w:t>
      </w:r>
    </w:p>
    <w:p>
      <w:pPr>
        <w:spacing w:after="0" w:line="133" w:lineRule="exact"/>
        <w:rPr>
          <w:sz w:val="20"/>
          <w:szCs w:val="20"/>
          <w:color w:val="auto"/>
        </w:rPr>
      </w:pPr>
    </w:p>
    <w:p>
      <w:pPr>
        <w:jc w:val="both"/>
        <w:ind w:left="2600"/>
        <w:spacing w:after="0" w:line="250" w:lineRule="auto"/>
        <w:rPr>
          <w:sz w:val="20"/>
          <w:szCs w:val="20"/>
          <w:color w:val="auto"/>
        </w:rPr>
      </w:pPr>
      <w:r>
        <w:rPr>
          <w:rFonts w:ascii="Times New Roman" w:cs="Times New Roman" w:eastAsia="Times New Roman" w:hAnsi="Times New Roman"/>
          <w:sz w:val="20"/>
          <w:szCs w:val="20"/>
          <w:color w:val="auto"/>
        </w:rPr>
        <w:t>THE NOTES EVIDENCED BY THIS CERTIFICATE HAVE NOT BEEN REGISTERED UNDER THE UNITED STATES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xml:space="preserve">”), AND MAY NOT BE SOLD OR OTHERWISE TRANSFERRED IN THE ABSENCE OF SUCH REGISTRATION OR AN APPLICABLE EXEMPTION THEREFROM. SUCH NOTES MAY NOT BE REOFFERED, SOLD, PLEDGED, OR OTHERWISE TRANSFERRED EXCEPT (A) TO THE COMPANY (UPON REDEMPTION OR OTHERWISE), (B) PURSUANT TO RULE 144 UNDER THE SECURITIES ACT (IF AVAILABLE) OR PURSUANT TO ANOTHER APPLICABLE EXEMPTION FROM REGISTRATION UNDER THE SECURITIES ACT, OR (C) PURSUANT TO AN EFFECTIVE REGISTRATION STATEMENT UNDER THE SECURITIES ACT, AND, IN EACH CASE, IN ACCORDANCE WITH ALL APPLICABLE SECURITIES LAWS OF THE STATES OF THE UNITED STATES AND OTHER JURISDICTIONS;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SALE OR TRANSFER SHALL BE SUBJECT TO THE RESTRICTIONS CONTAINED IN SECTIONS 2.3 AND 2.6 OF THE INDENTURE AMONG THE PARTIES THERETO.</w:t>
      </w:r>
    </w:p>
    <w:p>
      <w:pPr>
        <w:spacing w:after="0" w:line="166" w:lineRule="exact"/>
        <w:rPr>
          <w:sz w:val="20"/>
          <w:szCs w:val="20"/>
          <w:color w:val="auto"/>
        </w:rPr>
      </w:pPr>
    </w:p>
    <w:p>
      <w:pPr>
        <w:ind w:left="2560" w:hanging="639"/>
        <w:spacing w:after="0" w:line="268" w:lineRule="auto"/>
        <w:tabs>
          <w:tab w:leader="none" w:pos="2438" w:val="left"/>
        </w:tabs>
        <w:numPr>
          <w:ilvl w:val="2"/>
          <w:numId w:val="4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any Definitive Note issued pursuant to </w:t>
      </w:r>
      <w:r>
        <w:rPr>
          <w:rFonts w:ascii="Times New Roman" w:cs="Times New Roman" w:eastAsia="Times New Roman" w:hAnsi="Times New Roman"/>
          <w:sz w:val="20"/>
          <w:szCs w:val="20"/>
          <w:u w:val="single" w:color="auto"/>
          <w:color w:val="auto"/>
        </w:rPr>
        <w:t>subparagraphs</w:t>
      </w:r>
      <w:r>
        <w:rPr>
          <w:rFonts w:ascii="Times New Roman" w:cs="Times New Roman" w:eastAsia="Times New Roman" w:hAnsi="Times New Roman"/>
          <w:sz w:val="20"/>
          <w:szCs w:val="20"/>
          <w:color w:val="auto"/>
        </w:rPr>
        <w:t xml:space="preserve"> (a)(ii) or (a)(iii) of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(and all Notes issued in exchange therefor or substitution thereof) will not bear the Private Placement Legend.</w:t>
      </w:r>
    </w:p>
    <w:p>
      <w:pPr>
        <w:spacing w:after="0" w:line="143"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 Provisions Relating to Transfers and Exchanges</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ind w:left="1920" w:hanging="636"/>
        <w:spacing w:after="0" w:line="258" w:lineRule="auto"/>
        <w:tabs>
          <w:tab w:leader="none" w:pos="1678" w:val="left"/>
        </w:tabs>
        <w:numPr>
          <w:ilvl w:val="1"/>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service charge will be made to a Noteholder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w:t>
      </w:r>
    </w:p>
    <w:p>
      <w:pPr>
        <w:spacing w:after="0" w:line="158" w:lineRule="exact"/>
        <w:rPr>
          <w:rFonts w:ascii="Times New Roman" w:cs="Times New Roman" w:eastAsia="Times New Roman" w:hAnsi="Times New Roman"/>
          <w:sz w:val="20"/>
          <w:szCs w:val="20"/>
          <w:color w:val="auto"/>
        </w:rPr>
      </w:pPr>
    </w:p>
    <w:p>
      <w:pPr>
        <w:ind w:left="1920" w:hanging="636"/>
        <w:spacing w:after="0" w:line="283" w:lineRule="auto"/>
        <w:tabs>
          <w:tab w:leader="none" w:pos="1748" w:val="left"/>
        </w:tabs>
        <w:numPr>
          <w:ilvl w:val="1"/>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Registrar will not be required to register the transfer of or exchange of any Note selected for redemption in whole or in part, except the unredeemed portion of any Note being redeemed in part.</w:t>
      </w:r>
    </w:p>
    <w:p>
      <w:pPr>
        <w:spacing w:after="0" w:line="132" w:lineRule="exact"/>
        <w:rPr>
          <w:rFonts w:ascii="Times New Roman" w:cs="Times New Roman" w:eastAsia="Times New Roman" w:hAnsi="Times New Roman"/>
          <w:sz w:val="20"/>
          <w:szCs w:val="20"/>
          <w:color w:val="auto"/>
        </w:rPr>
      </w:pPr>
    </w:p>
    <w:p>
      <w:pPr>
        <w:ind w:left="1920" w:right="20" w:hanging="636"/>
        <w:spacing w:after="0" w:line="269" w:lineRule="auto"/>
        <w:tabs>
          <w:tab w:leader="none" w:pos="1916" w:val="left"/>
        </w:tabs>
        <w:numPr>
          <w:ilvl w:val="1"/>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Definitive Notes issued upon any registration of transfer or exchange of Definitive Notes will be the valid obligations of the Company, evidencing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81" w:name="page382"/>
    <w:bookmarkEnd w:id="381"/>
    <w:p>
      <w:pPr>
        <w:ind w:left="1920"/>
        <w:spacing w:after="0" w:line="283" w:lineRule="auto"/>
        <w:rPr>
          <w:sz w:val="20"/>
          <w:szCs w:val="20"/>
          <w:color w:val="auto"/>
        </w:rPr>
      </w:pPr>
      <w:r>
        <w:rPr>
          <w:rFonts w:ascii="Times New Roman" w:cs="Times New Roman" w:eastAsia="Times New Roman" w:hAnsi="Times New Roman"/>
          <w:sz w:val="20"/>
          <w:szCs w:val="20"/>
          <w:color w:val="auto"/>
        </w:rPr>
        <w:t>same debt, and entitled to the same benefits under this Indenture, as the Definitive Notes surrendered upon such registration of transfer or exchange.</w:t>
      </w:r>
    </w:p>
    <w:p>
      <w:pPr>
        <w:spacing w:after="0" w:line="133" w:lineRule="exact"/>
        <w:rPr>
          <w:sz w:val="20"/>
          <w:szCs w:val="20"/>
          <w:color w:val="auto"/>
        </w:rPr>
      </w:pPr>
    </w:p>
    <w:p>
      <w:pPr>
        <w:ind w:left="1760" w:hanging="476"/>
        <w:spacing w:after="0"/>
        <w:tabs>
          <w:tab w:leader="none" w:pos="1760"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Registrar nor the Company will be required:</w:t>
      </w:r>
    </w:p>
    <w:p>
      <w:pPr>
        <w:spacing w:after="0" w:line="202" w:lineRule="exact"/>
        <w:rPr>
          <w:rFonts w:ascii="Times New Roman" w:cs="Times New Roman" w:eastAsia="Times New Roman" w:hAnsi="Times New Roman"/>
          <w:sz w:val="20"/>
          <w:szCs w:val="20"/>
          <w:color w:val="auto"/>
        </w:rPr>
      </w:pPr>
    </w:p>
    <w:p>
      <w:pPr>
        <w:jc w:val="both"/>
        <w:ind w:left="2560" w:hanging="639"/>
        <w:spacing w:after="0" w:line="261" w:lineRule="auto"/>
        <w:tabs>
          <w:tab w:leader="none" w:pos="2507" w:val="left"/>
        </w:tabs>
        <w:numPr>
          <w:ilvl w:val="1"/>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issue, to register the transfer of or to exchange any Notes during a period beginning at the opening of business fifteen days before the day of any selection of Notes for redemption under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and ending at the close of business on the day of selection;</w:t>
      </w:r>
    </w:p>
    <w:p>
      <w:pPr>
        <w:spacing w:after="0" w:line="167" w:lineRule="exact"/>
        <w:rPr>
          <w:rFonts w:ascii="Times New Roman" w:cs="Times New Roman" w:eastAsia="Times New Roman" w:hAnsi="Times New Roman"/>
          <w:sz w:val="20"/>
          <w:szCs w:val="20"/>
          <w:color w:val="auto"/>
        </w:rPr>
      </w:pPr>
    </w:p>
    <w:p>
      <w:pPr>
        <w:ind w:left="2560" w:hanging="639"/>
        <w:spacing w:after="0" w:line="269" w:lineRule="auto"/>
        <w:tabs>
          <w:tab w:leader="none" w:pos="2485" w:val="left"/>
        </w:tabs>
        <w:numPr>
          <w:ilvl w:val="1"/>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register the transfer of or to exchange any Note selected for redemption in whole or in part, except the unredeemed portion of any Note being redeemed in part; or</w:t>
      </w:r>
    </w:p>
    <w:p>
      <w:pPr>
        <w:spacing w:after="0" w:line="145" w:lineRule="exact"/>
        <w:rPr>
          <w:rFonts w:ascii="Times New Roman" w:cs="Times New Roman" w:eastAsia="Times New Roman" w:hAnsi="Times New Roman"/>
          <w:sz w:val="20"/>
          <w:szCs w:val="20"/>
          <w:color w:val="auto"/>
        </w:rPr>
      </w:pPr>
    </w:p>
    <w:p>
      <w:pPr>
        <w:ind w:left="2560" w:hanging="639"/>
        <w:spacing w:after="0" w:line="283" w:lineRule="auto"/>
        <w:tabs>
          <w:tab w:leader="none" w:pos="2384" w:val="left"/>
        </w:tabs>
        <w:numPr>
          <w:ilvl w:val="1"/>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register the transfer of or to exchange a Note between a record date and the next succeeding Interest Payment Date.</w:t>
      </w:r>
    </w:p>
    <w:p>
      <w:pPr>
        <w:spacing w:after="0" w:line="132" w:lineRule="exact"/>
        <w:rPr>
          <w:rFonts w:ascii="Times New Roman" w:cs="Times New Roman" w:eastAsia="Times New Roman" w:hAnsi="Times New Roman"/>
          <w:sz w:val="20"/>
          <w:szCs w:val="20"/>
          <w:color w:val="auto"/>
        </w:rPr>
      </w:pPr>
    </w:p>
    <w:p>
      <w:pPr>
        <w:ind w:left="1920" w:hanging="636"/>
        <w:spacing w:after="0" w:line="258" w:lineRule="auto"/>
        <w:tabs>
          <w:tab w:leader="none" w:pos="1766"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158" w:lineRule="exact"/>
        <w:rPr>
          <w:rFonts w:ascii="Times New Roman" w:cs="Times New Roman" w:eastAsia="Times New Roman" w:hAnsi="Times New Roman"/>
          <w:sz w:val="20"/>
          <w:szCs w:val="20"/>
          <w:color w:val="auto"/>
        </w:rPr>
      </w:pPr>
    </w:p>
    <w:p>
      <w:pPr>
        <w:ind w:left="1760" w:hanging="476"/>
        <w:spacing w:after="0"/>
        <w:tabs>
          <w:tab w:leader="none" w:pos="1760"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will authenticate Definitive Notes in accordance with the provisions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920" w:hanging="636"/>
        <w:spacing w:after="0" w:line="251" w:lineRule="auto"/>
        <w:tabs>
          <w:tab w:leader="none" w:pos="1927"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certifications, certificates and Opinions of Counsel required to be submitted to the Registrar pursuant to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to effect a registration of transfer or exchange may be submitted electronically. None of the Trustee, the Paying Agent or the Registrar shall have any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5" w:lineRule="exact"/>
        <w:rPr>
          <w:rFonts w:ascii="Times New Roman" w:cs="Times New Roman" w:eastAsia="Times New Roman" w:hAnsi="Times New Roman"/>
          <w:sz w:val="20"/>
          <w:szCs w:val="20"/>
          <w:color w:val="auto"/>
        </w:rPr>
      </w:pPr>
    </w:p>
    <w:p>
      <w:pPr>
        <w:jc w:val="both"/>
        <w:ind w:left="1920" w:hanging="636"/>
        <w:spacing w:after="0" w:line="268" w:lineRule="auto"/>
        <w:tabs>
          <w:tab w:leader="none" w:pos="1966"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Noteholder agrees to indemnify the Company and the Trustee against any liability that may result from the transfer, exchange or assignment of such Noteholder’s Note in violation of any provision of this Indenture and/or applicable United States Federal or state securities law.</w:t>
      </w:r>
    </w:p>
    <w:p>
      <w:pPr>
        <w:spacing w:after="0" w:line="14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Replacement Notes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Noteholder that is sufficient in the judgment of the Trustee and the Company to protect the Company, the Trustee, any Agent and any authenticating agent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82" w:name="page383"/>
    <w:bookmarkEnd w:id="382"/>
    <w:p>
      <w:pPr>
        <w:ind w:left="640"/>
        <w:spacing w:after="0"/>
        <w:rPr>
          <w:sz w:val="20"/>
          <w:szCs w:val="20"/>
          <w:color w:val="auto"/>
        </w:rPr>
      </w:pPr>
      <w:r>
        <w:rPr>
          <w:rFonts w:ascii="Times New Roman" w:cs="Times New Roman" w:eastAsia="Times New Roman" w:hAnsi="Times New Roman"/>
          <w:sz w:val="20"/>
          <w:szCs w:val="20"/>
          <w:color w:val="auto"/>
        </w:rPr>
        <w:t>loss that any of them may suffer if a Note is replaced. The Company may charge for its expenses in replacing a Note.</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Every replacement Note is an additional obligation of the Company and will be entitled to all of the benefits of this Indenture equally and proportionately with all other Notes duly issued hereunder.</w:t>
      </w:r>
    </w:p>
    <w:p>
      <w:pPr>
        <w:spacing w:after="0" w:line="13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Outstanding Notes</w:t>
      </w:r>
    </w:p>
    <w:p>
      <w:pPr>
        <w:spacing w:after="0" w:line="202"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9"/>
          <w:szCs w:val="19"/>
          <w:color w:val="auto"/>
        </w:rPr>
        <w:t xml:space="preserve">The Notes outstanding at any time are all the Notes authenticated by the Trustee except for those canceled by it, those delivered to it for cancellation, and those described in this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xml:space="preserve"> as not outstanding. Except as set forth in </w:t>
      </w:r>
      <w:r>
        <w:rPr>
          <w:rFonts w:ascii="Times New Roman" w:cs="Times New Roman" w:eastAsia="Times New Roman" w:hAnsi="Times New Roman"/>
          <w:sz w:val="19"/>
          <w:szCs w:val="19"/>
          <w:u w:val="single" w:color="auto"/>
          <w:color w:val="auto"/>
        </w:rPr>
        <w:t>Section 2.9</w:t>
      </w:r>
      <w:r>
        <w:rPr>
          <w:rFonts w:ascii="Times New Roman" w:cs="Times New Roman" w:eastAsia="Times New Roman" w:hAnsi="Times New Roman"/>
          <w:sz w:val="19"/>
          <w:szCs w:val="19"/>
          <w:color w:val="auto"/>
        </w:rPr>
        <w:t xml:space="preserve">, a Note does not cease to be outstanding because the Company or an Affiliate of the Company holds the Note;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Notes held by the Company or an Affiliate of the Company (other than any Debt Fund Affiliate) shall not be deemed to be outstanding for purposes of </w:t>
      </w:r>
      <w:r>
        <w:rPr>
          <w:rFonts w:ascii="Times New Roman" w:cs="Times New Roman" w:eastAsia="Times New Roman" w:hAnsi="Times New Roman"/>
          <w:sz w:val="19"/>
          <w:szCs w:val="19"/>
          <w:u w:val="single" w:color="auto"/>
          <w:color w:val="auto"/>
        </w:rPr>
        <w:t>Section 3.7</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If a Note is replaced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it ceases to be outstanding unless the Trustee receives proof satisfactory to it that the replacement Note is held by a “protected purchaser” under the UCC.</w:t>
      </w:r>
    </w:p>
    <w:p>
      <w:pPr>
        <w:spacing w:after="0" w:line="133"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If the principal amount of any Note is considered paid under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it ceases to be outstanding and interest on it ceases to accrue.</w:t>
      </w:r>
    </w:p>
    <w:p>
      <w:pPr>
        <w:spacing w:after="0" w:line="13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the Paying Agent (other than the Company or an Affiliate thereof) holds, on a redemption date or the Maturity Date, money sufficient to pay Notes payable on that date, then on and after that date such Notes will be deemed to be no longer outstanding and will cease to accrue interest.</w:t>
      </w:r>
    </w:p>
    <w:p>
      <w:pPr>
        <w:spacing w:after="0" w:line="164" w:lineRule="exact"/>
        <w:rPr>
          <w:sz w:val="20"/>
          <w:szCs w:val="20"/>
          <w:color w:val="auto"/>
        </w:rPr>
      </w:pPr>
    </w:p>
    <w:p>
      <w:pPr>
        <w:jc w:val="both"/>
        <w:ind w:left="640" w:right="2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Any Note that has been fully purchased and paid for (by the Company or the Paying Agent) in accordance with Section 3.9 will be deemed to be no longer outstanding and will cease to accrue interest from and after the applicable Purchase Date.</w:t>
      </w:r>
    </w:p>
    <w:p>
      <w:pPr>
        <w:spacing w:after="0" w:line="138" w:lineRule="exact"/>
        <w:rPr>
          <w:sz w:val="20"/>
          <w:szCs w:val="20"/>
          <w:color w:val="auto"/>
        </w:rPr>
      </w:pPr>
    </w:p>
    <w:p>
      <w:pPr>
        <w:jc w:val="both"/>
        <w:ind w:left="640" w:right="20"/>
        <w:spacing w:after="0" w:line="270" w:lineRule="auto"/>
        <w:rPr>
          <w:sz w:val="20"/>
          <w:szCs w:val="20"/>
          <w:color w:val="auto"/>
        </w:rPr>
      </w:pPr>
      <w:r>
        <w:rPr>
          <w:rFonts w:ascii="Times New Roman" w:cs="Times New Roman" w:eastAsia="Times New Roman" w:hAnsi="Times New Roman"/>
          <w:sz w:val="20"/>
          <w:szCs w:val="20"/>
          <w:b w:val="1"/>
          <w:bCs w:val="1"/>
          <w:u w:val="single" w:color="auto"/>
          <w:color w:val="auto"/>
        </w:rPr>
        <w:t>Any Note that has been fully purchased and paid for by the Paying Agent on any Change of Control Payment Date in accordance with Section 4.12 will be deemed to be no longer outstanding and will cease to accrue interest from and after the Change of Control Payment Date.</w:t>
      </w:r>
    </w:p>
    <w:p>
      <w:pPr>
        <w:spacing w:after="0" w:line="142"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Any Note that has been purchased by the Company in accordance with Section 3.8 and delivered to the Trustee for cancellation in accordance with Section 2.11, will be deemed to be no longer outstanding and will cease to accrue interest from and after the date on which such Note is delivered to the Trustee for cancellation.</w:t>
      </w:r>
    </w:p>
    <w:p>
      <w:pPr>
        <w:spacing w:after="0" w:line="1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Treasury Notes</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In determining whether the Noteholders of the required principal amount of Notes have concurred in any direction, waiver or consent, Notes owned by the Company or by any Person directly or indirectly controlling or controlled by or under direct or indirect common control with the Company (other than any Debt Fund Affiliate) will be considered as though not outstanding, except that for the purposes of determining whether the Trustee will be protected in relying on any such direction, waiver or consent, only Notes that the Trustee knows are so owned will be so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83" w:name="page384"/>
    <w:bookmarkEnd w:id="383"/>
    <w:p>
      <w:pPr>
        <w:spacing w:after="0"/>
        <w:tabs>
          <w:tab w:leader="none" w:pos="54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Temporary Notes</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Noteholders of temporary Notes will be entitled to all of the benefits of this Indenture.</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Cancellation</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(subject to the record retention requirement of the Exchange Act). Certification of the cancellation of Notes will be delivered to the Company upon the Company’s written request. The Company may not issue new Notes to replace Notes that it has paid or that have been delivered to the Trustee for cancellation.</w:t>
      </w:r>
    </w:p>
    <w:p>
      <w:pPr>
        <w:spacing w:after="0" w:line="17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Defaulted Interest</w:t>
      </w:r>
    </w:p>
    <w:p>
      <w:pPr>
        <w:spacing w:after="0" w:line="198"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0"/>
          <w:szCs w:val="20"/>
          <w:color w:val="auto"/>
        </w:rPr>
        <w:t xml:space="preserve">If the Company defaults in a payment of interest on the Notes, it will pay the defaulted interest in any lawful manner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to the extent lawful, interest payable on the defaulted interest, to the Persons who are Noteholders on a subsequent special record date, in each case at the rate provided in the Notes and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The Company will notify the Trustee in writing of the amount of defaulted interest proposed to be paid on each Note and the date of the proposed payment. The Company will fix or cause to be fixed each such special record date and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special record date may be less than ten days prior to the related payment date for such defaulted interest. At least fifteen days before the special record date, the Company (or, upon the written request of the Company and provision of such notice information, the Trustee in the name and at the expense of the Company) will mail or cause to be mailed or deliver electronically to Noteholders a notice that states the special record date, the related payment date and the amount of such interest to be paid.</w:t>
      </w:r>
    </w:p>
    <w:p>
      <w:pPr>
        <w:spacing w:after="0" w:line="16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CUSIP Numbers / PPN</w:t>
      </w:r>
    </w:p>
    <w:p>
      <w:pPr>
        <w:spacing w:after="0" w:line="198"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0"/>
          <w:szCs w:val="20"/>
          <w:color w:val="auto"/>
        </w:rPr>
        <w:t>The Company in issuing the Notes may use “CUSIP” numbers or private placement numbers (“</w:t>
      </w:r>
      <w:r>
        <w:rPr>
          <w:rFonts w:ascii="Times New Roman" w:cs="Times New Roman" w:eastAsia="Times New Roman" w:hAnsi="Times New Roman"/>
          <w:sz w:val="20"/>
          <w:szCs w:val="20"/>
          <w:b w:val="1"/>
          <w:bCs w:val="1"/>
          <w:color w:val="auto"/>
        </w:rPr>
        <w:t>PPNs</w:t>
      </w:r>
      <w:r>
        <w:rPr>
          <w:rFonts w:ascii="Times New Roman" w:cs="Times New Roman" w:eastAsia="Times New Roman" w:hAnsi="Times New Roman"/>
          <w:sz w:val="20"/>
          <w:szCs w:val="20"/>
          <w:color w:val="auto"/>
        </w:rPr>
        <w:t>”) (if then generally in use), and, if so, the Trustee shall use “CUSIP” numbers or PPNs in notices of redemption as a convenience to Holders; provided that the Trustee shall have no liability for any defect in the “CUSIP” numbers or PPNs as they appear on the any Note, notice or elsewhere, and, provided further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Company will promptly notify the Trustee in writing of any change in the “CUSIP” numbers or PPNs,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84" w:name="page385"/>
    <w:bookmarkEnd w:id="384"/>
    <w:p>
      <w:pPr>
        <w:spacing w:after="0"/>
        <w:tabs>
          <w:tab w:leader="none" w:pos="54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Tax Withholding</w:t>
      </w:r>
    </w:p>
    <w:p>
      <w:pPr>
        <w:spacing w:after="0" w:line="202"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0"/>
          <w:szCs w:val="20"/>
          <w:color w:val="auto"/>
        </w:rPr>
        <w:t>Notwithstanding any other provision to the contrary, the Company shall be entitled to deduct and withhold from any amounts payable or otherwise deliverable with respect to a Note such amounts as may be required to be deducted or withheld therefrom under any provision of applicable law, and to be provided any necessary tax forms and information, including Internal Revenue Service Form W-9 or appropriate version of Internal Revenue Service Form W-8, as applicable, from each beneficial owner of the Note. The Company shall, at least five business days prior to the date the applicable payment is scheduled to be made, provide the Noteholder with (i) written notice of the intent to deduct and withhold, which notice shall include the basis for the withholding and an estimate of the amount proposed to be deducted and withheld, and (ii) a reasonable opportunity to provide forms or other evidence that would exempt such amounts from withholding. To the extent such amounts are so deducted or withheld and paid over to the appropriate taxing authority, such amounts shall be treated for all purposes as having been paid to the person to whom such amounts otherwise would have been paid.</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Net of Taxes</w:t>
      </w:r>
    </w:p>
    <w:p>
      <w:pPr>
        <w:spacing w:after="0" w:line="202" w:lineRule="exact"/>
        <w:rPr>
          <w:sz w:val="20"/>
          <w:szCs w:val="20"/>
          <w:color w:val="auto"/>
        </w:rPr>
      </w:pPr>
    </w:p>
    <w:p>
      <w:pPr>
        <w:ind w:left="1280" w:hanging="634"/>
        <w:spacing w:after="0" w:line="253" w:lineRule="auto"/>
        <w:tabs>
          <w:tab w:leader="none" w:pos="1130"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deduction or withholding of any tax is required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then if such Tax is an Indemnified Tax, the amounts payable or otherwise deliverable with respect to a Note by the Company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applicable Noteholder receives an amount equal to the sum it would have received had no such deduction or withholding been made.</w:t>
      </w:r>
    </w:p>
    <w:p>
      <w:pPr>
        <w:spacing w:after="0" w:line="178" w:lineRule="exact"/>
        <w:rPr>
          <w:rFonts w:ascii="Times New Roman" w:cs="Times New Roman" w:eastAsia="Times New Roman" w:hAnsi="Times New Roman"/>
          <w:sz w:val="20"/>
          <w:szCs w:val="20"/>
          <w:color w:val="auto"/>
        </w:rPr>
      </w:pPr>
    </w:p>
    <w:p>
      <w:pPr>
        <w:ind w:left="1280" w:hanging="634"/>
        <w:spacing w:after="0" w:line="251" w:lineRule="auto"/>
        <w:tabs>
          <w:tab w:leader="none" w:pos="1100"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and any applicable Guarantor shall, jointly and severally, indemnify each Noteholder,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payable or paid by such Noteholder or required to be withheld or deducted from a payment to such Noteholder and any reasonable expenses arising therefrom or with respect thereto, whether or not such Indemnified Taxes were correctly or legally imposed or asserted by the relevant governmental authority. A certificate as to the amount of such payment or liability delivered to the Company or other applicable Guarantor by a Noteholder shall be conclusive absent manifest error.</w:t>
      </w:r>
    </w:p>
    <w:p>
      <w:pPr>
        <w:spacing w:after="0" w:line="179" w:lineRule="exact"/>
        <w:rPr>
          <w:rFonts w:ascii="Times New Roman" w:cs="Times New Roman" w:eastAsia="Times New Roman" w:hAnsi="Times New Roman"/>
          <w:sz w:val="20"/>
          <w:szCs w:val="20"/>
          <w:color w:val="auto"/>
        </w:rPr>
      </w:pPr>
    </w:p>
    <w:p>
      <w:pPr>
        <w:ind w:left="1280" w:hanging="634"/>
        <w:spacing w:after="0" w:line="254" w:lineRule="auto"/>
        <w:tabs>
          <w:tab w:leader="none" w:pos="1079"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practicable after any payment of taxes by the Company or a Guarantor to a governmental authority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Company or such Guarantor shall deliver to the Noteholder the original or a certified copy of a receipt issued by such governmental authority evidencing such payment, a copy of the return reporting such payment or other evidence of such payment reasonably satisfactory to the Noteholder.</w:t>
      </w:r>
    </w:p>
    <w:p>
      <w:pPr>
        <w:spacing w:after="0" w:line="173" w:lineRule="exact"/>
        <w:rPr>
          <w:rFonts w:ascii="Times New Roman" w:cs="Times New Roman" w:eastAsia="Times New Roman" w:hAnsi="Times New Roman"/>
          <w:sz w:val="20"/>
          <w:szCs w:val="20"/>
          <w:color w:val="auto"/>
        </w:rPr>
      </w:pPr>
    </w:p>
    <w:p>
      <w:pPr>
        <w:ind w:left="1280" w:hanging="634"/>
        <w:spacing w:after="0" w:line="253" w:lineRule="auto"/>
        <w:tabs>
          <w:tab w:leader="none" w:pos="1084"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Noteholder that is entitled to an exemption from or reduction of withholding tax with respect to payments made under the Note</w:t>
      </w:r>
      <w:r>
        <w:rPr>
          <w:rFonts w:ascii="Times New Roman" w:cs="Times New Roman" w:eastAsia="Times New Roman" w:hAnsi="Times New Roman"/>
          <w:sz w:val="20"/>
          <w:szCs w:val="20"/>
          <w:color w:val="auto"/>
          <w:strike w:val="1"/>
        </w:rPr>
        <w:t>s</w:t>
      </w:r>
      <w:r>
        <w:rPr>
          <w:rFonts w:ascii="Times New Roman" w:cs="Times New Roman" w:eastAsia="Times New Roman" w:hAnsi="Times New Roman"/>
          <w:sz w:val="20"/>
          <w:szCs w:val="20"/>
          <w:color w:val="auto"/>
        </w:rPr>
        <w:t xml:space="preserve"> Purchase Agreement, Indenture, or Collateral and Intercreditor Agreement (the “</w:t>
      </w:r>
      <w:r>
        <w:rPr>
          <w:rFonts w:ascii="Times New Roman" w:cs="Times New Roman" w:eastAsia="Times New Roman" w:hAnsi="Times New Roman"/>
          <w:sz w:val="20"/>
          <w:szCs w:val="20"/>
          <w:u w:val="single" w:color="auto"/>
          <w:color w:val="auto"/>
        </w:rPr>
        <w:t>Notes Documents</w:t>
      </w:r>
      <w:r>
        <w:rPr>
          <w:rFonts w:ascii="Times New Roman" w:cs="Times New Roman" w:eastAsia="Times New Roman" w:hAnsi="Times New Roman"/>
          <w:sz w:val="20"/>
          <w:szCs w:val="20"/>
          <w:color w:val="auto"/>
        </w:rPr>
        <w:t>”) shall deliver to the Company, at the time or times reasonably requested by the Company, such properly completed and executed documentation reasonably requested by the Company as will permit such payments to be made without withholding or at a reduced rate of withholding. In addition, any Noteholder, if reasonably requested by the Company, shall deliver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85" w:name="page386"/>
    <w:bookmarkEnd w:id="385"/>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 xml:space="preserve">documentation prescribed by applicable law or reasonably requested by the Company as will enable the Company to determine whether or not such Noteholder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2.15(d)(i)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2.15(d)(ii)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2.15(d)(iv)</w:t>
      </w:r>
      <w:r>
        <w:rPr>
          <w:rFonts w:ascii="Times New Roman" w:cs="Times New Roman" w:eastAsia="Times New Roman" w:hAnsi="Times New Roman"/>
          <w:sz w:val="20"/>
          <w:szCs w:val="20"/>
          <w:color w:val="auto"/>
        </w:rPr>
        <w:t xml:space="preserve"> below) shall not be required if in the reasonable judgment of the Noteholder such completion, execution or submission would subject such Noteholder to any material unreimbursed cost or expense or would materially prejudice the legal or commercial position of such Noteholder. Without limiting the generality of the foregoing:</w:t>
      </w:r>
    </w:p>
    <w:p>
      <w:pPr>
        <w:spacing w:after="0" w:line="166" w:lineRule="exact"/>
        <w:rPr>
          <w:sz w:val="20"/>
          <w:szCs w:val="20"/>
          <w:color w:val="auto"/>
        </w:rPr>
      </w:pPr>
    </w:p>
    <w:p>
      <w:pPr>
        <w:ind w:left="1920" w:hanging="636"/>
        <w:spacing w:after="0" w:line="261" w:lineRule="auto"/>
        <w:tabs>
          <w:tab w:leader="none" w:pos="1796" w:val="left"/>
        </w:tabs>
        <w:numPr>
          <w:ilvl w:val="0"/>
          <w:numId w:val="4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U.S. Noteholder shall deliver to the Company on or prior to the date on which such Person becomes a U.S. Noteholder (and from time to time thereafter upon the reasonable request of the Company), executed copies of IRS Form W-9 certifying that such U.S. Noteholder is exempt from U.S. federal backup withholding tax;</w:t>
      </w:r>
    </w:p>
    <w:p>
      <w:pPr>
        <w:spacing w:after="0" w:line="154" w:lineRule="exact"/>
        <w:rPr>
          <w:rFonts w:ascii="Times New Roman" w:cs="Times New Roman" w:eastAsia="Times New Roman" w:hAnsi="Times New Roman"/>
          <w:sz w:val="20"/>
          <w:szCs w:val="20"/>
          <w:color w:val="auto"/>
        </w:rPr>
      </w:pPr>
    </w:p>
    <w:p>
      <w:pPr>
        <w:ind w:left="1920" w:hanging="636"/>
        <w:spacing w:after="0" w:line="258" w:lineRule="auto"/>
        <w:tabs>
          <w:tab w:leader="none" w:pos="1781" w:val="left"/>
        </w:tabs>
        <w:numPr>
          <w:ilvl w:val="0"/>
          <w:numId w:val="4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Noteholder shall, to the extent it is legally entitled to do so, deliver to the Company (in such number of copies as shall be requested by the Company) on or prior to the date on which such Person becomes a Foreign Noteholder (and from time to time thereafter upon the reasonable request of the Company), whichever of the following is applicable:</w:t>
      </w:r>
    </w:p>
    <w:p>
      <w:pPr>
        <w:spacing w:after="0" w:line="158" w:lineRule="exact"/>
        <w:rPr>
          <w:rFonts w:ascii="Times New Roman" w:cs="Times New Roman" w:eastAsia="Times New Roman" w:hAnsi="Times New Roman"/>
          <w:sz w:val="20"/>
          <w:szCs w:val="20"/>
          <w:color w:val="auto"/>
        </w:rPr>
      </w:pPr>
    </w:p>
    <w:p>
      <w:pPr>
        <w:ind w:left="2560" w:hanging="639"/>
        <w:spacing w:after="0" w:line="253" w:lineRule="auto"/>
        <w:tabs>
          <w:tab w:leader="none" w:pos="2397" w:val="left"/>
        </w:tabs>
        <w:numPr>
          <w:ilvl w:val="1"/>
          <w:numId w:val="4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Noteholder claiming the benefits of an income tax treaty to which the United States is a party (x) with respect to payments of interest under any Notes Document, executed copies of IRS Form W-8BEN-E or W-8BEN, as applicable, establishing an exemption from, or reduction of, U.S. federal withholding tax pursuant to the “interest” article of such tax treaty and (y) with respect to any other applicable payments under any Notes Document, IRS Form W-8BEN-E or W-8BEN, as applicable, establishing an exemption from, or reduction of, U.S. federal withholding tax pursuant to the “business profits” or “other income” article of such tax treaty;</w:t>
      </w:r>
    </w:p>
    <w:p>
      <w:pPr>
        <w:spacing w:after="0" w:line="165" w:lineRule="exact"/>
        <w:rPr>
          <w:rFonts w:ascii="Times New Roman" w:cs="Times New Roman" w:eastAsia="Times New Roman" w:hAnsi="Times New Roman"/>
          <w:sz w:val="20"/>
          <w:szCs w:val="20"/>
          <w:color w:val="auto"/>
        </w:rPr>
      </w:pPr>
    </w:p>
    <w:p>
      <w:pPr>
        <w:ind w:left="2380" w:hanging="459"/>
        <w:spacing w:after="0"/>
        <w:tabs>
          <w:tab w:leader="none" w:pos="2380" w:val="left"/>
        </w:tabs>
        <w:numPr>
          <w:ilvl w:val="1"/>
          <w:numId w:val="4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02" w:lineRule="exact"/>
        <w:rPr>
          <w:rFonts w:ascii="Times New Roman" w:cs="Times New Roman" w:eastAsia="Times New Roman" w:hAnsi="Times New Roman"/>
          <w:sz w:val="20"/>
          <w:szCs w:val="20"/>
          <w:color w:val="auto"/>
        </w:rPr>
      </w:pPr>
    </w:p>
    <w:p>
      <w:pPr>
        <w:ind w:left="2560" w:hanging="639"/>
        <w:spacing w:after="0" w:line="253" w:lineRule="auto"/>
        <w:tabs>
          <w:tab w:leader="none" w:pos="2414" w:val="left"/>
        </w:tabs>
        <w:numPr>
          <w:ilvl w:val="1"/>
          <w:numId w:val="4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Noteholder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2.15-A</w:t>
      </w:r>
      <w:r>
        <w:rPr>
          <w:rFonts w:ascii="Times New Roman" w:cs="Times New Roman" w:eastAsia="Times New Roman" w:hAnsi="Times New Roman"/>
          <w:sz w:val="20"/>
          <w:szCs w:val="20"/>
          <w:color w:val="auto"/>
        </w:rPr>
        <w:t xml:space="preserve"> to the effect that such Foreign Noteholder is not a “bank” within the meaning of Section 881(c)(3)(A) of the Code, a “10 percent shareholder” of the Company within the meaning of Section 871(h)(3)(B) of the Code, or a “controlled foreign corporation” described in Section 881(c)(3)(C) of the Code and (y) executed copies of IRS Form W-8BEN-E or W-8BEN, as applicable; or</w:t>
      </w:r>
    </w:p>
    <w:p>
      <w:pPr>
        <w:spacing w:after="0" w:line="178" w:lineRule="exact"/>
        <w:rPr>
          <w:rFonts w:ascii="Times New Roman" w:cs="Times New Roman" w:eastAsia="Times New Roman" w:hAnsi="Times New Roman"/>
          <w:sz w:val="20"/>
          <w:szCs w:val="20"/>
          <w:color w:val="auto"/>
        </w:rPr>
      </w:pPr>
    </w:p>
    <w:p>
      <w:pPr>
        <w:jc w:val="both"/>
        <w:ind w:left="2560" w:right="20" w:hanging="639"/>
        <w:spacing w:after="0" w:line="254" w:lineRule="auto"/>
        <w:tabs>
          <w:tab w:leader="none" w:pos="2548" w:val="left"/>
        </w:tabs>
        <w:numPr>
          <w:ilvl w:val="1"/>
          <w:numId w:val="4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Noteholder is not the beneficial owner, executed copies of IRS Form W-8IMY, accompanied by IRS Form W-8ECI, IRS Form W-8BEN-E or W-8BEN, a certificate substantially in the form of </w:t>
      </w:r>
      <w:r>
        <w:rPr>
          <w:rFonts w:ascii="Times New Roman" w:cs="Times New Roman" w:eastAsia="Times New Roman" w:hAnsi="Times New Roman"/>
          <w:sz w:val="20"/>
          <w:szCs w:val="20"/>
          <w:u w:val="single" w:color="auto"/>
          <w:color w:val="auto"/>
        </w:rPr>
        <w:t>Exhibit 2.15-B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2.15-C</w:t>
      </w:r>
      <w:r>
        <w:rPr>
          <w:rFonts w:ascii="Times New Roman" w:cs="Times New Roman" w:eastAsia="Times New Roman" w:hAnsi="Times New Roman"/>
          <w:sz w:val="20"/>
          <w:szCs w:val="20"/>
          <w:color w:val="auto"/>
        </w:rPr>
        <w:t>, IRS Form W-9, and/or other certification documents from each beneficial owner,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86" w:name="page387"/>
    <w:bookmarkEnd w:id="386"/>
    <w:p>
      <w:pPr>
        <w:jc w:val="both"/>
        <w:ind w:left="2560"/>
        <w:spacing w:after="0" w:line="261" w:lineRule="auto"/>
        <w:rPr>
          <w:sz w:val="20"/>
          <w:szCs w:val="20"/>
          <w:color w:val="auto"/>
        </w:rPr>
      </w:pPr>
      <w:r>
        <w:rPr>
          <w:rFonts w:ascii="Times New Roman" w:cs="Times New Roman" w:eastAsia="Times New Roman" w:hAnsi="Times New Roman"/>
          <w:sz w:val="20"/>
          <w:szCs w:val="20"/>
          <w:color w:val="auto"/>
        </w:rPr>
        <w:t xml:space="preserve">provided that if the Foreign Noteholder is a partnership and one or more direct or indirect partners of such Foreign Noteholder are claiming the portfolio interest exemption, such Foreign Noteholder may provide a certificate substantially in the form of </w:t>
      </w:r>
      <w:r>
        <w:rPr>
          <w:rFonts w:ascii="Times New Roman" w:cs="Times New Roman" w:eastAsia="Times New Roman" w:hAnsi="Times New Roman"/>
          <w:sz w:val="20"/>
          <w:szCs w:val="20"/>
          <w:u w:val="single" w:color="auto"/>
          <w:color w:val="auto"/>
        </w:rPr>
        <w:t>Exhibit 2.15-D</w:t>
      </w:r>
      <w:r>
        <w:rPr>
          <w:rFonts w:ascii="Times New Roman" w:cs="Times New Roman" w:eastAsia="Times New Roman" w:hAnsi="Times New Roman"/>
          <w:sz w:val="20"/>
          <w:szCs w:val="20"/>
          <w:color w:val="auto"/>
        </w:rPr>
        <w:t xml:space="preserve"> on behalf of each such direct and indirect partner;</w:t>
      </w:r>
    </w:p>
    <w:p>
      <w:pPr>
        <w:spacing w:after="0" w:line="154" w:lineRule="exact"/>
        <w:rPr>
          <w:sz w:val="20"/>
          <w:szCs w:val="20"/>
          <w:color w:val="auto"/>
        </w:rPr>
      </w:pPr>
    </w:p>
    <w:p>
      <w:pPr>
        <w:ind w:left="1920" w:hanging="636"/>
        <w:spacing w:after="0" w:line="253" w:lineRule="auto"/>
        <w:tabs>
          <w:tab w:leader="none" w:pos="1827" w:val="left"/>
        </w:tabs>
        <w:numPr>
          <w:ilvl w:val="1"/>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Noteholder shall, to the extent it is legally entitled to do so, deliver to the Company (in such number of copies as shall be requested by the Company) on or prior to the date on which such Person becomes a Foreign Noteholder (and from time to time thereafter upon the reasonable request of the Company), executed copies of any other form prescribed by applicable law as a basis for claiming exemption from or a reduction in U.S. federal withholding tax, duly completed, together with such supplementary documentation as may be prescribed by applicable law to permit the Company to determine the withholding or deduction required to be made;</w:t>
      </w:r>
    </w:p>
    <w:p>
      <w:pPr>
        <w:spacing w:after="0" w:line="178" w:lineRule="exact"/>
        <w:rPr>
          <w:rFonts w:ascii="Times New Roman" w:cs="Times New Roman" w:eastAsia="Times New Roman" w:hAnsi="Times New Roman"/>
          <w:sz w:val="20"/>
          <w:szCs w:val="20"/>
          <w:color w:val="auto"/>
        </w:rPr>
      </w:pPr>
    </w:p>
    <w:p>
      <w:pPr>
        <w:jc w:val="both"/>
        <w:ind w:left="1920" w:hanging="636"/>
        <w:spacing w:after="0" w:line="264" w:lineRule="auto"/>
        <w:tabs>
          <w:tab w:leader="none" w:pos="1877" w:val="left"/>
        </w:tabs>
        <w:numPr>
          <w:ilvl w:val="1"/>
          <w:numId w:val="4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payment made to a Noteholder under any Notes Document would be subject to U.S. federal withholding tax imposed by FATCA if such Noteholder were to fail to comply with the applicable reporting requirements of FATCA (including those contained in Section 1471(b) or 1472(b) of the Code, as applicable), such Noteholder shall deliver to the Company at the time or times prescribed by law and at such time or times reasonably requested by the Company such documentation prescribed by applicable law (including as prescribed by Section 1471(b)(3)(C)(i) of the Code) and such additional documentation reasonably requested by the Company as may be necessary for the Company to comply with its obligations under FATCA and to determine that such Noteholder has complied with its obligations under FATCA or to determine the amount to deduct and withhold from such payment. Solely for purposes of this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“FATCA” shall include any amendments made to FATCA after the date of this Agreement; and</w:t>
      </w:r>
    </w:p>
    <w:p>
      <w:pPr>
        <w:spacing w:after="0" w:line="172" w:lineRule="exact"/>
        <w:rPr>
          <w:rFonts w:ascii="Times New Roman" w:cs="Times New Roman" w:eastAsia="Times New Roman" w:hAnsi="Times New Roman"/>
          <w:sz w:val="19"/>
          <w:szCs w:val="19"/>
          <w:color w:val="auto"/>
        </w:rPr>
      </w:pPr>
    </w:p>
    <w:p>
      <w:pPr>
        <w:jc w:val="both"/>
        <w:ind w:left="1920" w:right="20" w:hanging="636"/>
        <w:spacing w:after="0" w:line="261" w:lineRule="auto"/>
        <w:tabs>
          <w:tab w:leader="none" w:pos="1876" w:val="left"/>
        </w:tabs>
        <w:numPr>
          <w:ilvl w:val="1"/>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Noteholder agrees that if any form or certification it previously delivered expires or becomes obsolete or inaccurate in any respect, it shall update such form or certification or promptly notify the Company in writing of its legal inability to do so.</w:t>
      </w:r>
    </w:p>
    <w:p>
      <w:pPr>
        <w:spacing w:after="0" w:line="154" w:lineRule="exact"/>
        <w:rPr>
          <w:rFonts w:ascii="Times New Roman" w:cs="Times New Roman" w:eastAsia="Times New Roman" w:hAnsi="Times New Roman"/>
          <w:sz w:val="20"/>
          <w:szCs w:val="20"/>
          <w:color w:val="auto"/>
        </w:rPr>
      </w:pPr>
    </w:p>
    <w:p>
      <w:pPr>
        <w:ind w:left="1280" w:hanging="634"/>
        <w:spacing w:after="0" w:line="265" w:lineRule="auto"/>
        <w:tabs>
          <w:tab w:leader="none" w:pos="1067" w:val="left"/>
        </w:tabs>
        <w:numPr>
          <w:ilvl w:val="0"/>
          <w:numId w:val="4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Noteholder determines, in its sole discretion exercised in good faith, that it has received a refund of any taxes as to which it has been indemnified pursuant to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(including by the payment of additional amounts pursuant to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in no event will the indemnified party be required to pay any amount to an indemnifying party pursuant to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the payment of which would place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87" w:name="page388"/>
    <w:bookmarkEnd w:id="387"/>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8" w:lineRule="exact"/>
        <w:rPr>
          <w:sz w:val="20"/>
          <w:szCs w:val="20"/>
          <w:color w:val="auto"/>
        </w:rPr>
      </w:pPr>
    </w:p>
    <w:p>
      <w:pPr>
        <w:ind w:left="1280" w:hanging="634"/>
        <w:spacing w:after="0" w:line="261" w:lineRule="auto"/>
        <w:tabs>
          <w:tab w:leader="none" w:pos="1112" w:val="left"/>
        </w:tabs>
        <w:numPr>
          <w:ilvl w:val="1"/>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Company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will survive the payment or transfer of any Note, the enforcement, amendment or waiver of any provision of this Agreement, the Notes, or any other Notes Document, and the termination of this Agreement or any other Notes Document.</w:t>
      </w:r>
    </w:p>
    <w:p>
      <w:pPr>
        <w:spacing w:after="0" w:line="154" w:lineRule="exact"/>
        <w:rPr>
          <w:rFonts w:ascii="Times New Roman" w:cs="Times New Roman" w:eastAsia="Times New Roman" w:hAnsi="Times New Roman"/>
          <w:sz w:val="20"/>
          <w:szCs w:val="20"/>
          <w:color w:val="auto"/>
        </w:rPr>
      </w:pPr>
    </w:p>
    <w:p>
      <w:pPr>
        <w:ind w:left="1280" w:hanging="634"/>
        <w:spacing w:after="0" w:line="253" w:lineRule="auto"/>
        <w:tabs>
          <w:tab w:leader="none" w:pos="1119" w:val="left"/>
        </w:tabs>
        <w:numPr>
          <w:ilvl w:val="1"/>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of the foregoing,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is solely for the benefit of the Foreign Noteholders existing as of the Closing Date and any of their Affiliates that become holders of the Notes through a permitted transfer, and not for any other successors or assigns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Affiliate of a Noteholder shall not be entitled to additional amounts on Notes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if, at the time such Affiliate became the holder of the Notes, a law was in place, that caused the Notes held by such Affiliate to be subject to the payment of additional amounts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that would not have otherwise been applicable to the transferor of such Notes (but an Affiliate shall be entitled to additional amounts attributable to a change in law occurring after the date it became a holder of Notes).</w:t>
      </w:r>
    </w:p>
    <w:p>
      <w:pPr>
        <w:spacing w:after="0" w:line="161"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REDEMPTION AND PREPAYMENT</w:t>
      </w:r>
    </w:p>
    <w:p>
      <w:pPr>
        <w:spacing w:after="0" w:line="2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Notices to Trustee</w:t>
      </w:r>
    </w:p>
    <w:p>
      <w:pPr>
        <w:spacing w:after="0" w:line="202" w:lineRule="exact"/>
        <w:rPr>
          <w:sz w:val="20"/>
          <w:szCs w:val="20"/>
          <w:color w:val="auto"/>
        </w:rPr>
      </w:pPr>
    </w:p>
    <w:p>
      <w:pPr>
        <w:jc w:val="both"/>
        <w:ind w:left="640" w:right="20"/>
        <w:spacing w:after="0" w:line="268" w:lineRule="auto"/>
        <w:rPr>
          <w:sz w:val="20"/>
          <w:szCs w:val="20"/>
          <w:color w:val="auto"/>
        </w:rPr>
      </w:pPr>
      <w:r>
        <w:rPr>
          <w:rFonts w:ascii="Times New Roman" w:cs="Times New Roman" w:eastAsia="Times New Roman" w:hAnsi="Times New Roman"/>
          <w:sz w:val="20"/>
          <w:szCs w:val="20"/>
          <w:color w:val="auto"/>
        </w:rPr>
        <w:t xml:space="preserve">If the Company elects to redeem Notes pursuant to the optional redemption provisions of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it must furnish to the Trustee, at least fifteen days (unless a shorter period is acceptable to the Trustee) but not more than sixty days before a redemption date, an Officer’s Certificate setting forth:</w:t>
      </w:r>
    </w:p>
    <w:p>
      <w:pPr>
        <w:spacing w:after="0" w:line="148" w:lineRule="exact"/>
        <w:rPr>
          <w:sz w:val="20"/>
          <w:szCs w:val="20"/>
          <w:color w:val="auto"/>
        </w:rPr>
      </w:pPr>
    </w:p>
    <w:p>
      <w:pPr>
        <w:ind w:left="1060" w:hanging="414"/>
        <w:spacing w:after="0"/>
        <w:tabs>
          <w:tab w:leader="none" w:pos="1060"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Section of this Indenture pursuant to which the redemption shall occur;</w:t>
      </w:r>
    </w:p>
    <w:p>
      <w:pPr>
        <w:spacing w:after="0" w:line="202"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202"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series, or more than one series, if applicable, of Notes to be redeemed;</w:t>
      </w:r>
    </w:p>
    <w:p>
      <w:pPr>
        <w:spacing w:after="0" w:line="215"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Notes to be redeemed;</w:t>
      </w:r>
    </w:p>
    <w:p>
      <w:pPr>
        <w:spacing w:after="0" w:line="202"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 and</w:t>
      </w:r>
    </w:p>
    <w:p>
      <w:pPr>
        <w:spacing w:after="0" w:line="202" w:lineRule="exact"/>
        <w:rPr>
          <w:rFonts w:ascii="Times New Roman" w:cs="Times New Roman" w:eastAsia="Times New Roman" w:hAnsi="Times New Roman"/>
          <w:sz w:val="20"/>
          <w:szCs w:val="20"/>
          <w:color w:val="auto"/>
        </w:rPr>
      </w:pPr>
    </w:p>
    <w:p>
      <w:pPr>
        <w:ind w:left="1040" w:hanging="394"/>
        <w:spacing w:after="0"/>
        <w:tabs>
          <w:tab w:leader="none" w:pos="1040"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number or PPN of the Notes to be redeemed.</w:t>
      </w:r>
    </w:p>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Selection of Notes to Be Redeemed</w:t>
      </w:r>
    </w:p>
    <w:p>
      <w:pPr>
        <w:spacing w:after="0" w:line="21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If less than all of the Notes, or less than all of the Notes of a particular series, are to be redeemed at any time, the Trustee will select Notes and any portions thereof for redemption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and, if applicable, with such adjustments so that only Notes in denominations of $100,000 or whole multiples of $1,000 in excess thereof will be purchased unless otherwise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88" w:name="page389"/>
    <w:bookmarkEnd w:id="388"/>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law, or applicable stock exchange requirements;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only Notes of a particular series are to be redeemed, such selection by the Trustee shall be limited to Notes of such series.</w:t>
      </w:r>
    </w:p>
    <w:p>
      <w:pPr>
        <w:spacing w:after="0" w:line="133"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In the event of partial redemption, the particular Notes to be redeemed will be selected, unless otherwise provided herein, not less than fifteen nor more than sixty days prior to the redemption or purchase date by the Trustee from the outstanding Notes not previously called for redemption.</w:t>
      </w:r>
    </w:p>
    <w:p>
      <w:pPr>
        <w:spacing w:after="0" w:line="154"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Trustee will promptly notify the Company in writing of the Notes selected for redemption and, in the case of any Note selected for partial redemption, the principal amount thereof to be redeemed. Notes and portions of Notes selected will be in amounts of $100,000 or whole multiples of $1,000 in excess thereof;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that if all of the Notes of a Noteholder are to be redeemed, the entire outstanding amount of Notes held by such Noteholder, even if not in the amount of $100,000 or a whole multiple of $1,000 thereof, shall be redeemed. Except as provided in the preceding sentence, provisions of this Indenture that apply to Notes called for redemption also apply to portions of Notes called for redemption.</w:t>
      </w:r>
    </w:p>
    <w:p>
      <w:pPr>
        <w:spacing w:after="0" w:line="1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Notice of Redemption</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At least fifteen days but not more than sixty days before a redemption date, the Company will mail or cause to be mailed by first class mail or delivered electronically, a notice of redemption to each Noteholder whose Notes are to be redeemed at its registered address, except that redemption notices may be mailed or delivered electronically more than sixty days prior to a redemption date if the notice is issued in connection with a defeasance of the Notes or a satisfaction and discharge of this Indenture pursuant to Articles 8 or 11.</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notice will identify the Notes to be redeemed and will state:</w:t>
      </w:r>
    </w:p>
    <w:p>
      <w:pPr>
        <w:spacing w:after="0" w:line="216" w:lineRule="exact"/>
        <w:rPr>
          <w:sz w:val="20"/>
          <w:szCs w:val="20"/>
          <w:color w:val="auto"/>
        </w:rPr>
      </w:pPr>
    </w:p>
    <w:p>
      <w:pPr>
        <w:ind w:left="1060" w:hanging="414"/>
        <w:spacing w:after="0"/>
        <w:tabs>
          <w:tab w:leader="none" w:pos="1060"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202"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w:t>
      </w:r>
    </w:p>
    <w:p>
      <w:pPr>
        <w:spacing w:after="0" w:line="202" w:lineRule="exact"/>
        <w:rPr>
          <w:rFonts w:ascii="Times New Roman" w:cs="Times New Roman" w:eastAsia="Times New Roman" w:hAnsi="Times New Roman"/>
          <w:sz w:val="20"/>
          <w:szCs w:val="20"/>
          <w:color w:val="auto"/>
        </w:rPr>
      </w:pPr>
    </w:p>
    <w:p>
      <w:pPr>
        <w:ind w:left="1280" w:hanging="634"/>
        <w:spacing w:after="0" w:line="261" w:lineRule="auto"/>
        <w:tabs>
          <w:tab w:leader="none" w:pos="1151"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Note is being redeemed in part, the portion of the principal amount of such Note to be redeemed and that, after the redemption date upon surrender of such Note, a new Note or Notes in principal amount equal to the unredeemed portion will be issued in the name of the Noteholder upon cancellation of the original Note;</w:t>
      </w:r>
    </w:p>
    <w:p>
      <w:pPr>
        <w:spacing w:after="0" w:line="167"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202"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Notes called for redemption must be surrendered to the Paying Agent to collect the redemption price;</w:t>
      </w:r>
    </w:p>
    <w:p>
      <w:pPr>
        <w:spacing w:after="0" w:line="20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047"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unless the Company defaults in making such redemption payment, interest on Notes called for redemption ceases to accrue on and after the redemption date (as it may be delayed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ind w:left="1280" w:hanging="634"/>
        <w:spacing w:after="0" w:line="283" w:lineRule="auto"/>
        <w:tabs>
          <w:tab w:leader="none" w:pos="1193"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paragraph of the Notes and/or Section of this Indenture pursuant to which the Notes called for redemption are being redeemed; and</w:t>
      </w:r>
    </w:p>
    <w:p>
      <w:pPr>
        <w:spacing w:after="0" w:line="132" w:lineRule="exact"/>
        <w:rPr>
          <w:rFonts w:ascii="Times New Roman" w:cs="Times New Roman" w:eastAsia="Times New Roman" w:hAnsi="Times New Roman"/>
          <w:sz w:val="20"/>
          <w:szCs w:val="20"/>
          <w:color w:val="auto"/>
        </w:rPr>
      </w:pPr>
    </w:p>
    <w:p>
      <w:pPr>
        <w:ind w:left="1280" w:right="20" w:hanging="634"/>
        <w:spacing w:after="0" w:line="269" w:lineRule="auto"/>
        <w:tabs>
          <w:tab w:leader="none" w:pos="1120"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representation is made as to the correctness or accuracy of the CUSIP number or PPN, if any, listed in such notice or printed on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89" w:name="page390"/>
    <w:bookmarkEnd w:id="389"/>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At the Company’s request, the Trustee will give the notice of redemption in the Company’s name and at its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Company has delivered to the Trustee, at least thirty days prior to the redemption date (unless a shorter period is acceptable to the Trustee), an Officer’s Certificate requesting that the Trustee give such notice and setting forth the information to be stated in such notice as provided in the preceding paragraph.</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Effect of Notice of Redemption</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Once notice of redemption is mailed or delivered electronically in accordance with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Notes called for redemption become irrevocably due and payable on the redemption date at the redemption price;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notice of redemption may be conditional (in which case such Notes shall become irrevocably due and payable on the redemption date at the redemption price upon the satisfaction or waiver of any such conditions).</w:t>
      </w:r>
    </w:p>
    <w:p>
      <w:pPr>
        <w:spacing w:after="0" w:line="15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If the redemption is delayed pursuant to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and the terms of the applicable notice of redemption, such redemption date as so delayed may occur at any time after the original redemption date set forth in the applicable notice of redemption and after the satisfaction of any applicable conditions precedent, including, without limitation, on a date that is less than fifteen days after the original redemption date or more than sixty days after the date of the applicable notice of redemption.</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Deposit of Redemption or Purchase Price</w:t>
      </w:r>
    </w:p>
    <w:p>
      <w:pPr>
        <w:spacing w:after="0" w:line="216"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19"/>
          <w:szCs w:val="19"/>
          <w:color w:val="auto"/>
        </w:rPr>
        <w:t>At least one Business Day prior to the redemption date, the Company will deposit or will cause to be deposited with the Trustee or with the Paying Agent money sufficient to pay the redemption price of and accrued interest on all Notes to be redeemed on that date. The Trustee or the Paying Agent will promptly return to the Company any money deposited with the Trustee or the Paying Agent by the Company in excess of the amounts necessary to pay the redemption price of, and accrued interest on all Notes to be redeemed.</w:t>
      </w:r>
    </w:p>
    <w:p>
      <w:pPr>
        <w:spacing w:after="0" w:line="161"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If the Company complies with the provisions of the preceding paragraph, on and after the redemption date, interest will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u w:val="single" w:color="auto"/>
          <w:color w:val="auto"/>
        </w:rPr>
        <w:t>Notes Redeemed in Part</w:t>
      </w:r>
    </w:p>
    <w:p>
      <w:pPr>
        <w:spacing w:after="0" w:line="216" w:lineRule="exact"/>
        <w:rPr>
          <w:sz w:val="20"/>
          <w:szCs w:val="20"/>
          <w:color w:val="auto"/>
        </w:rPr>
      </w:pPr>
    </w:p>
    <w:p>
      <w:pPr>
        <w:jc w:val="both"/>
        <w:ind w:left="640" w:right="20"/>
        <w:spacing w:after="0" w:line="261" w:lineRule="auto"/>
        <w:rPr>
          <w:sz w:val="20"/>
          <w:szCs w:val="20"/>
          <w:color w:val="auto"/>
        </w:rPr>
      </w:pPr>
      <w:r>
        <w:rPr>
          <w:rFonts w:ascii="Times New Roman" w:cs="Times New Roman" w:eastAsia="Times New Roman" w:hAnsi="Times New Roman"/>
          <w:sz w:val="20"/>
          <w:szCs w:val="20"/>
          <w:color w:val="auto"/>
        </w:rPr>
        <w:t>Upon surrender of a Note that is redeemed in part, the Company will issue and, upon receipt of an Authentication Order, the Trustee will authenticate for the Noteholder at the expense of the Company a new Note equal in principal amount to the unredeemed portion of the Note surrendered.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90" w:name="page391"/>
    <w:bookmarkEnd w:id="390"/>
    <w:p>
      <w:pPr>
        <w:spacing w:after="0"/>
        <w:tabs>
          <w:tab w:leader="none" w:pos="44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u w:val="single" w:color="auto"/>
          <w:color w:val="auto"/>
        </w:rPr>
        <w:t>Optional Redemption</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At any time or from time to time prior to the Par Call Date of the Notes, the Company may, at its option, redeem all or a part of the Notes, at a redemption price equal to the Make-Whole Price (subject to the right of Noteholders of record on the relevant record date to receive interest due on an Interest Payment Date that is on or prior to the redemption date, without duplication).</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Make-Whole Price</w:t>
      </w:r>
      <w:r>
        <w:rPr>
          <w:rFonts w:ascii="Times New Roman" w:cs="Times New Roman" w:eastAsia="Times New Roman" w:hAnsi="Times New Roman"/>
          <w:sz w:val="20"/>
          <w:szCs w:val="20"/>
          <w:color w:val="auto"/>
        </w:rPr>
        <w:t>” shall mean the greater of:</w:t>
      </w:r>
    </w:p>
    <w:p>
      <w:pPr>
        <w:spacing w:after="0" w:line="202" w:lineRule="exact"/>
        <w:rPr>
          <w:sz w:val="20"/>
          <w:szCs w:val="20"/>
          <w:color w:val="auto"/>
        </w:rPr>
      </w:pPr>
    </w:p>
    <w:p>
      <w:pPr>
        <w:ind w:left="1280" w:hanging="634"/>
        <w:spacing w:after="0" w:line="258" w:lineRule="auto"/>
        <w:tabs>
          <w:tab w:leader="none" w:pos="1154"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50 basis points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(b) interest accrued to, but excluding, the redemption date; and</w:t>
      </w:r>
    </w:p>
    <w:p>
      <w:pPr>
        <w:spacing w:after="0" w:line="158"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principal amount of the Notes to be redeemed,</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in either case, accrued and unpaid interest thereon to, but excluding, the redemption date.</w:t>
      </w:r>
    </w:p>
    <w:p>
      <w:pPr>
        <w:spacing w:after="0" w:line="206"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On or after April 7, 2033 (three months prior to the Maturity Date) (the “</w:t>
      </w:r>
      <w:r>
        <w:rPr>
          <w:rFonts w:ascii="Times New Roman" w:cs="Times New Roman" w:eastAsia="Times New Roman" w:hAnsi="Times New Roman"/>
          <w:sz w:val="20"/>
          <w:szCs w:val="20"/>
          <w:u w:val="single" w:color="auto"/>
          <w:color w:val="auto"/>
        </w:rPr>
        <w:t>Par Call Date</w:t>
      </w:r>
      <w:r>
        <w:rPr>
          <w:rFonts w:ascii="Times New Roman" w:cs="Times New Roman" w:eastAsia="Times New Roman" w:hAnsi="Times New Roman"/>
          <w:sz w:val="20"/>
          <w:szCs w:val="20"/>
          <w:color w:val="auto"/>
        </w:rPr>
        <w:t>”), the Company may redeem the Notes, in whole or in part, at any time and from time to time, at a redemption price equal to 100% of the principal amount of the Notes being redeemed plus accrued and unpaid interest thereon to, but excluding, the redemption date.</w:t>
      </w:r>
    </w:p>
    <w:p>
      <w:pPr>
        <w:spacing w:after="0" w:line="14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The notice of redemption with respect to the foregoing redemption need not set forth the Make-Whole Price but only the manner of calculation thereof. The Company will notify the Trustee of the Make-Whole Price with respect to any redemption promptly after the calculation, and the Trustee shall not be responsible for such calculation.</w:t>
      </w:r>
    </w:p>
    <w:p>
      <w:pPr>
        <w:spacing w:after="0" w:line="154"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0"/>
          <w:szCs w:val="20"/>
          <w:color w:val="auto"/>
        </w:rPr>
        <w:t>For the avoidance of doubt and notwithstanding any other provision of the Indenture or the Notes, (x) the Noteholders shall not be entitled to specific performance of the optional redemption provisions applicable to any Notes described under this Section 3.7 and no premium (including any Make-Whole Price) will be due or available as a remedy, in each case in connection with (1) any Default or Event of Default or (2) any acceleration (automatic or otherwise) of all, or any portion of, the Notes (other than an acceleration in respect of an Event of Default for failing to pay the redemption price when due following the Company’s voluntary election, if any, to redeem Notes pursuant to the optional redemption provisions applicable to the Notes under this Section 3.7, to the extent any premium is due in connection therewith), and (y) the requirement to pay any premium (including any Make-Whole Price) shall only arise in connection with the Company’s voluntary election, if any, to redeem Notes pursuant to the optional redemption provisions applicable to Notes described under this Section 3.7, and not in connection with any other payment, distribution, satisfaction or other recovery in respect of the Notes.</w:t>
      </w:r>
    </w:p>
    <w:p>
      <w:pPr>
        <w:spacing w:after="0" w:line="16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u w:val="single" w:color="auto"/>
          <w:color w:val="auto"/>
        </w:rPr>
        <w:t>Open Market Purchases; No Mandatory Redemption</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The Company may at any time and from time to time purchase Notes in the open market or otherwise; provided that the Company may not make purchases in excess of $25,000,000 in aggregate principal amount in any calendar year unless (i) it purchases Notes through a pro-rata offer on substantially the same terms to all Holders and (ii) the Company and its Affiliates are in compliance with </w:t>
      </w:r>
      <w:r>
        <w:rPr>
          <w:rFonts w:ascii="Times New Roman" w:cs="Times New Roman" w:eastAsia="Times New Roman" w:hAnsi="Times New Roman"/>
          <w:sz w:val="20"/>
          <w:szCs w:val="20"/>
          <w:u w:val="single" w:color="auto"/>
          <w:color w:val="auto"/>
        </w:rPr>
        <w:t>Section 4.27</w:t>
      </w:r>
      <w:r>
        <w:rPr>
          <w:rFonts w:ascii="Times New Roman" w:cs="Times New Roman" w:eastAsia="Times New Roman" w:hAnsi="Times New Roman"/>
          <w:sz w:val="20"/>
          <w:szCs w:val="20"/>
          <w:color w:val="auto"/>
        </w:rPr>
        <w:t>. The Company is not required to make mandatory redemption payments with respect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91" w:name="page392"/>
    <w:bookmarkEnd w:id="391"/>
    <w:p>
      <w:pPr>
        <w:spacing w:after="0"/>
        <w:tabs>
          <w:tab w:leader="none" w:pos="44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u w:val="single" w:color="auto"/>
          <w:color w:val="auto"/>
        </w:rPr>
        <w:t xml:space="preserve">Offer to Purchase by Application of Collateral Proceeds; </w:t>
      </w:r>
      <w:r>
        <w:rPr>
          <w:rFonts w:ascii="Times New Roman" w:cs="Times New Roman" w:eastAsia="Times New Roman" w:hAnsi="Times New Roman"/>
          <w:sz w:val="19"/>
          <w:szCs w:val="19"/>
          <w:b w:val="1"/>
          <w:bCs w:val="1"/>
          <w:u w:val="single" w:color="auto"/>
          <w:color w:val="auto"/>
        </w:rPr>
        <w:t>LNG SPA Termination Offer</w:t>
      </w:r>
    </w:p>
    <w:p>
      <w:pPr>
        <w:spacing w:after="0" w:line="20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In the event that, pursuant to </w:t>
      </w:r>
      <w:r>
        <w:rPr>
          <w:rFonts w:ascii="Times New Roman" w:cs="Times New Roman" w:eastAsia="Times New Roman" w:hAnsi="Times New Roman"/>
          <w:sz w:val="20"/>
          <w:szCs w:val="20"/>
          <w:u w:val="single" w:color="auto"/>
          <w:color w:val="auto"/>
        </w:rPr>
        <w:t>Sections 4.8,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the Company is required to commence an offer to all Noteholders to purchase Notes (a “</w:t>
      </w:r>
      <w:r>
        <w:rPr>
          <w:rFonts w:ascii="Times New Roman" w:cs="Times New Roman" w:eastAsia="Times New Roman" w:hAnsi="Times New Roman"/>
          <w:sz w:val="20"/>
          <w:szCs w:val="20"/>
          <w:b w:val="1"/>
          <w:bCs w:val="1"/>
          <w:color w:val="auto"/>
        </w:rPr>
        <w:t>LNG SPA Termination Offer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Loss Proceeds Offer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Asset Sale Offer</w:t>
      </w:r>
      <w:r>
        <w:rPr>
          <w:rFonts w:ascii="Times New Roman" w:cs="Times New Roman" w:eastAsia="Times New Roman" w:hAnsi="Times New Roman"/>
          <w:sz w:val="20"/>
          <w:szCs w:val="20"/>
          <w:color w:val="auto"/>
        </w:rPr>
        <w:t>,” or a “</w:t>
      </w:r>
      <w:r>
        <w:rPr>
          <w:rFonts w:ascii="Times New Roman" w:cs="Times New Roman" w:eastAsia="Times New Roman" w:hAnsi="Times New Roman"/>
          <w:sz w:val="20"/>
          <w:szCs w:val="20"/>
          <w:b w:val="1"/>
          <w:bCs w:val="1"/>
          <w:color w:val="auto"/>
        </w:rPr>
        <w:t>PLD Proceeds Offer,</w:t>
      </w:r>
      <w:r>
        <w:rPr>
          <w:rFonts w:ascii="Times New Roman" w:cs="Times New Roman" w:eastAsia="Times New Roman" w:hAnsi="Times New Roman"/>
          <w:sz w:val="20"/>
          <w:szCs w:val="20"/>
          <w:color w:val="auto"/>
        </w:rPr>
        <w:t>” respectively), it will follow the procedures specified below.</w:t>
      </w:r>
    </w:p>
    <w:p>
      <w:pPr>
        <w:spacing w:after="0" w:line="168"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 xml:space="preserve">The Loss Proceeds Offer, Asset Sale Offer, LNG SPA Termination Offer or PLD Proceeds Offer, as applicable, shall be made to all Noteholders and all holders of other Indebtedness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Notes containing provisions similar to those set forth in this Indenture with respect to offers or requirements to prepay, purchase or redeem with the proceeds of sales of assets, loss proceeds, project document termination payments or certain indemnity payments. The Loss Proceeds Offer, Asset Sale Offer, LNG SPA Termination Offer or PLD Proceeds Offer, as applicable, with respect to all Noteholders will remain open for a period of at least twenty Business Days following its commencement and not more than thirty Business Days, except to the extent that a longer period is required by applicable law (the “</w:t>
      </w:r>
      <w:r>
        <w:rPr>
          <w:rFonts w:ascii="Times New Roman" w:cs="Times New Roman" w:eastAsia="Times New Roman" w:hAnsi="Times New Roman"/>
          <w:sz w:val="20"/>
          <w:szCs w:val="20"/>
          <w:b w:val="1"/>
          <w:bCs w:val="1"/>
          <w:color w:val="auto"/>
        </w:rPr>
        <w:t>Offer Period</w:t>
      </w:r>
      <w:r>
        <w:rPr>
          <w:rFonts w:ascii="Times New Roman" w:cs="Times New Roman" w:eastAsia="Times New Roman" w:hAnsi="Times New Roman"/>
          <w:sz w:val="20"/>
          <w:szCs w:val="20"/>
          <w:color w:val="auto"/>
        </w:rPr>
        <w:t>”). No later than five Business Days after the termination of the Offer Period (the “</w:t>
      </w:r>
      <w:r>
        <w:rPr>
          <w:rFonts w:ascii="Times New Roman" w:cs="Times New Roman" w:eastAsia="Times New Roman" w:hAnsi="Times New Roman"/>
          <w:sz w:val="20"/>
          <w:szCs w:val="20"/>
          <w:b w:val="1"/>
          <w:bCs w:val="1"/>
          <w:color w:val="auto"/>
        </w:rPr>
        <w:t>Purchase Date</w:t>
      </w:r>
      <w:r>
        <w:rPr>
          <w:rFonts w:ascii="Times New Roman" w:cs="Times New Roman" w:eastAsia="Times New Roman" w:hAnsi="Times New Roman"/>
          <w:sz w:val="20"/>
          <w:szCs w:val="20"/>
          <w:color w:val="auto"/>
        </w:rPr>
        <w:t>”), the Company will apply all Excess Loss Proceeds, Excess Asset Sale Proceeds, LNG SPA Termination Prepayment Amount or Excess Performance Liquidated Damages, as applicable (the “</w:t>
      </w:r>
      <w:r>
        <w:rPr>
          <w:rFonts w:ascii="Times New Roman" w:cs="Times New Roman" w:eastAsia="Times New Roman" w:hAnsi="Times New Roman"/>
          <w:sz w:val="20"/>
          <w:szCs w:val="20"/>
          <w:b w:val="1"/>
          <w:bCs w:val="1"/>
          <w:color w:val="auto"/>
        </w:rPr>
        <w:t>Offer Amount</w:t>
      </w:r>
      <w:r>
        <w:rPr>
          <w:rFonts w:ascii="Times New Roman" w:cs="Times New Roman" w:eastAsia="Times New Roman" w:hAnsi="Times New Roman"/>
          <w:sz w:val="20"/>
          <w:szCs w:val="20"/>
          <w:color w:val="auto"/>
        </w:rPr>
        <w:t xml:space="preserve">”), to the purchase of Notes and such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Indebtedness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if applicable) or, if less than the Offer Amount has been tendered, all Notes and other Indebtedness tendered in response to the Loss Proceeds Offer, Asset Sale Offer, LNG SPA Termination Offer or PLD Proceeds Offer, as applicable. Payment for any Notes so purchased will be made in the same manner as interest payments are made hereunder.</w:t>
      </w:r>
    </w:p>
    <w:p>
      <w:pPr>
        <w:spacing w:after="0" w:line="166"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If the Purchase Date is on or after an interest record date and on or before the related Interest Payment Date, any accrued and unpaid interest, if any, will be paid to the Person in whose name a Note is registered at the close of business on such record date, and no additional interest will be payable to Noteholders who tender Notes pursuant to the Loss Proceeds Offer, Asset Sale Offer, LNG SPA Termination Offer or PLD Proceeds Offer, as applicable.</w:t>
      </w:r>
    </w:p>
    <w:p>
      <w:pPr>
        <w:spacing w:after="0" w:line="15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Upon the commencement of a Loss Proceeds Offer, Asset Sale Offer, LNG SPA Termination Offer or PLD Proceeds Offer, as applicable, the Company will direct the Trustee to send, by first class mail or deliver electronically, a notice to each of the Noteholders, with a copy to the Company. The notice will contain all instructions and materials necessary to enable such Noteholders to tender Notes pursuant to the Loss Proceeds Offer, Asset Sale Offer, LNG SPA Termination Offer or PLD Proceeds Offer, as applicable. The notice, which will govern the terms of the Loss Proceeds Offer, Asset Sale Offer, LNG SPA Termination Offer or PLD Proceeds Offer, as applicable, will state:</w:t>
      </w:r>
    </w:p>
    <w:p>
      <w:pPr>
        <w:spacing w:after="0" w:line="165" w:lineRule="exact"/>
        <w:rPr>
          <w:sz w:val="20"/>
          <w:szCs w:val="20"/>
          <w:color w:val="auto"/>
        </w:rPr>
      </w:pPr>
    </w:p>
    <w:p>
      <w:pPr>
        <w:ind w:left="1280" w:hanging="634"/>
        <w:spacing w:after="0" w:line="268" w:lineRule="auto"/>
        <w:tabs>
          <w:tab w:leader="none" w:pos="1134" w:val="left"/>
        </w:tabs>
        <w:numPr>
          <w:ilvl w:val="0"/>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the Loss Proceeds Offer, Asset Sale Offer, LNG SPA Termination Offer or PLD Proceeds Offer, as applicable, is being made pursuant to this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Sections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as applicable, and the length of time the Loss Proceeds Offer, Asset Sale Offer, LNG SPA Termination Offer or PLD Proceeds Offer, as applicable, will remain open;</w:t>
      </w:r>
    </w:p>
    <w:p>
      <w:pPr>
        <w:spacing w:after="0" w:line="147"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Offer Amount, the purchase price and the Purchase Date;</w:t>
      </w:r>
    </w:p>
    <w:p>
      <w:pPr>
        <w:spacing w:after="0" w:line="202"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tendered or accepted for payment will continue to accrete or accrue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92" w:name="page393"/>
    <w:bookmarkEnd w:id="392"/>
    <w:p>
      <w:pPr>
        <w:ind w:left="1280" w:hanging="634"/>
        <w:spacing w:after="0" w:line="261" w:lineRule="auto"/>
        <w:tabs>
          <w:tab w:leader="none" w:pos="1070"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making such payment, any Note accepted for payment pursuant to the Loss Proceeds Offer, Asset Sale Offer, LNG SPA Termination Offer or PLD Proceeds Offer, as applicable, will cease to accrete or accrue interest after the Purchase Date;</w:t>
      </w:r>
    </w:p>
    <w:p>
      <w:pPr>
        <w:spacing w:after="0" w:line="154" w:lineRule="exact"/>
        <w:rPr>
          <w:rFonts w:ascii="Times New Roman" w:cs="Times New Roman" w:eastAsia="Times New Roman" w:hAnsi="Times New Roman"/>
          <w:sz w:val="20"/>
          <w:szCs w:val="20"/>
          <w:color w:val="auto"/>
        </w:rPr>
      </w:pPr>
    </w:p>
    <w:p>
      <w:pPr>
        <w:ind w:left="1280" w:hanging="634"/>
        <w:spacing w:after="0" w:line="257" w:lineRule="auto"/>
        <w:tabs>
          <w:tab w:leader="none" w:pos="1076"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electing to have a Note purchased pursuant to a Loss Proceeds Offer, Asset Sale Offer, LNG SPA Termination Offer or PLD Proceeds Offer, as applicable, may elect to have Notes purchased in amounts of $100,000 or whole multiples of $1,000 in excess thereof; except that if all of the Notes of a Noteholder are to be purchased, the entire outstanding amount of Notes held by such Noteholder, even if not in the amount of $100,000 or a whole multiple of $1,000 thereof, shall be purchased;</w:t>
      </w:r>
    </w:p>
    <w:p>
      <w:pPr>
        <w:spacing w:after="0" w:line="159" w:lineRule="exact"/>
        <w:rPr>
          <w:rFonts w:ascii="Times New Roman" w:cs="Times New Roman" w:eastAsia="Times New Roman" w:hAnsi="Times New Roman"/>
          <w:sz w:val="20"/>
          <w:szCs w:val="20"/>
          <w:color w:val="auto"/>
        </w:rPr>
      </w:pPr>
    </w:p>
    <w:p>
      <w:pPr>
        <w:ind w:left="1280" w:hanging="634"/>
        <w:spacing w:after="0" w:line="258" w:lineRule="auto"/>
        <w:tabs>
          <w:tab w:leader="none" w:pos="1069"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electing to have Notes purchased pursuant to a Loss Proceeds Offer, Asset Sale Offer, LNG SPA Termination Offer or PLD Proceeds Offer, as applicable, will be required to surrender the Note, with the form entitled “</w:t>
      </w:r>
      <w:r>
        <w:rPr>
          <w:rFonts w:ascii="Times New Roman" w:cs="Times New Roman" w:eastAsia="Times New Roman" w:hAnsi="Times New Roman"/>
          <w:sz w:val="20"/>
          <w:szCs w:val="20"/>
          <w:i w:val="1"/>
          <w:iCs w:val="1"/>
          <w:color w:val="auto"/>
        </w:rPr>
        <w:t>Option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Noteholder to Elect Purchase</w:t>
      </w:r>
      <w:r>
        <w:rPr>
          <w:rFonts w:ascii="Times New Roman" w:cs="Times New Roman" w:eastAsia="Times New Roman" w:hAnsi="Times New Roman"/>
          <w:sz w:val="20"/>
          <w:szCs w:val="20"/>
          <w:color w:val="auto"/>
        </w:rPr>
        <w:t>” attached to the Notes completed, or transfer by book-entry transfer, to the Company or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Paying Agent at the address specified in the notice at least three days before the Purchase Date;</w:t>
      </w:r>
    </w:p>
    <w:p>
      <w:pPr>
        <w:spacing w:after="0" w:line="158" w:lineRule="exact"/>
        <w:rPr>
          <w:rFonts w:ascii="Times New Roman" w:cs="Times New Roman" w:eastAsia="Times New Roman" w:hAnsi="Times New Roman"/>
          <w:sz w:val="20"/>
          <w:szCs w:val="20"/>
          <w:color w:val="auto"/>
        </w:rPr>
      </w:pPr>
    </w:p>
    <w:p>
      <w:pPr>
        <w:ind w:left="1280" w:hanging="634"/>
        <w:spacing w:after="0" w:line="258" w:lineRule="auto"/>
        <w:tabs>
          <w:tab w:leader="none" w:pos="1107"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will be entitled to withdraw their election if the Company or the Paying Agent, as the case may be, receives, not later than the expiration of the Offer Period, electronically or by mail a notice setting forth the name of the Noteholder, the principal amount of the Note the Noteholder delivered for purchase and a statement that such Noteholder is withdrawing his election to have such Note purchased;</w:t>
      </w:r>
    </w:p>
    <w:p>
      <w:pPr>
        <w:spacing w:after="0" w:line="154" w:lineRule="exact"/>
        <w:rPr>
          <w:rFonts w:ascii="Times New Roman" w:cs="Times New Roman" w:eastAsia="Times New Roman" w:hAnsi="Times New Roman"/>
          <w:sz w:val="20"/>
          <w:szCs w:val="20"/>
          <w:color w:val="auto"/>
        </w:rPr>
      </w:pPr>
    </w:p>
    <w:p>
      <w:pPr>
        <w:ind w:left="1280" w:hanging="634"/>
        <w:spacing w:after="0" w:line="263" w:lineRule="auto"/>
        <w:tabs>
          <w:tab w:leader="none" w:pos="1182"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if the aggregate principal amount of Notes and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Indebtedness surrendered by Noteholders thereof, if applicable, exceeds the Offer Amount, the Notes, and such other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Indebtedness, shall be purchased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and the Trustee will select the Notes or portions thereof to be purchased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and</w:t>
      </w:r>
    </w:p>
    <w:p>
      <w:pPr>
        <w:spacing w:after="0" w:line="165" w:lineRule="exact"/>
        <w:rPr>
          <w:rFonts w:ascii="Times New Roman" w:cs="Times New Roman" w:eastAsia="Times New Roman" w:hAnsi="Times New Roman"/>
          <w:sz w:val="20"/>
          <w:szCs w:val="20"/>
          <w:color w:val="auto"/>
        </w:rPr>
      </w:pPr>
    </w:p>
    <w:p>
      <w:pPr>
        <w:ind w:left="1280" w:right="20" w:hanging="634"/>
        <w:spacing w:after="0" w:line="269" w:lineRule="auto"/>
        <w:tabs>
          <w:tab w:leader="none" w:pos="1196"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whose Notes were purchased only in part will be issued new Notes equal in principal amount to the unpurchased portion of the Notes surrendered (or transferred by book-entry transfer).</w:t>
      </w:r>
    </w:p>
    <w:p>
      <w:pPr>
        <w:spacing w:after="0" w:line="14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On or before the Purchase Date, the Company will, to the extent lawful, accept for payment,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to the extent necessary, the Offer Amount of Notes or portions thereof tendered pursuant to the Loss Proceeds Offer, Asset Sale Offer, LNG SPA Termination Offer or PLD Proceeds Offer, as applicable, or if less than the Offer Amount has been tendered, all Notes tendered, and will deliver or cause to be delivered to the Trustee the Notes properly accepted together with an Officer’s Certificate stating that such Notes or portions thereof were accepted for payment by the Company in accordance with the terms of this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The Company or the Paying Agent, as the case may be, will promptly (but in any case not later than five days after the Purchase Date) mail or deliver to each tendering Noteholder an amount equal to the purchase price of the Notes tendered by such Noteholder and accepted by the Company for purchase, and the Company will promptly issue a new Note, and the Trustee, upon written request from the Company, will authenticate and mail or deliver (or cause to be transferred by book entry) such new Note to such Noteholder, in a principal amount equal to any unpurchased portion of the Note surrendered. Any Note not so accepted shall be promptly mailed or delivered by the Company or the Trustee to the Noteholder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93" w:name="page394"/>
    <w:bookmarkEnd w:id="393"/>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COVENANTS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The Company undertakes to perform and comply with each of the covenants in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u w:val="single" w:color="auto"/>
          <w:color w:val="auto"/>
        </w:rPr>
        <w:t>Payment of Notes</w:t>
      </w:r>
    </w:p>
    <w:p>
      <w:pPr>
        <w:spacing w:after="0" w:line="202"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9"/>
          <w:szCs w:val="19"/>
          <w:color w:val="auto"/>
        </w:rPr>
        <w:t>The Company will pay or cause to be paid the principal of, premium, if any, and interest on the Notes on the dates and in the manner provided in this Indenture and in the Notes. Principal, premium, if any, and interest will be considered paid on the date due if the Paying Agent, if other than the Company, holds as of 12:00 p.m. New York City time on the due date money deposited by the Company in immediately available funds and designated for and sufficient to pay all principal, premium, if any, and interest then due.</w:t>
      </w:r>
    </w:p>
    <w:p>
      <w:pPr>
        <w:spacing w:after="0" w:line="143"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Company will pay interest (including post-petition interest in any proceeding under any Debtor Relief Law) on overdue principal at the rate equal to 2.0% per annum in excess of the then applicable interest rate on the Notes to the extent lawful; it will pay interest (including post-petition interest in any proceeding under any Debtor Relief Law) on overdue installments of interest (without regard to any applicable grace period) at the same rate to the extent lawful.</w:t>
      </w:r>
    </w:p>
    <w:p>
      <w:pPr>
        <w:spacing w:after="0" w:line="15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a payment date is not a Business Day at a place of payment, payment may be made at that place on the next succeeding day that is a Business Day. Interest will be computed on the basis of a 360-day year of twelve 30-day months and will be payable semi-annually on the basis of six 30-day months.</w:t>
      </w:r>
    </w:p>
    <w:p>
      <w:pPr>
        <w:spacing w:after="0" w:line="1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Maintenance of Office or Agency</w:t>
      </w:r>
    </w:p>
    <w:p>
      <w:pPr>
        <w:spacing w:after="0" w:line="216"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Company will maintain in the United States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77"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designation or rescission will in any manner relieve the Company of its obligation to maintain an office or agency in the United States for such purposes. The Company will give written notice to the Trustee of any such designation or rescission and of any change in the location of any such other office or agency.</w:t>
      </w:r>
    </w:p>
    <w:p>
      <w:pPr>
        <w:spacing w:after="0" w:line="165"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The Company hereby designates the Corporate Trust Office of the Trustee as one such office or agency of the Company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3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Reports</w:t>
      </w:r>
    </w:p>
    <w:p>
      <w:pPr>
        <w:spacing w:after="0" w:line="202" w:lineRule="exact"/>
        <w:rPr>
          <w:sz w:val="20"/>
          <w:szCs w:val="20"/>
          <w:color w:val="auto"/>
        </w:rPr>
      </w:pPr>
    </w:p>
    <w:p>
      <w:pPr>
        <w:ind w:left="1280" w:hanging="634"/>
        <w:spacing w:after="0" w:line="268" w:lineRule="auto"/>
        <w:tabs>
          <w:tab w:leader="none" w:pos="1093"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becomes subject to the reporting requirements of Section 13 or 15(d) of the Exchange Act, then the Company shall file with the Trustee within fifteen days after the Company files them with the SEC, copies of its annual reports and of the information, documents and other reports (or copies of such portions of any of the foregoing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94" w:name="page395"/>
    <w:bookmarkEnd w:id="394"/>
    <w:p>
      <w:pPr>
        <w:ind w:left="1280"/>
        <w:spacing w:after="0" w:line="283" w:lineRule="auto"/>
        <w:rPr>
          <w:sz w:val="20"/>
          <w:szCs w:val="20"/>
          <w:color w:val="auto"/>
        </w:rPr>
      </w:pPr>
      <w:r>
        <w:rPr>
          <w:rFonts w:ascii="Times New Roman" w:cs="Times New Roman" w:eastAsia="Times New Roman" w:hAnsi="Times New Roman"/>
          <w:sz w:val="20"/>
          <w:szCs w:val="20"/>
          <w:color w:val="auto"/>
        </w:rPr>
        <w:t>SEC may by rules and regulations prescribe) that the Company is required to file with the SEC pursuant to Section 13 or 15(d) of the Exchange Act.</w:t>
      </w:r>
    </w:p>
    <w:p>
      <w:pPr>
        <w:spacing w:after="0" w:line="129" w:lineRule="exact"/>
        <w:rPr>
          <w:sz w:val="20"/>
          <w:szCs w:val="20"/>
          <w:color w:val="auto"/>
        </w:rPr>
      </w:pPr>
    </w:p>
    <w:p>
      <w:pPr>
        <w:ind w:left="1280" w:hanging="634"/>
        <w:spacing w:after="0" w:line="263" w:lineRule="auto"/>
        <w:tabs>
          <w:tab w:leader="none" w:pos="1143"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any Notes are outstanding, the Company will furnish to the Noteholders and to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securities analysts and </w:t>
      </w:r>
      <w:r>
        <w:rPr>
          <w:rFonts w:ascii="Times New Roman" w:cs="Times New Roman" w:eastAsia="Times New Roman" w:hAnsi="Times New Roman"/>
          <w:sz w:val="20"/>
          <w:szCs w:val="20"/>
          <w:i w:val="1"/>
          <w:iCs w:val="1"/>
          <w:color w:val="auto"/>
        </w:rPr>
        <w:t xml:space="preserve">bona fide </w:t>
      </w:r>
      <w:r>
        <w:rPr>
          <w:rFonts w:ascii="Times New Roman" w:cs="Times New Roman" w:eastAsia="Times New Roman" w:hAnsi="Times New Roman"/>
          <w:sz w:val="20"/>
          <w:szCs w:val="20"/>
          <w:color w:val="auto"/>
        </w:rPr>
        <w:t>prospective investors in the Notes, upon their request, the information required to be delivered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Rule 144A(d)(4) under the Securities Act (or any successor provision thereto) (“</w:t>
      </w:r>
      <w:r>
        <w:rPr>
          <w:rFonts w:ascii="Times New Roman" w:cs="Times New Roman" w:eastAsia="Times New Roman" w:hAnsi="Times New Roman"/>
          <w:sz w:val="20"/>
          <w:szCs w:val="20"/>
          <w:b w:val="1"/>
          <w:bCs w:val="1"/>
          <w:color w:val="auto"/>
        </w:rPr>
        <w:t>Rule 144A Information</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ind w:left="1280" w:hanging="634"/>
        <w:spacing w:after="0" w:line="250" w:lineRule="auto"/>
        <w:tabs>
          <w:tab w:leader="none" w:pos="1074"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any of the Notes are outstanding, in addition to the requirement to furnish Rule 144A Information as provided in the preceding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the Company shall furnish or cause to be furnished to Noteholders and the Trustee (1) annual audited consolidated financial statements of the Company prepared in accordance with GAAP (together with notes thereto and a report thereon by an independent accountant of established national reputation), such statements to be so furnished within 120 days after the end of the Fiscal Year covered thereby and (2) unaudited consolidated financial statements of the Company for each of the first three Fiscal Quarters of each Fiscal Year and the corresponding quarter and year-to-year period of the prior year prepared in all material respects on a basis consistent with the annual consolidated financial statements furnished pursuant to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such statements to be so furnished within sixty days after the end of each such quarter;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Company (or the Trustee at the direction of the Company) shall give each Holder prior written notice, which may be by e-mail, of the posting or filing of any financial statements pursuant to this Section 4.3;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upon request of any holder to receive paper copies of such forms, financial statements, other information and Officer’s Certificates or to receive them by email, the Company will promptly deliver paper copies or email them, as the case may be, to such holder.</w:t>
      </w:r>
    </w:p>
    <w:p>
      <w:pPr>
        <w:spacing w:after="0" w:line="179" w:lineRule="exact"/>
        <w:rPr>
          <w:rFonts w:ascii="Times New Roman" w:cs="Times New Roman" w:eastAsia="Times New Roman" w:hAnsi="Times New Roman"/>
          <w:sz w:val="20"/>
          <w:szCs w:val="20"/>
          <w:color w:val="auto"/>
        </w:rPr>
      </w:pPr>
    </w:p>
    <w:p>
      <w:pPr>
        <w:ind w:left="1280" w:hanging="634"/>
        <w:spacing w:after="0" w:line="253" w:lineRule="auto"/>
        <w:tabs>
          <w:tab w:leader="none" w:pos="1072"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comply with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by posting the information described herein on a website or online data system no later than the date that the Company is required to provide those reports to the Trustee and maintaining such posting for so long as any Notes remain outstanding. Access to such reports on such website or online data system may be subject to a confidentiality acknowledgment and password protection;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other conditions may be imposed on access to such reports other than a representation by the Person accessing such reports that it is the Trustee, a Noteholder,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prospective investor or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securities analyst.</w:t>
      </w:r>
    </w:p>
    <w:p>
      <w:pPr>
        <w:spacing w:after="0" w:line="165" w:lineRule="exact"/>
        <w:rPr>
          <w:rFonts w:ascii="Times New Roman" w:cs="Times New Roman" w:eastAsia="Times New Roman" w:hAnsi="Times New Roman"/>
          <w:sz w:val="20"/>
          <w:szCs w:val="20"/>
          <w:color w:val="auto"/>
        </w:rPr>
      </w:pPr>
    </w:p>
    <w:p>
      <w:pPr>
        <w:ind w:left="1280" w:hanging="634"/>
        <w:spacing w:after="0" w:line="258" w:lineRule="auto"/>
        <w:tabs>
          <w:tab w:leader="none" w:pos="1081"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such reports, information and documents to the Trustee is for informational purposes only and the Trustee’s receipt of such shall not constitute actual or constructive knowledge or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58" w:lineRule="exact"/>
        <w:rPr>
          <w:rFonts w:ascii="Times New Roman" w:cs="Times New Roman" w:eastAsia="Times New Roman" w:hAnsi="Times New Roman"/>
          <w:sz w:val="20"/>
          <w:szCs w:val="20"/>
          <w:color w:val="auto"/>
        </w:rPr>
      </w:pPr>
    </w:p>
    <w:p>
      <w:pPr>
        <w:ind w:left="1280" w:right="20" w:hanging="634"/>
        <w:spacing w:after="0" w:line="261" w:lineRule="auto"/>
        <w:tabs>
          <w:tab w:leader="none" w:pos="1122"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any reports or other information required to be filed, delivered or furnished pursuant to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shall be deemed filed, delivered or furnished if filed electronically with the SEC through the SEC’s Electronic Data Gathering, Analysis and Retrieval System (or any successor system).</w:t>
      </w:r>
    </w:p>
    <w:p>
      <w:pPr>
        <w:spacing w:after="0" w:line="154" w:lineRule="exact"/>
        <w:rPr>
          <w:rFonts w:ascii="Times New Roman" w:cs="Times New Roman" w:eastAsia="Times New Roman" w:hAnsi="Times New Roman"/>
          <w:sz w:val="20"/>
          <w:szCs w:val="20"/>
          <w:color w:val="auto"/>
        </w:rPr>
      </w:pPr>
    </w:p>
    <w:p>
      <w:pPr>
        <w:ind w:left="1280" w:hanging="634"/>
        <w:spacing w:after="0" w:line="283" w:lineRule="auto"/>
        <w:tabs>
          <w:tab w:leader="none" w:pos="1107"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following receipt from the Company or the P1 Intercreditor Agent, shall furnish or cause to be furnished to each Noteholder such information as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95" w:name="page396"/>
    <w:bookmarkEnd w:id="395"/>
    <w:p>
      <w:pPr>
        <w:jc w:val="both"/>
        <w:ind w:left="1280"/>
        <w:spacing w:after="0" w:line="263" w:lineRule="auto"/>
        <w:rPr>
          <w:sz w:val="20"/>
          <w:szCs w:val="20"/>
          <w:color w:val="auto"/>
        </w:rPr>
      </w:pPr>
      <w:r>
        <w:rPr>
          <w:rFonts w:ascii="Times New Roman" w:cs="Times New Roman" w:eastAsia="Times New Roman" w:hAnsi="Times New Roman"/>
          <w:sz w:val="20"/>
          <w:szCs w:val="20"/>
          <w:color w:val="auto"/>
        </w:rPr>
        <w:t xml:space="preserve">receives pursuant to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or from the P1 Intercreditor Agent pursuant to Article 6 (</w:t>
      </w:r>
      <w:r>
        <w:rPr>
          <w:rFonts w:ascii="Times New Roman" w:cs="Times New Roman" w:eastAsia="Times New Roman" w:hAnsi="Times New Roman"/>
          <w:sz w:val="20"/>
          <w:szCs w:val="20"/>
          <w:i w:val="1"/>
          <w:iCs w:val="1"/>
          <w:color w:val="auto"/>
        </w:rPr>
        <w:t>Reporting Requirements</w:t>
      </w:r>
      <w:r>
        <w:rPr>
          <w:rFonts w:ascii="Times New Roman" w:cs="Times New Roman" w:eastAsia="Times New Roman" w:hAnsi="Times New Roman"/>
          <w:sz w:val="20"/>
          <w:szCs w:val="20"/>
          <w:color w:val="auto"/>
        </w:rPr>
        <w:t>) of the Common Terms Agreement, in each case, promptly after receipt of such information by the Trustee, unless such information is required to be delivered by the Company directly to the Noteholders pursuant to this Indenture.</w:t>
      </w:r>
    </w:p>
    <w:p>
      <w:pPr>
        <w:spacing w:after="0" w:line="152" w:lineRule="exact"/>
        <w:rPr>
          <w:sz w:val="20"/>
          <w:szCs w:val="20"/>
          <w:color w:val="auto"/>
        </w:rPr>
      </w:pPr>
    </w:p>
    <w:p>
      <w:pPr>
        <w:jc w:val="right"/>
        <w:ind w:left="1280" w:hanging="634"/>
        <w:spacing w:after="0" w:line="276" w:lineRule="auto"/>
        <w:tabs>
          <w:tab w:leader="none" w:pos="1094" w:val="left"/>
        </w:tabs>
        <w:numPr>
          <w:ilvl w:val="0"/>
          <w:numId w:val="4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promptly, and in any event within five Business Days, after receipt from the CASA Advisor (as defined in the P1 CASA), deliver to the Trustee and the Noteholders a copy of any material written statement, budget, plan or reports and any notice pursuant to Section 5.5 (</w:t>
      </w:r>
      <w:r>
        <w:rPr>
          <w:rFonts w:ascii="Times New Roman" w:cs="Times New Roman" w:eastAsia="Times New Roman" w:hAnsi="Times New Roman"/>
          <w:sz w:val="19"/>
          <w:szCs w:val="19"/>
          <w:i w:val="1"/>
          <w:iCs w:val="1"/>
          <w:color w:val="auto"/>
        </w:rPr>
        <w:t>Variance in a P1 Services Budget</w:t>
      </w:r>
      <w:r>
        <w:rPr>
          <w:rFonts w:ascii="Times New Roman" w:cs="Times New Roman" w:eastAsia="Times New Roman" w:hAnsi="Times New Roman"/>
          <w:sz w:val="19"/>
          <w:szCs w:val="19"/>
          <w:color w:val="auto"/>
        </w:rPr>
        <w:t>) of the P1 CASA, in each case, delivered to the Company under the P1 CASA (including any such statements, budget, plan or report with respect to the Rio Grande Facility).</w:t>
      </w:r>
    </w:p>
    <w:p>
      <w:pPr>
        <w:spacing w:after="0" w:line="142" w:lineRule="exact"/>
        <w:rPr>
          <w:rFonts w:ascii="Times New Roman" w:cs="Times New Roman" w:eastAsia="Times New Roman" w:hAnsi="Times New Roman"/>
          <w:sz w:val="19"/>
          <w:szCs w:val="19"/>
          <w:color w:val="auto"/>
        </w:rPr>
      </w:pPr>
    </w:p>
    <w:p>
      <w:pPr>
        <w:ind w:left="1280" w:hanging="634"/>
        <w:spacing w:after="0" w:line="257" w:lineRule="auto"/>
        <w:tabs>
          <w:tab w:leader="none" w:pos="1053" w:val="left"/>
        </w:tabs>
        <w:numPr>
          <w:ilvl w:val="0"/>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thirty days after the end of each month up to and including the month during which the Project Completion Date occurs, the Company shall deliver to the Trustee and Noteholders a monthly construction report from the Independent Engineer regarding the construction activities in relation to the Project carried out during such month based on the report delivered by the CASA Advisor under Section 3.3(j) (</w:t>
      </w:r>
      <w:r>
        <w:rPr>
          <w:rFonts w:ascii="Times New Roman" w:cs="Times New Roman" w:eastAsia="Times New Roman" w:hAnsi="Times New Roman"/>
          <w:sz w:val="20"/>
          <w:szCs w:val="20"/>
          <w:i w:val="1"/>
          <w:iCs w:val="1"/>
          <w:color w:val="auto"/>
        </w:rPr>
        <w:t>Requirements of Independent Engineers</w:t>
      </w:r>
      <w:r>
        <w:rPr>
          <w:rFonts w:ascii="Times New Roman" w:cs="Times New Roman" w:eastAsia="Times New Roman" w:hAnsi="Times New Roman"/>
          <w:sz w:val="20"/>
          <w:szCs w:val="20"/>
          <w:color w:val="auto"/>
        </w:rPr>
        <w:t>) of the P1 CASA and such other information reasonably requested by the Independent Engineer.</w:t>
      </w:r>
    </w:p>
    <w:p>
      <w:pPr>
        <w:spacing w:after="0" w:line="159" w:lineRule="exact"/>
        <w:rPr>
          <w:rFonts w:ascii="Times New Roman" w:cs="Times New Roman" w:eastAsia="Times New Roman" w:hAnsi="Times New Roman"/>
          <w:sz w:val="20"/>
          <w:szCs w:val="20"/>
          <w:color w:val="auto"/>
        </w:rPr>
      </w:pPr>
    </w:p>
    <w:p>
      <w:pPr>
        <w:ind w:left="1280" w:hanging="634"/>
        <w:spacing w:after="0" w:line="261" w:lineRule="auto"/>
        <w:tabs>
          <w:tab w:leader="none" w:pos="1036" w:val="left"/>
        </w:tabs>
        <w:numPr>
          <w:ilvl w:val="0"/>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promptly, and in any event within five Business Days, after receipt from the Operator, deliver to the Trustee and the Noteholders a copy of any annual reports delivered pursuant to Section 3.7.4 (</w:t>
      </w:r>
      <w:r>
        <w:rPr>
          <w:rFonts w:ascii="Times New Roman" w:cs="Times New Roman" w:eastAsia="Times New Roman" w:hAnsi="Times New Roman"/>
          <w:sz w:val="20"/>
          <w:szCs w:val="20"/>
          <w:i w:val="1"/>
          <w:iCs w:val="1"/>
          <w:color w:val="auto"/>
        </w:rPr>
        <w:t>Annual Reports</w:t>
      </w:r>
      <w:r>
        <w:rPr>
          <w:rFonts w:ascii="Times New Roman" w:cs="Times New Roman" w:eastAsia="Times New Roman" w:hAnsi="Times New Roman"/>
          <w:sz w:val="20"/>
          <w:szCs w:val="20"/>
          <w:color w:val="auto"/>
        </w:rPr>
        <w:t>) of the O&amp;M Agreement delivered to the Company under the O&amp;M Agreement.</w:t>
      </w:r>
    </w:p>
    <w:p>
      <w:pPr>
        <w:spacing w:after="0" w:line="167"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w:t>
      </w:r>
    </w:p>
    <w:p>
      <w:pPr>
        <w:spacing w:after="0" w:line="202" w:lineRule="exact"/>
        <w:rPr>
          <w:rFonts w:ascii="Times New Roman" w:cs="Times New Roman" w:eastAsia="Times New Roman" w:hAnsi="Times New Roman"/>
          <w:sz w:val="20"/>
          <w:szCs w:val="20"/>
          <w:color w:val="auto"/>
        </w:rPr>
      </w:pPr>
    </w:p>
    <w:p>
      <w:pPr>
        <w:ind w:left="1920" w:right="20" w:hanging="636"/>
        <w:spacing w:after="0" w:line="269" w:lineRule="auto"/>
        <w:tabs>
          <w:tab w:leader="none" w:pos="1808" w:val="left"/>
        </w:tabs>
        <w:numPr>
          <w:ilvl w:val="1"/>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unless otherwise specified, deliver within five Business Days after the Company obtains Knowledge of any of the following, written notice to the Trustee of:</w:t>
      </w:r>
    </w:p>
    <w:p>
      <w:pPr>
        <w:spacing w:after="0" w:line="159" w:lineRule="exact"/>
        <w:rPr>
          <w:rFonts w:ascii="Times New Roman" w:cs="Times New Roman" w:eastAsia="Times New Roman" w:hAnsi="Times New Roman"/>
          <w:sz w:val="20"/>
          <w:szCs w:val="20"/>
          <w:color w:val="auto"/>
        </w:rPr>
      </w:pPr>
    </w:p>
    <w:p>
      <w:pPr>
        <w:ind w:left="2560" w:hanging="639"/>
        <w:spacing w:after="0" w:line="261" w:lineRule="auto"/>
        <w:tabs>
          <w:tab w:leader="none" w:pos="2442" w:val="left"/>
        </w:tabs>
        <w:numPr>
          <w:ilvl w:val="2"/>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cessation of material activities related to the development, construction, operation and/or maintenance of the Project not otherwise reflected in the Construction Budget and Schedule and that could reasonably be expected to exceed sixty consecutive days;</w:t>
      </w:r>
    </w:p>
    <w:p>
      <w:pPr>
        <w:spacing w:after="0" w:line="154" w:lineRule="exact"/>
        <w:rPr>
          <w:rFonts w:ascii="Times New Roman" w:cs="Times New Roman" w:eastAsia="Times New Roman" w:hAnsi="Times New Roman"/>
          <w:sz w:val="20"/>
          <w:szCs w:val="20"/>
          <w:color w:val="auto"/>
        </w:rPr>
      </w:pPr>
    </w:p>
    <w:p>
      <w:pPr>
        <w:ind w:left="2560" w:hanging="639"/>
        <w:spacing w:after="0" w:line="283" w:lineRule="auto"/>
        <w:tabs>
          <w:tab w:leader="none" w:pos="2409" w:val="left"/>
        </w:tabs>
        <w:numPr>
          <w:ilvl w:val="2"/>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ultimate beneficial ownership information of the Company required to be provided in the Beneficial Ownership Certification most recently delivered to the Noteholders;</w:t>
      </w:r>
    </w:p>
    <w:p>
      <w:pPr>
        <w:spacing w:after="0" w:line="132" w:lineRule="exact"/>
        <w:rPr>
          <w:rFonts w:ascii="Times New Roman" w:cs="Times New Roman" w:eastAsia="Times New Roman" w:hAnsi="Times New Roman"/>
          <w:sz w:val="20"/>
          <w:szCs w:val="20"/>
          <w:color w:val="auto"/>
        </w:rPr>
      </w:pPr>
    </w:p>
    <w:p>
      <w:pPr>
        <w:ind w:left="2560" w:hanging="639"/>
        <w:spacing w:after="0" w:line="253" w:lineRule="auto"/>
        <w:tabs>
          <w:tab w:leader="none" w:pos="2414" w:val="left"/>
        </w:tabs>
        <w:numPr>
          <w:ilvl w:val="2"/>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occurrence or circumstance that could reasonably be expected to cause (i) an increase of more than $150,000,000 individually or in the aggregate in P1 Project Costs or (ii) the actual expenditure with respect to any category of expenditure or any line item contained in the Annual Facility Budget to exceed the budgeted amount set forth in the Annual Facility Budget by any amount that would give rise to a vote of one or more Liquefaction Owners pursuant to the CFAA;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96" w:name="page397"/>
    <w:bookmarkEnd w:id="396"/>
    <w:p>
      <w:pPr>
        <w:ind w:left="2560" w:hanging="639"/>
        <w:spacing w:after="0" w:line="253" w:lineRule="auto"/>
        <w:tabs>
          <w:tab w:leader="none" w:pos="2446"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outage or disability of any Train Facility or Common Facilities for a period of longer than seven days (except for regularly scheduled outages) or (ii) any event which would entitle the Company to receive liquidated damages pursuant to Section 14.2.8 (Subsequent Train Facilities) of the CFAA or to receive and schedule “Default Quantities” pursuant to Section 14.2.9 (Subsequent Train Facilities) of the CFAA, and, in each case, any additional information available to the Company as may be reasonably requested by the P1 Intercreditor Agent in connection therewith;</w:t>
      </w:r>
    </w:p>
    <w:p>
      <w:pPr>
        <w:spacing w:after="0" w:line="165" w:lineRule="exact"/>
        <w:rPr>
          <w:rFonts w:ascii="Times New Roman" w:cs="Times New Roman" w:eastAsia="Times New Roman" w:hAnsi="Times New Roman"/>
          <w:sz w:val="20"/>
          <w:szCs w:val="20"/>
          <w:color w:val="auto"/>
        </w:rPr>
      </w:pPr>
    </w:p>
    <w:p>
      <w:pPr>
        <w:ind w:left="2560" w:hanging="639"/>
        <w:spacing w:after="0" w:line="283" w:lineRule="auto"/>
        <w:tabs>
          <w:tab w:leader="none" w:pos="2407"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proposed appointment, removal or change in the identity of the Facility Independent Engineer pursuant to the CFAA;</w:t>
      </w:r>
    </w:p>
    <w:p>
      <w:pPr>
        <w:spacing w:after="0" w:line="132" w:lineRule="exact"/>
        <w:rPr>
          <w:rFonts w:ascii="Times New Roman" w:cs="Times New Roman" w:eastAsia="Times New Roman" w:hAnsi="Times New Roman"/>
          <w:sz w:val="20"/>
          <w:szCs w:val="20"/>
          <w:color w:val="auto"/>
        </w:rPr>
      </w:pPr>
    </w:p>
    <w:p>
      <w:pPr>
        <w:ind w:left="2360" w:hanging="439"/>
        <w:spacing w:after="0"/>
        <w:tabs>
          <w:tab w:leader="none" w:pos="2360"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dispute between the Company and the Pledgor and the relevant tax authorities;</w:t>
      </w:r>
    </w:p>
    <w:p>
      <w:pPr>
        <w:spacing w:after="0" w:line="202" w:lineRule="exact"/>
        <w:rPr>
          <w:rFonts w:ascii="Times New Roman" w:cs="Times New Roman" w:eastAsia="Times New Roman" w:hAnsi="Times New Roman"/>
          <w:sz w:val="20"/>
          <w:szCs w:val="20"/>
          <w:color w:val="auto"/>
        </w:rPr>
      </w:pPr>
    </w:p>
    <w:p>
      <w:pPr>
        <w:ind w:left="2560" w:hanging="639"/>
        <w:spacing w:after="0" w:line="268" w:lineRule="auto"/>
        <w:tabs>
          <w:tab w:leader="none" w:pos="2441"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litigation, arbitration, administrative proceeding, investigation, claim or proceeding and any material developments with respect thereto, in each case, relating to the Project (i) in which the amount involved is in excess of $150,000,000 or (ii) that could reasonably be expected to have a Material Adverse Effect;</w:t>
      </w:r>
    </w:p>
    <w:p>
      <w:pPr>
        <w:spacing w:after="0" w:line="147" w:lineRule="exact"/>
        <w:rPr>
          <w:rFonts w:ascii="Times New Roman" w:cs="Times New Roman" w:eastAsia="Times New Roman" w:hAnsi="Times New Roman"/>
          <w:sz w:val="20"/>
          <w:szCs w:val="20"/>
          <w:color w:val="auto"/>
        </w:rPr>
      </w:pPr>
    </w:p>
    <w:p>
      <w:pPr>
        <w:ind w:left="2400" w:hanging="479"/>
        <w:spacing w:after="0"/>
        <w:tabs>
          <w:tab w:leader="none" w:pos="2400"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of commercial exports of LNG from the Rio Grande Facility;</w:t>
      </w:r>
    </w:p>
    <w:p>
      <w:pPr>
        <w:spacing w:after="0" w:line="202" w:lineRule="exact"/>
        <w:rPr>
          <w:rFonts w:ascii="Times New Roman" w:cs="Times New Roman" w:eastAsia="Times New Roman" w:hAnsi="Times New Roman"/>
          <w:sz w:val="20"/>
          <w:szCs w:val="20"/>
          <w:color w:val="auto"/>
        </w:rPr>
      </w:pPr>
    </w:p>
    <w:p>
      <w:pPr>
        <w:ind w:left="2560" w:hanging="639"/>
        <w:spacing w:after="0" w:line="283" w:lineRule="auto"/>
        <w:tabs>
          <w:tab w:leader="none" w:pos="2423"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ERISA Event that could reasonably be expected to result in material liability to any Loan Party under ERISA or under the Code with respect to any Plan or Multiemployer Plan; and</w:t>
      </w:r>
    </w:p>
    <w:p>
      <w:pPr>
        <w:spacing w:after="0" w:line="132" w:lineRule="exact"/>
        <w:rPr>
          <w:rFonts w:ascii="Times New Roman" w:cs="Times New Roman" w:eastAsia="Times New Roman" w:hAnsi="Times New Roman"/>
          <w:sz w:val="20"/>
          <w:szCs w:val="20"/>
          <w:color w:val="auto"/>
        </w:rPr>
      </w:pPr>
    </w:p>
    <w:p>
      <w:pPr>
        <w:ind w:left="2560" w:hanging="639"/>
        <w:spacing w:after="0" w:line="258" w:lineRule="auto"/>
        <w:tabs>
          <w:tab w:leader="none" w:pos="2335"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any similar notices to those set forth in this Section 4.3(k)(i) or in Section 6.2 (Notice of CTA Default, CTA Event of Default, and Other Events) of the Common Terms Agreement given in connection with additional Working Capital Debt, Replacement Debt or Supplemental Debt, including any notices of any default or event of default under any other Senior Secured Debt Instrument.</w:t>
      </w:r>
    </w:p>
    <w:p>
      <w:pPr>
        <w:spacing w:after="0" w:line="158" w:lineRule="exact"/>
        <w:rPr>
          <w:rFonts w:ascii="Times New Roman" w:cs="Times New Roman" w:eastAsia="Times New Roman" w:hAnsi="Times New Roman"/>
          <w:sz w:val="20"/>
          <w:szCs w:val="20"/>
          <w:color w:val="auto"/>
        </w:rPr>
      </w:pPr>
    </w:p>
    <w:p>
      <w:pPr>
        <w:ind w:left="1920" w:hanging="636"/>
        <w:spacing w:after="0" w:line="253" w:lineRule="auto"/>
        <w:tabs>
          <w:tab w:leader="none" w:pos="1769" w:val="left"/>
        </w:tabs>
        <w:numPr>
          <w:ilvl w:val="0"/>
          <w:numId w:val="4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delivery to any Material Project Party pursuant to a Material Project Document, deliver to the Trustee copies of all material written notices or other material documents delivered to such Material Project Party by the Company (other than routine written notices or other documents delivered in the ordinary course of the administration of such agreements), including each of the notices set forth on Exhibit I (</w:t>
      </w:r>
      <w:r>
        <w:rPr>
          <w:rFonts w:ascii="Times New Roman" w:cs="Times New Roman" w:eastAsia="Times New Roman" w:hAnsi="Times New Roman"/>
          <w:sz w:val="20"/>
          <w:szCs w:val="20"/>
          <w:i w:val="1"/>
          <w:iCs w:val="1"/>
          <w:color w:val="auto"/>
        </w:rPr>
        <w:t>Rio Grande Facility Notices</w:t>
      </w:r>
      <w:r>
        <w:rPr>
          <w:rFonts w:ascii="Times New Roman" w:cs="Times New Roman" w:eastAsia="Times New Roman" w:hAnsi="Times New Roman"/>
          <w:sz w:val="20"/>
          <w:szCs w:val="20"/>
          <w:color w:val="auto"/>
        </w:rPr>
        <w:t>) to the CFAA;</w:t>
      </w:r>
    </w:p>
    <w:p>
      <w:pPr>
        <w:spacing w:after="0" w:line="178" w:lineRule="exact"/>
        <w:rPr>
          <w:rFonts w:ascii="Times New Roman" w:cs="Times New Roman" w:eastAsia="Times New Roman" w:hAnsi="Times New Roman"/>
          <w:sz w:val="20"/>
          <w:szCs w:val="20"/>
          <w:color w:val="auto"/>
        </w:rPr>
      </w:pPr>
    </w:p>
    <w:p>
      <w:pPr>
        <w:ind w:left="1920" w:hanging="636"/>
        <w:spacing w:after="0" w:line="253" w:lineRule="auto"/>
        <w:tabs>
          <w:tab w:leader="none" w:pos="1814" w:val="left"/>
        </w:tabs>
        <w:numPr>
          <w:ilvl w:val="0"/>
          <w:numId w:val="4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upon such documents becoming available (and, in the case of the documents described in </w:t>
      </w:r>
      <w:r>
        <w:rPr>
          <w:rFonts w:ascii="Times New Roman" w:cs="Times New Roman" w:eastAsia="Times New Roman" w:hAnsi="Times New Roman"/>
          <w:sz w:val="20"/>
          <w:szCs w:val="20"/>
          <w:u w:val="single" w:color="auto"/>
          <w:color w:val="auto"/>
        </w:rPr>
        <w:t>clauses (iv)</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below, no later than two Business Days following receipt thereof), deliver to the Trustee copies of all material written notices or other material documents received by the Company pursuant to any Material Project Document, other than routine written notices or other documents delivered in the ordinary course of administration of such agreements, but in any event including any notice or other document relating to (i) a failure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97" w:name="page398"/>
    <w:bookmarkEnd w:id="397"/>
    <w:p>
      <w:pPr>
        <w:ind w:left="1920"/>
        <w:spacing w:after="0"/>
        <w:rPr>
          <w:sz w:val="20"/>
          <w:szCs w:val="20"/>
          <w:color w:val="auto"/>
        </w:rPr>
      </w:pPr>
      <w:r>
        <w:rPr>
          <w:rFonts w:ascii="Times New Roman" w:cs="Times New Roman" w:eastAsia="Times New Roman" w:hAnsi="Times New Roman"/>
          <w:sz w:val="20"/>
          <w:szCs w:val="20"/>
          <w:color w:val="auto"/>
        </w:rPr>
        <w:t>Company to perform any of its material covenants or obligations under such Material Project Document;</w:t>
      </w:r>
    </w:p>
    <w:p>
      <w:pPr>
        <w:spacing w:after="0" w:line="28" w:lineRule="exact"/>
        <w:rPr>
          <w:sz w:val="20"/>
          <w:szCs w:val="20"/>
          <w:color w:val="auto"/>
        </w:rPr>
      </w:pPr>
    </w:p>
    <w:p>
      <w:pPr>
        <w:ind w:left="2240" w:hanging="319"/>
        <w:spacing w:after="0"/>
        <w:tabs>
          <w:tab w:leader="none" w:pos="2240" w:val="left"/>
        </w:tabs>
        <w:numPr>
          <w:ilvl w:val="1"/>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a Material Project Document; (iii) a force majeure event under a Material Project Document;</w:t>
      </w:r>
    </w:p>
    <w:p>
      <w:pPr>
        <w:spacing w:after="0" w:line="6" w:lineRule="exact"/>
        <w:rPr>
          <w:rFonts w:ascii="Times New Roman" w:cs="Times New Roman" w:eastAsia="Times New Roman" w:hAnsi="Times New Roman"/>
          <w:sz w:val="20"/>
          <w:szCs w:val="20"/>
          <w:color w:val="auto"/>
        </w:rPr>
      </w:pPr>
    </w:p>
    <w:p>
      <w:pPr>
        <w:jc w:val="both"/>
        <w:ind w:left="1920" w:firstLine="1"/>
        <w:spacing w:after="0" w:line="248" w:lineRule="auto"/>
        <w:tabs>
          <w:tab w:leader="none" w:pos="2292" w:val="left"/>
        </w:tabs>
        <w:numPr>
          <w:ilvl w:val="1"/>
          <w:numId w:val="4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any STF Development Plan (as defined in the Definitions Agreement) received, and, upon finalization, finalized, pursuant to Section 14.2 (</w:t>
      </w:r>
      <w:r>
        <w:rPr>
          <w:rFonts w:ascii="Times New Roman" w:cs="Times New Roman" w:eastAsia="Times New Roman" w:hAnsi="Times New Roman"/>
          <w:sz w:val="20"/>
          <w:szCs w:val="20"/>
          <w:i w:val="1"/>
          <w:iCs w:val="1"/>
          <w:color w:val="auto"/>
        </w:rPr>
        <w:t>Subsequent Train Facilities</w:t>
      </w:r>
      <w:r>
        <w:rPr>
          <w:rFonts w:ascii="Times New Roman" w:cs="Times New Roman" w:eastAsia="Times New Roman" w:hAnsi="Times New Roman"/>
          <w:sz w:val="20"/>
          <w:szCs w:val="20"/>
          <w:color w:val="auto"/>
        </w:rPr>
        <w:t>) of the CFAA (including any Facility Independent Engineer certificate relating thereto) and any additional information or notice of disagreement received or modification proposed pursuant to Section 14.2.5 (</w:t>
      </w:r>
      <w:r>
        <w:rPr>
          <w:rFonts w:ascii="Times New Roman" w:cs="Times New Roman" w:eastAsia="Times New Roman" w:hAnsi="Times New Roman"/>
          <w:sz w:val="20"/>
          <w:szCs w:val="20"/>
          <w:i w:val="1"/>
          <w:iCs w:val="1"/>
          <w:color w:val="auto"/>
        </w:rPr>
        <w:t>Subsequent Train Facilities</w:t>
      </w:r>
      <w:r>
        <w:rPr>
          <w:rFonts w:ascii="Times New Roman" w:cs="Times New Roman" w:eastAsia="Times New Roman" w:hAnsi="Times New Roman"/>
          <w:sz w:val="20"/>
          <w:szCs w:val="20"/>
          <w:color w:val="auto"/>
        </w:rPr>
        <w:t>) of the CFAA (together with any information and documents received in support thereof) and (y) any notice received pursuant to Section 14.2.11 (</w:t>
      </w:r>
      <w:r>
        <w:rPr>
          <w:rFonts w:ascii="Times New Roman" w:cs="Times New Roman" w:eastAsia="Times New Roman" w:hAnsi="Times New Roman"/>
          <w:sz w:val="20"/>
          <w:szCs w:val="20"/>
          <w:i w:val="1"/>
          <w:iCs w:val="1"/>
          <w:color w:val="auto"/>
        </w:rPr>
        <w:t>Subsequent Train Facilities</w:t>
      </w:r>
      <w:r>
        <w:rPr>
          <w:rFonts w:ascii="Times New Roman" w:cs="Times New Roman" w:eastAsia="Times New Roman" w:hAnsi="Times New Roman"/>
          <w:sz w:val="20"/>
          <w:szCs w:val="20"/>
          <w:color w:val="auto"/>
        </w:rPr>
        <w:t>) of the CFAA; (v) (x) any Capital Improvement Plan received, and, upon finalization, finalized, pursuant to Section 14.3 (</w:t>
      </w:r>
      <w:r>
        <w:rPr>
          <w:rFonts w:ascii="Times New Roman" w:cs="Times New Roman" w:eastAsia="Times New Roman" w:hAnsi="Times New Roman"/>
          <w:sz w:val="20"/>
          <w:szCs w:val="20"/>
          <w:i w:val="1"/>
          <w:iCs w:val="1"/>
          <w:color w:val="auto"/>
        </w:rPr>
        <w:t>Capital Improvements Generally</w:t>
      </w:r>
      <w:r>
        <w:rPr>
          <w:rFonts w:ascii="Times New Roman" w:cs="Times New Roman" w:eastAsia="Times New Roman" w:hAnsi="Times New Roman"/>
          <w:sz w:val="20"/>
          <w:szCs w:val="20"/>
          <w:color w:val="auto"/>
        </w:rPr>
        <w:t>) of the CFAA (including any Facility Independent Engineer certificate relating thereto) and (y) any Facility Independent Engineer confirmation received pursuant to Section 14.3.6 (</w:t>
      </w:r>
      <w:r>
        <w:rPr>
          <w:rFonts w:ascii="Times New Roman" w:cs="Times New Roman" w:eastAsia="Times New Roman" w:hAnsi="Times New Roman"/>
          <w:sz w:val="20"/>
          <w:szCs w:val="20"/>
          <w:i w:val="1"/>
          <w:iCs w:val="1"/>
          <w:color w:val="auto"/>
        </w:rPr>
        <w:t>Capital Improvements Generally</w:t>
      </w:r>
      <w:r>
        <w:rPr>
          <w:rFonts w:ascii="Times New Roman" w:cs="Times New Roman" w:eastAsia="Times New Roman" w:hAnsi="Times New Roman"/>
          <w:sz w:val="20"/>
          <w:szCs w:val="20"/>
          <w:color w:val="auto"/>
        </w:rPr>
        <w:t>) of the CFAA; (vi) (x) any Restoration Plan received, and, upon finalization, finalized, pursuant to Section 22.1 (</w:t>
      </w:r>
      <w:r>
        <w:rPr>
          <w:rFonts w:ascii="Times New Roman" w:cs="Times New Roman" w:eastAsia="Times New Roman" w:hAnsi="Times New Roman"/>
          <w:sz w:val="20"/>
          <w:szCs w:val="20"/>
          <w:i w:val="1"/>
          <w:iCs w:val="1"/>
          <w:color w:val="auto"/>
        </w:rPr>
        <w:t>Notice; Restoration Plan</w:t>
      </w:r>
      <w:r>
        <w:rPr>
          <w:rFonts w:ascii="Times New Roman" w:cs="Times New Roman" w:eastAsia="Times New Roman" w:hAnsi="Times New Roman"/>
          <w:sz w:val="20"/>
          <w:szCs w:val="20"/>
          <w:color w:val="auto"/>
        </w:rPr>
        <w:t>) of the CFAA (including any Facility Independent Engineer certificate relating thereto) and (y) any Facility Independent Engineer confirmation received pursuant to Section 22.2.3 (</w:t>
      </w:r>
      <w:r>
        <w:rPr>
          <w:rFonts w:ascii="Times New Roman" w:cs="Times New Roman" w:eastAsia="Times New Roman" w:hAnsi="Times New Roman"/>
          <w:sz w:val="20"/>
          <w:szCs w:val="20"/>
          <w:i w:val="1"/>
          <w:iCs w:val="1"/>
          <w:color w:val="auto"/>
        </w:rPr>
        <w:t>Events of Loss Affecting Common Facilities</w:t>
      </w:r>
      <w:r>
        <w:rPr>
          <w:rFonts w:ascii="Times New Roman" w:cs="Times New Roman" w:eastAsia="Times New Roman" w:hAnsi="Times New Roman"/>
          <w:sz w:val="20"/>
          <w:szCs w:val="20"/>
          <w:color w:val="auto"/>
        </w:rPr>
        <w:t>) of the CFAA; (vii) each of the notices set forth on Exhibit I (</w:t>
      </w:r>
      <w:r>
        <w:rPr>
          <w:rFonts w:ascii="Times New Roman" w:cs="Times New Roman" w:eastAsia="Times New Roman" w:hAnsi="Times New Roman"/>
          <w:sz w:val="20"/>
          <w:szCs w:val="20"/>
          <w:i w:val="1"/>
          <w:iCs w:val="1"/>
          <w:color w:val="auto"/>
        </w:rPr>
        <w:t>Rio Grande Facility Notices</w:t>
      </w:r>
      <w:r>
        <w:rPr>
          <w:rFonts w:ascii="Times New Roman" w:cs="Times New Roman" w:eastAsia="Times New Roman" w:hAnsi="Times New Roman"/>
          <w:sz w:val="20"/>
          <w:szCs w:val="20"/>
          <w:color w:val="auto"/>
        </w:rPr>
        <w:t>) to the CFAA; and (viii) each of the notices set forth in Section 2.2.3 (</w:t>
      </w:r>
      <w:r>
        <w:rPr>
          <w:rFonts w:ascii="Times New Roman" w:cs="Times New Roman" w:eastAsia="Times New Roman" w:hAnsi="Times New Roman"/>
          <w:sz w:val="20"/>
          <w:szCs w:val="20"/>
          <w:i w:val="1"/>
          <w:iCs w:val="1"/>
          <w:color w:val="auto"/>
        </w:rPr>
        <w:t>Delivery of Notices</w:t>
      </w:r>
      <w:r>
        <w:rPr>
          <w:rFonts w:ascii="Times New Roman" w:cs="Times New Roman" w:eastAsia="Times New Roman" w:hAnsi="Times New Roman"/>
          <w:sz w:val="20"/>
          <w:szCs w:val="20"/>
          <w:color w:val="auto"/>
        </w:rPr>
        <w:t>) to the PAAA;</w:t>
      </w:r>
    </w:p>
    <w:p>
      <w:pPr>
        <w:spacing w:after="0" w:line="174" w:lineRule="exact"/>
        <w:rPr>
          <w:rFonts w:ascii="Times New Roman" w:cs="Times New Roman" w:eastAsia="Times New Roman" w:hAnsi="Times New Roman"/>
          <w:sz w:val="20"/>
          <w:szCs w:val="20"/>
          <w:color w:val="auto"/>
        </w:rPr>
      </w:pPr>
    </w:p>
    <w:p>
      <w:pPr>
        <w:ind w:left="1920" w:hanging="636"/>
        <w:spacing w:after="0" w:line="258" w:lineRule="auto"/>
        <w:tabs>
          <w:tab w:leader="none" w:pos="1792" w:val="left"/>
        </w:tabs>
        <w:numPr>
          <w:ilvl w:val="0"/>
          <w:numId w:val="4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receipt from the P1 CASA Advisor, deliver to the Trustee and the Independent Engineer a copy of any material written statement, budget, plan or reports delivered to the Company under the P1 CASA (including any such statements, budget, plan or report with respect to the Rio Grande Facility);</w:t>
      </w:r>
    </w:p>
    <w:p>
      <w:pPr>
        <w:spacing w:after="0" w:line="158" w:lineRule="exact"/>
        <w:rPr>
          <w:rFonts w:ascii="Times New Roman" w:cs="Times New Roman" w:eastAsia="Times New Roman" w:hAnsi="Times New Roman"/>
          <w:sz w:val="20"/>
          <w:szCs w:val="20"/>
          <w:color w:val="auto"/>
        </w:rPr>
      </w:pPr>
    </w:p>
    <w:p>
      <w:pPr>
        <w:ind w:left="1920" w:hanging="636"/>
        <w:spacing w:after="0" w:line="253" w:lineRule="auto"/>
        <w:tabs>
          <w:tab w:leader="none" w:pos="1737" w:val="left"/>
        </w:tabs>
        <w:numPr>
          <w:ilvl w:val="0"/>
          <w:numId w:val="4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thirty days after the end of each month following the month during which the Closing Date occurs up to and including the month during which the Project Completion Date occurs, deliver to the Trustee a monthly construction report from the Independent Engineer regarding the construction activities in relation to the Project carried out during such month based on the report delivered by the P1 CASA Advisor under Section 3.3(j) (</w:t>
      </w:r>
      <w:r>
        <w:rPr>
          <w:rFonts w:ascii="Times New Roman" w:cs="Times New Roman" w:eastAsia="Times New Roman" w:hAnsi="Times New Roman"/>
          <w:sz w:val="20"/>
          <w:szCs w:val="20"/>
          <w:i w:val="1"/>
          <w:iCs w:val="1"/>
          <w:color w:val="auto"/>
        </w:rPr>
        <w:t>Requirements of Independent Engineers</w:t>
      </w:r>
      <w:r>
        <w:rPr>
          <w:rFonts w:ascii="Times New Roman" w:cs="Times New Roman" w:eastAsia="Times New Roman" w:hAnsi="Times New Roman"/>
          <w:sz w:val="20"/>
          <w:szCs w:val="20"/>
          <w:color w:val="auto"/>
        </w:rPr>
        <w:t>) of the P1 CASA and such other information reasonably requested by the Independent Engineer;</w:t>
      </w:r>
    </w:p>
    <w:p>
      <w:pPr>
        <w:spacing w:after="0" w:line="165" w:lineRule="exact"/>
        <w:rPr>
          <w:rFonts w:ascii="Times New Roman" w:cs="Times New Roman" w:eastAsia="Times New Roman" w:hAnsi="Times New Roman"/>
          <w:sz w:val="20"/>
          <w:szCs w:val="20"/>
          <w:color w:val="auto"/>
        </w:rPr>
      </w:pPr>
    </w:p>
    <w:p>
      <w:pPr>
        <w:ind w:left="1920" w:hanging="636"/>
        <w:spacing w:after="0" w:line="258" w:lineRule="auto"/>
        <w:tabs>
          <w:tab w:leader="none" w:pos="1785" w:val="left"/>
        </w:tabs>
        <w:numPr>
          <w:ilvl w:val="0"/>
          <w:numId w:val="4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receipt from the P1 EPC Contractor, deliver to the Trustee and the Independent Engineer a copy of the Substantial Completion Certificate (as defined in each of the P1 EPC Contracts) with respect to each of “Train 1”, as defined in the T1/T2 EPC Contract , “Train 2”, as defined in the T1/T2 EPC Contract, and “Train 3”, as defined in the T3 EPC Contract;</w:t>
      </w:r>
    </w:p>
    <w:p>
      <w:pPr>
        <w:spacing w:after="0" w:line="158" w:lineRule="exact"/>
        <w:rPr>
          <w:rFonts w:ascii="Times New Roman" w:cs="Times New Roman" w:eastAsia="Times New Roman" w:hAnsi="Times New Roman"/>
          <w:sz w:val="20"/>
          <w:szCs w:val="20"/>
          <w:color w:val="auto"/>
        </w:rPr>
      </w:pPr>
    </w:p>
    <w:p>
      <w:pPr>
        <w:jc w:val="both"/>
        <w:ind w:left="1920" w:hanging="636"/>
        <w:spacing w:after="0" w:line="268" w:lineRule="auto"/>
        <w:tabs>
          <w:tab w:leader="none" w:pos="1864" w:val="left"/>
        </w:tabs>
        <w:numPr>
          <w:ilvl w:val="0"/>
          <w:numId w:val="4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receipt from the Operator, deliver to the Trustee and the Independent Engineer a copy of any operating and other reports (including production and maintenance forecasts, quarterly operating statements and monthly, semi-annual and annual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398" w:name="page399"/>
    <w:bookmarkEnd w:id="398"/>
    <w:p>
      <w:pPr>
        <w:ind w:left="1920"/>
        <w:spacing w:after="0" w:line="287" w:lineRule="auto"/>
        <w:rPr>
          <w:sz w:val="20"/>
          <w:szCs w:val="20"/>
          <w:color w:val="auto"/>
        </w:rPr>
      </w:pPr>
      <w:r>
        <w:rPr>
          <w:rFonts w:ascii="Times New Roman" w:cs="Times New Roman" w:eastAsia="Times New Roman" w:hAnsi="Times New Roman"/>
          <w:sz w:val="20"/>
          <w:szCs w:val="20"/>
          <w:color w:val="auto"/>
        </w:rPr>
        <w:t>reports and any other reports delivered pursuant to Section 3.7 (</w:t>
      </w:r>
      <w:r>
        <w:rPr>
          <w:rFonts w:ascii="Times New Roman" w:cs="Times New Roman" w:eastAsia="Times New Roman" w:hAnsi="Times New Roman"/>
          <w:sz w:val="20"/>
          <w:szCs w:val="20"/>
          <w:i w:val="1"/>
          <w:iCs w:val="1"/>
          <w:color w:val="auto"/>
        </w:rPr>
        <w:t>Reports</w:t>
      </w:r>
      <w:r>
        <w:rPr>
          <w:rFonts w:ascii="Times New Roman" w:cs="Times New Roman" w:eastAsia="Times New Roman" w:hAnsi="Times New Roman"/>
          <w:sz w:val="20"/>
          <w:szCs w:val="20"/>
          <w:color w:val="auto"/>
        </w:rPr>
        <w:t>) of the O&amp;M Agreement) delivered to the Company under the O&amp;M Agreement;</w:t>
      </w:r>
    </w:p>
    <w:p>
      <w:pPr>
        <w:spacing w:after="0" w:line="129" w:lineRule="exact"/>
        <w:rPr>
          <w:sz w:val="20"/>
          <w:szCs w:val="20"/>
          <w:color w:val="auto"/>
        </w:rPr>
      </w:pPr>
    </w:p>
    <w:p>
      <w:pPr>
        <w:ind w:left="1880" w:hanging="596"/>
        <w:spacing w:after="0"/>
        <w:tabs>
          <w:tab w:leader="none" w:pos="1880" w:val="left"/>
        </w:tabs>
        <w:numPr>
          <w:ilvl w:val="0"/>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the Trustee:</w:t>
      </w:r>
    </w:p>
    <w:p>
      <w:pPr>
        <w:spacing w:after="0" w:line="202" w:lineRule="exact"/>
        <w:rPr>
          <w:rFonts w:ascii="Times New Roman" w:cs="Times New Roman" w:eastAsia="Times New Roman" w:hAnsi="Times New Roman"/>
          <w:sz w:val="20"/>
          <w:szCs w:val="20"/>
          <w:color w:val="auto"/>
        </w:rPr>
      </w:pPr>
    </w:p>
    <w:p>
      <w:pPr>
        <w:ind w:left="2560" w:hanging="639"/>
        <w:spacing w:after="0" w:line="261" w:lineRule="auto"/>
        <w:tabs>
          <w:tab w:leader="none" w:pos="2408" w:val="left"/>
        </w:tabs>
        <w:numPr>
          <w:ilvl w:val="1"/>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filing thereof, a copy of each filing made by (i) the Company with FERC with respect to the Project and (ii) with DOE/FE with respect to the export of LNG from, or the import of LNG to, the Project, except in the case of clauses (i) or (ii) such as are routine or ministerial in nature;</w:t>
      </w:r>
    </w:p>
    <w:p>
      <w:pPr>
        <w:spacing w:after="0" w:line="167" w:lineRule="exact"/>
        <w:rPr>
          <w:rFonts w:ascii="Times New Roman" w:cs="Times New Roman" w:eastAsia="Times New Roman" w:hAnsi="Times New Roman"/>
          <w:sz w:val="20"/>
          <w:szCs w:val="20"/>
          <w:color w:val="auto"/>
        </w:rPr>
      </w:pPr>
    </w:p>
    <w:p>
      <w:pPr>
        <w:ind w:left="2560" w:hanging="639"/>
        <w:spacing w:after="0" w:line="253" w:lineRule="auto"/>
        <w:tabs>
          <w:tab w:leader="none" w:pos="2458" w:val="left"/>
        </w:tabs>
        <w:numPr>
          <w:ilvl w:val="1"/>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obtaining Knowledge thereof, a copy of each filing with respect to (i) the Project made with FERC by any Person other than the Company in any proceeding before FERC in which the Company is the captioned party or respondent, except for such filings as are routine or ministerial in nature, or (ii) the import of LNG to, or the export of LNG from, the Project made with DOE/FE by any Person other than the Company in any proceeding before DOE/FE in which the Company is the captioned party or respondent, except for such filings as are routine or ministerial in nature;</w:t>
      </w:r>
    </w:p>
    <w:p>
      <w:pPr>
        <w:spacing w:after="0" w:line="165" w:lineRule="exact"/>
        <w:rPr>
          <w:rFonts w:ascii="Times New Roman" w:cs="Times New Roman" w:eastAsia="Times New Roman" w:hAnsi="Times New Roman"/>
          <w:sz w:val="20"/>
          <w:szCs w:val="20"/>
          <w:color w:val="auto"/>
        </w:rPr>
      </w:pPr>
    </w:p>
    <w:p>
      <w:pPr>
        <w:ind w:left="2380" w:hanging="459"/>
        <w:spacing w:after="0"/>
        <w:tabs>
          <w:tab w:leader="none" w:pos="2380" w:val="left"/>
        </w:tabs>
        <w:numPr>
          <w:ilvl w:val="1"/>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amendment to any Material Government Approval, together with a copy of such amendment;</w:t>
      </w:r>
    </w:p>
    <w:p>
      <w:pPr>
        <w:spacing w:after="0" w:line="202" w:lineRule="exact"/>
        <w:rPr>
          <w:rFonts w:ascii="Times New Roman" w:cs="Times New Roman" w:eastAsia="Times New Roman" w:hAnsi="Times New Roman"/>
          <w:sz w:val="20"/>
          <w:szCs w:val="20"/>
          <w:color w:val="auto"/>
        </w:rPr>
      </w:pPr>
    </w:p>
    <w:p>
      <w:pPr>
        <w:ind w:left="2560" w:hanging="639"/>
        <w:spacing w:after="0" w:line="253" w:lineRule="auto"/>
        <w:tabs>
          <w:tab w:leader="none" w:pos="2437" w:val="left"/>
        </w:tabs>
        <w:numPr>
          <w:ilvl w:val="1"/>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filing thereof, a copy of each filing, certification, waiver, exemption, claim, declaration, or registration made with respect to Material Government Approvals or DOE Export Authorizations to be obtained or filed by the Company with any Government Authority, except such filings, certifications, waivers, exemptions, claims, declarations, or registrations that are routine or ministerial in nature and in respect of which a failure to file could not reasonably be expected to have a Material Adverse Effect or to materially Impair any DOE Export Authorization;</w:t>
      </w:r>
    </w:p>
    <w:p>
      <w:pPr>
        <w:spacing w:after="0" w:line="165" w:lineRule="exact"/>
        <w:rPr>
          <w:rFonts w:ascii="Times New Roman" w:cs="Times New Roman" w:eastAsia="Times New Roman" w:hAnsi="Times New Roman"/>
          <w:sz w:val="20"/>
          <w:szCs w:val="20"/>
          <w:color w:val="auto"/>
        </w:rPr>
      </w:pPr>
    </w:p>
    <w:p>
      <w:pPr>
        <w:ind w:left="2560" w:hanging="639"/>
        <w:spacing w:after="0" w:line="283" w:lineRule="auto"/>
        <w:tabs>
          <w:tab w:leader="none" w:pos="2398" w:val="left"/>
        </w:tabs>
        <w:numPr>
          <w:ilvl w:val="1"/>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occurrence thereof, notice of the occurrence of each Substantial Completion Date under the T1/T2 EPC Contract;</w:t>
      </w:r>
    </w:p>
    <w:p>
      <w:pPr>
        <w:spacing w:after="0" w:line="132" w:lineRule="exact"/>
        <w:rPr>
          <w:rFonts w:ascii="Times New Roman" w:cs="Times New Roman" w:eastAsia="Times New Roman" w:hAnsi="Times New Roman"/>
          <w:sz w:val="20"/>
          <w:szCs w:val="20"/>
          <w:color w:val="auto"/>
        </w:rPr>
      </w:pPr>
    </w:p>
    <w:p>
      <w:pPr>
        <w:ind w:left="2560" w:hanging="639"/>
        <w:spacing w:after="0" w:line="283" w:lineRule="auto"/>
        <w:tabs>
          <w:tab w:leader="none" w:pos="2394" w:val="left"/>
        </w:tabs>
        <w:numPr>
          <w:ilvl w:val="1"/>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material order issued by FERC or DOE/FE relating to the Project (including any Capital Improvement) or any Material Project </w:t>
      </w:r>
      <w:r>
        <w:rPr>
          <w:rFonts w:ascii="Times New Roman" w:cs="Times New Roman" w:eastAsia="Times New Roman" w:hAnsi="Times New Roman"/>
          <w:sz w:val="20"/>
          <w:szCs w:val="20"/>
          <w:color w:val="auto"/>
          <w:strike w:val="1"/>
        </w:rPr>
        <w:t>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Document</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ind w:left="2560" w:hanging="639"/>
        <w:spacing w:after="0" w:line="261" w:lineRule="auto"/>
        <w:tabs>
          <w:tab w:leader="none" w:pos="2416" w:val="left"/>
        </w:tabs>
        <w:numPr>
          <w:ilvl w:val="1"/>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Replacement Debt, Supplemental Debt, or Working Capital Debt is incurred by the Company, a copy of any report from the Independent Engineer and any other consultant that the Holders of such Senior Secured Debt are entitled to receive;</w:t>
      </w:r>
    </w:p>
    <w:p>
      <w:pPr>
        <w:spacing w:after="0" w:line="154" w:lineRule="exact"/>
        <w:rPr>
          <w:rFonts w:ascii="Times New Roman" w:cs="Times New Roman" w:eastAsia="Times New Roman" w:hAnsi="Times New Roman"/>
          <w:sz w:val="20"/>
          <w:szCs w:val="20"/>
          <w:color w:val="auto"/>
        </w:rPr>
      </w:pPr>
    </w:p>
    <w:p>
      <w:pPr>
        <w:ind w:left="1920" w:right="20" w:hanging="636"/>
        <w:spacing w:after="0" w:line="283" w:lineRule="auto"/>
        <w:tabs>
          <w:tab w:leader="none" w:pos="1792" w:val="left"/>
        </w:tabs>
        <w:numPr>
          <w:ilvl w:val="0"/>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no event later than five Business Days, after each such document is approved in accordance with the terms of the CFAA, furnish the Trustee, a copy of the Annual Facility Budget and Annual Facility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399" w:name="page400"/>
    <w:bookmarkEnd w:id="399"/>
    <w:p>
      <w:pPr>
        <w:ind w:left="1920"/>
        <w:spacing w:after="0" w:line="283" w:lineRule="auto"/>
        <w:rPr>
          <w:sz w:val="20"/>
          <w:szCs w:val="20"/>
          <w:color w:val="auto"/>
        </w:rPr>
      </w:pPr>
      <w:r>
        <w:rPr>
          <w:rFonts w:ascii="Times New Roman" w:cs="Times New Roman" w:eastAsia="Times New Roman" w:hAnsi="Times New Roman"/>
          <w:sz w:val="20"/>
          <w:szCs w:val="20"/>
          <w:color w:val="auto"/>
        </w:rPr>
        <w:t>Annual Operating Budget, Annual Capital Budget, Annual Operating Plan or Annual Capital Plan that are components thereof;</w:t>
      </w:r>
    </w:p>
    <w:p>
      <w:pPr>
        <w:spacing w:after="0" w:line="133" w:lineRule="exact"/>
        <w:rPr>
          <w:sz w:val="20"/>
          <w:szCs w:val="20"/>
          <w:color w:val="auto"/>
        </w:rPr>
      </w:pPr>
    </w:p>
    <w:p>
      <w:pPr>
        <w:ind w:left="1920" w:hanging="636"/>
        <w:spacing w:after="0" w:line="269" w:lineRule="auto"/>
        <w:tabs>
          <w:tab w:leader="none" w:pos="1749" w:val="left"/>
        </w:tabs>
        <w:numPr>
          <w:ilvl w:val="0"/>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no event later than five Business Days, after each such document is approved in accordance with the terms of the O&amp;M Agreement, furnish the Trustee a copy of the Annual O&amp;M Budget and Annual O&amp;M Plan;</w:t>
      </w:r>
    </w:p>
    <w:p>
      <w:pPr>
        <w:spacing w:after="0" w:line="159" w:lineRule="exact"/>
        <w:rPr>
          <w:rFonts w:ascii="Times New Roman" w:cs="Times New Roman" w:eastAsia="Times New Roman" w:hAnsi="Times New Roman"/>
          <w:sz w:val="20"/>
          <w:szCs w:val="20"/>
          <w:color w:val="auto"/>
        </w:rPr>
      </w:pPr>
    </w:p>
    <w:p>
      <w:pPr>
        <w:jc w:val="both"/>
        <w:ind w:left="1920" w:hanging="636"/>
        <w:spacing w:after="0" w:line="253" w:lineRule="auto"/>
        <w:tabs>
          <w:tab w:leader="none" w:pos="1890" w:val="left"/>
        </w:tabs>
        <w:numPr>
          <w:ilvl w:val="0"/>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Together with the delivery of financial statements in accordance with </w:t>
      </w:r>
      <w:r>
        <w:rPr>
          <w:rFonts w:ascii="Times New Roman" w:cs="Times New Roman" w:eastAsia="Times New Roman" w:hAnsi="Times New Roman"/>
          <w:sz w:val="20"/>
          <w:szCs w:val="20"/>
          <w:u w:val="single" w:color="auto"/>
          <w:color w:val="auto"/>
        </w:rPr>
        <w:t>Section 4.3(c)(2)</w:t>
      </w:r>
      <w:r>
        <w:rPr>
          <w:rFonts w:ascii="Times New Roman" w:cs="Times New Roman" w:eastAsia="Times New Roman" w:hAnsi="Times New Roman"/>
          <w:sz w:val="20"/>
          <w:szCs w:val="20"/>
          <w:color w:val="auto"/>
        </w:rPr>
        <w:t xml:space="preserve"> in respect of each Fiscal Quarter occurring after the Project Completion Date, deliver to the Trustee a certificate of a Responsible Officer of the Company setting forth (a) the Historical DSCR for the four Fiscal Quarter period ended on such Quarterly Payment Date and (b) the Indenture Projected DSCR for the four Fiscal Quarter period commencing on such Quarterly Payment Date, in each case together with the calculation in reasonable detail and supporting data to confirm such calculations;</w:t>
      </w:r>
    </w:p>
    <w:p>
      <w:pPr>
        <w:spacing w:after="0" w:line="165" w:lineRule="exact"/>
        <w:rPr>
          <w:rFonts w:ascii="Times New Roman" w:cs="Times New Roman" w:eastAsia="Times New Roman" w:hAnsi="Times New Roman"/>
          <w:sz w:val="20"/>
          <w:szCs w:val="20"/>
          <w:color w:val="auto"/>
        </w:rPr>
      </w:pPr>
    </w:p>
    <w:p>
      <w:pPr>
        <w:ind w:left="1920" w:hanging="636"/>
        <w:spacing w:after="0" w:line="283" w:lineRule="auto"/>
        <w:tabs>
          <w:tab w:leader="none" w:pos="1962" w:val="left"/>
        </w:tabs>
        <w:numPr>
          <w:ilvl w:val="0"/>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five Business Days after the execution thereof, deliver copies of any Additional Material Project Documents to the Company;</w:t>
      </w:r>
    </w:p>
    <w:p>
      <w:pPr>
        <w:spacing w:after="0" w:line="132" w:lineRule="exact"/>
        <w:rPr>
          <w:rFonts w:ascii="Times New Roman" w:cs="Times New Roman" w:eastAsia="Times New Roman" w:hAnsi="Times New Roman"/>
          <w:sz w:val="20"/>
          <w:szCs w:val="20"/>
          <w:color w:val="auto"/>
        </w:rPr>
      </w:pPr>
    </w:p>
    <w:p>
      <w:pPr>
        <w:ind w:left="1920" w:right="20" w:hanging="636"/>
        <w:spacing w:after="0" w:line="269" w:lineRule="auto"/>
        <w:tabs>
          <w:tab w:leader="none" w:pos="1901" w:val="left"/>
        </w:tabs>
        <w:numPr>
          <w:ilvl w:val="0"/>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five Business Days after the execution thereof, deliver copies of all material amendments, supplements or modifications (including any change order) of any Material Project Documents;</w:t>
      </w:r>
    </w:p>
    <w:p>
      <w:pPr>
        <w:spacing w:after="0" w:line="159" w:lineRule="exact"/>
        <w:rPr>
          <w:rFonts w:ascii="Times New Roman" w:cs="Times New Roman" w:eastAsia="Times New Roman" w:hAnsi="Times New Roman"/>
          <w:sz w:val="20"/>
          <w:szCs w:val="20"/>
          <w:color w:val="auto"/>
        </w:rPr>
      </w:pPr>
    </w:p>
    <w:p>
      <w:pPr>
        <w:jc w:val="both"/>
        <w:ind w:left="1920" w:hanging="636"/>
        <w:spacing w:after="0" w:line="253" w:lineRule="auto"/>
        <w:tabs>
          <w:tab w:leader="none" w:pos="1865" w:val="left"/>
        </w:tabs>
        <w:numPr>
          <w:ilvl w:val="0"/>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T1 Substantial Completion, deliver to the Trustee copies of environmental and social information contained in periodic reports prepared by or for the Company, which will include a summary of the P1 EPC Contractor’s performance against certain key performance indicators and other appropriate environmental and social statistics, such as (i) lost time incidents, (ii) oil spills and releases of hazardous materials, and (iii) other material environmental and social events;</w:t>
      </w:r>
    </w:p>
    <w:p>
      <w:pPr>
        <w:spacing w:after="0" w:line="164" w:lineRule="exact"/>
        <w:rPr>
          <w:rFonts w:ascii="Times New Roman" w:cs="Times New Roman" w:eastAsia="Times New Roman" w:hAnsi="Times New Roman"/>
          <w:sz w:val="20"/>
          <w:szCs w:val="20"/>
          <w:color w:val="auto"/>
        </w:rPr>
      </w:pPr>
    </w:p>
    <w:p>
      <w:pPr>
        <w:ind w:left="1920" w:hanging="636"/>
        <w:spacing w:after="0" w:line="258" w:lineRule="auto"/>
        <w:tabs>
          <w:tab w:leader="none" w:pos="1816" w:val="left"/>
        </w:tabs>
        <w:numPr>
          <w:ilvl w:val="0"/>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sixty days following each June 30 and December 31 to occur after the Closing Date and prior to T1 Substantial Completion, deliver to the Trustee and the Independent Engineer a semi-annual environmental and social report prepared by the Environmental Advisor analyzing the Company’s compliance with the Equator Principles and the Environmental and Social Action Plan;</w:t>
      </w:r>
    </w:p>
    <w:p>
      <w:pPr>
        <w:spacing w:after="0" w:line="158" w:lineRule="exact"/>
        <w:rPr>
          <w:rFonts w:ascii="Times New Roman" w:cs="Times New Roman" w:eastAsia="Times New Roman" w:hAnsi="Times New Roman"/>
          <w:sz w:val="20"/>
          <w:szCs w:val="20"/>
          <w:color w:val="auto"/>
        </w:rPr>
      </w:pPr>
    </w:p>
    <w:p>
      <w:pPr>
        <w:jc w:val="both"/>
        <w:ind w:left="1920" w:hanging="636"/>
        <w:spacing w:after="0" w:line="258" w:lineRule="auto"/>
        <w:tabs>
          <w:tab w:leader="none" w:pos="1936" w:val="left"/>
        </w:tabs>
        <w:numPr>
          <w:ilvl w:val="0"/>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120 days following December 31 of each calendar year prior to the Maturity Date beginning with the first calendar year following the year in which T1 Substantial Completion has occurred, deliver to the Trustee and the Independent Engineer an annual environmental and social report prepared by the Environmental Advisor analyzing the Company’s compliance with the Equator Principles and the Environmental and Social Action Plan;</w:t>
      </w:r>
    </w:p>
    <w:p>
      <w:pPr>
        <w:spacing w:after="0" w:line="158" w:lineRule="exact"/>
        <w:rPr>
          <w:rFonts w:ascii="Times New Roman" w:cs="Times New Roman" w:eastAsia="Times New Roman" w:hAnsi="Times New Roman"/>
          <w:sz w:val="20"/>
          <w:szCs w:val="20"/>
          <w:color w:val="auto"/>
        </w:rPr>
      </w:pPr>
    </w:p>
    <w:p>
      <w:pPr>
        <w:jc w:val="both"/>
        <w:ind w:left="1920" w:hanging="636"/>
        <w:spacing w:after="0" w:line="257" w:lineRule="auto"/>
        <w:tabs>
          <w:tab w:leader="none" w:pos="1945" w:val="left"/>
        </w:tabs>
        <w:numPr>
          <w:ilvl w:val="0"/>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practicable and in any event, unless otherwise specified, within seven Business Days after the Company obtains Knowledge of any of the following, provide written notice to the Trustee of any (i) material Release of Hazardous Materials, (ii) any Environmental and Social Incident </w:t>
      </w:r>
      <w:r>
        <w:rPr>
          <w:rFonts w:ascii="Times New Roman" w:cs="Times New Roman" w:eastAsia="Times New Roman" w:hAnsi="Times New Roman"/>
          <w:sz w:val="20"/>
          <w:szCs w:val="20"/>
          <w:b w:val="1"/>
          <w:bCs w:val="1"/>
          <w:u w:val="single" w:color="auto"/>
          <w:color w:val="auto"/>
        </w:rPr>
        <w:t>(as defined in the CD Credit Agreement)</w:t>
      </w:r>
      <w:r>
        <w:rPr>
          <w:rFonts w:ascii="Times New Roman" w:cs="Times New Roman" w:eastAsia="Times New Roman" w:hAnsi="Times New Roman"/>
          <w:sz w:val="20"/>
          <w:szCs w:val="20"/>
          <w:color w:val="auto"/>
        </w:rPr>
        <w:t xml:space="preserve"> (which notice may be subject to subsequent investigation and clarification), (iii) any event or circumstance that could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00" w:name="page401"/>
    <w:bookmarkEnd w:id="400"/>
    <w:p>
      <w:pPr>
        <w:jc w:val="both"/>
        <w:ind w:left="1920"/>
        <w:spacing w:after="0" w:line="253" w:lineRule="auto"/>
        <w:rPr>
          <w:sz w:val="20"/>
          <w:szCs w:val="20"/>
          <w:color w:val="auto"/>
        </w:rPr>
      </w:pPr>
      <w:r>
        <w:rPr>
          <w:rFonts w:ascii="Times New Roman" w:cs="Times New Roman" w:eastAsia="Times New Roman" w:hAnsi="Times New Roman"/>
          <w:sz w:val="20"/>
          <w:szCs w:val="20"/>
          <w:color w:val="auto"/>
        </w:rPr>
        <w:t>give rise to a material Environmental Claim, constitute a breach in any material respect of the Environmental and Social Action Plan, or result, or which has resulted, in a failure by the Company to comply in all material respects with Environmental Laws and the Equator Principles, and (iv) other material written notice from Government Authorities related to any of the foregoing or otherwise related to the need to investigate, respond, clean up, or remediate Hazardous Materials or any Environmental and Social Incident;</w:t>
      </w:r>
    </w:p>
    <w:p>
      <w:pPr>
        <w:spacing w:after="0" w:line="178" w:lineRule="exact"/>
        <w:rPr>
          <w:sz w:val="20"/>
          <w:szCs w:val="20"/>
          <w:color w:val="auto"/>
        </w:rPr>
      </w:pPr>
    </w:p>
    <w:p>
      <w:pPr>
        <w:ind w:left="2040" w:hanging="756"/>
        <w:spacing w:after="0"/>
        <w:tabs>
          <w:tab w:leader="none" w:pos="2040"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unless otherwise specified, within seven Business Days following either</w:t>
      </w:r>
    </w:p>
    <w:p>
      <w:pPr>
        <w:spacing w:after="0" w:line="21" w:lineRule="exact"/>
        <w:rPr>
          <w:rFonts w:ascii="Times New Roman" w:cs="Times New Roman" w:eastAsia="Times New Roman" w:hAnsi="Times New Roman"/>
          <w:sz w:val="20"/>
          <w:szCs w:val="20"/>
          <w:color w:val="auto"/>
        </w:rPr>
      </w:pPr>
    </w:p>
    <w:p>
      <w:pPr>
        <w:ind w:left="2200" w:hanging="279"/>
        <w:spacing w:after="0"/>
        <w:tabs>
          <w:tab w:leader="none" w:pos="2200" w:val="left"/>
        </w:tabs>
        <w:numPr>
          <w:ilvl w:val="1"/>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to the Company of any report prepared for the Company regarding any Environmental and Social</w:t>
      </w:r>
    </w:p>
    <w:p>
      <w:pPr>
        <w:spacing w:after="0" w:line="6" w:lineRule="exact"/>
        <w:rPr>
          <w:sz w:val="20"/>
          <w:szCs w:val="20"/>
          <w:color w:val="auto"/>
        </w:rPr>
      </w:pPr>
    </w:p>
    <w:p>
      <w:pPr>
        <w:jc w:val="both"/>
        <w:ind w:left="1920"/>
        <w:spacing w:after="0" w:line="270" w:lineRule="auto"/>
        <w:rPr>
          <w:sz w:val="20"/>
          <w:szCs w:val="20"/>
          <w:color w:val="auto"/>
        </w:rPr>
      </w:pPr>
      <w:r>
        <w:rPr>
          <w:rFonts w:ascii="Times New Roman" w:cs="Times New Roman" w:eastAsia="Times New Roman" w:hAnsi="Times New Roman"/>
          <w:sz w:val="19"/>
          <w:szCs w:val="19"/>
          <w:color w:val="auto"/>
        </w:rPr>
        <w:t xml:space="preserve">Incident or (ii) the occurrence of a material development in respect of any Environmental and Social Incident, deliver to the Trustee a notice, report or update, as applicable, from the Company (which may, but need not, be a copy of the report referred to in </w:t>
      </w:r>
      <w:r>
        <w:rPr>
          <w:rFonts w:ascii="Times New Roman" w:cs="Times New Roman" w:eastAsia="Times New Roman" w:hAnsi="Times New Roman"/>
          <w:sz w:val="19"/>
          <w:szCs w:val="19"/>
          <w:u w:val="single" w:color="auto"/>
          <w:color w:val="auto"/>
        </w:rPr>
        <w:t>sub-clause (</w:t>
      </w:r>
      <w:r>
        <w:rPr>
          <w:rFonts w:ascii="Times New Roman" w:cs="Times New Roman" w:eastAsia="Times New Roman" w:hAnsi="Times New Roman"/>
          <w:sz w:val="19"/>
          <w:szCs w:val="19"/>
          <w:u w:val="single" w:color="auto"/>
          <w:color w:val="auto"/>
          <w:strike w:val="1"/>
        </w:rPr>
        <w:t>xxiii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xviii</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above) in respect of such material development (and, for the avoidance of doubt, no such notice, report or update will require delivery of any document prepared for internal purposes);</w:t>
      </w:r>
    </w:p>
    <w:p>
      <w:pPr>
        <w:spacing w:after="0" w:line="149" w:lineRule="exact"/>
        <w:rPr>
          <w:sz w:val="20"/>
          <w:szCs w:val="20"/>
          <w:color w:val="auto"/>
        </w:rPr>
      </w:pPr>
    </w:p>
    <w:p>
      <w:pPr>
        <w:ind w:left="1920" w:hanging="636"/>
        <w:spacing w:after="0" w:line="269" w:lineRule="auto"/>
        <w:tabs>
          <w:tab w:leader="none" w:pos="1970" w:val="left"/>
        </w:tabs>
        <w:numPr>
          <w:ilvl w:val="0"/>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unless otherwise specified, deliver within five Business Days after the Company obtains Knowledge of any of the following, written notice to the Trustee of:</w:t>
      </w:r>
    </w:p>
    <w:p>
      <w:pPr>
        <w:spacing w:after="0" w:line="159" w:lineRule="exact"/>
        <w:rPr>
          <w:rFonts w:ascii="Times New Roman" w:cs="Times New Roman" w:eastAsia="Times New Roman" w:hAnsi="Times New Roman"/>
          <w:sz w:val="20"/>
          <w:szCs w:val="20"/>
          <w:color w:val="auto"/>
        </w:rPr>
      </w:pPr>
    </w:p>
    <w:p>
      <w:pPr>
        <w:ind w:left="2560" w:hanging="639"/>
        <w:spacing w:after="0" w:line="254" w:lineRule="auto"/>
        <w:tabs>
          <w:tab w:leader="none" w:pos="2405"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of Loss or Event of Taking in excess of $75,000,000 in value or any series of such events or circumstances during any twelve month period in excess of $250,000,000 in value in the aggregate, or the initiation of any insurance claim proceedings with respect to any such Event of Loss or Event of Taking;</w:t>
      </w:r>
    </w:p>
    <w:p>
      <w:pPr>
        <w:spacing w:after="0" w:line="173" w:lineRule="exact"/>
        <w:rPr>
          <w:rFonts w:ascii="Times New Roman" w:cs="Times New Roman" w:eastAsia="Times New Roman" w:hAnsi="Times New Roman"/>
          <w:sz w:val="20"/>
          <w:szCs w:val="20"/>
          <w:color w:val="auto"/>
        </w:rPr>
      </w:pPr>
    </w:p>
    <w:p>
      <w:pPr>
        <w:ind w:left="2560" w:hanging="639"/>
        <w:spacing w:after="0" w:line="261" w:lineRule="auto"/>
        <w:tabs>
          <w:tab w:leader="none" w:pos="2402"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giving rise (or that could reasonably be expected to give rise) to a claim under any insurance policy maintained with respect to the Project in excess of $75,000,000 with copies of any material document relating thereto that are available to the Company;</w:t>
      </w:r>
    </w:p>
    <w:p>
      <w:pPr>
        <w:spacing w:after="0" w:line="154" w:lineRule="exact"/>
        <w:rPr>
          <w:rFonts w:ascii="Times New Roman" w:cs="Times New Roman" w:eastAsia="Times New Roman" w:hAnsi="Times New Roman"/>
          <w:sz w:val="20"/>
          <w:szCs w:val="20"/>
          <w:color w:val="auto"/>
        </w:rPr>
      </w:pPr>
    </w:p>
    <w:p>
      <w:pPr>
        <w:jc w:val="both"/>
        <w:ind w:left="2560" w:right="20" w:hanging="639"/>
        <w:spacing w:after="0" w:line="261" w:lineRule="auto"/>
        <w:tabs>
          <w:tab w:leader="none" w:pos="2501"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to pay any premium, cancellation, termination, suspension, or actual or reasonably anticipated material reductions in the coverages or amounts of any insurance required pursuant to the Insurance Program;</w:t>
      </w:r>
    </w:p>
    <w:p>
      <w:pPr>
        <w:spacing w:after="0" w:line="167" w:lineRule="exact"/>
        <w:rPr>
          <w:rFonts w:ascii="Times New Roman" w:cs="Times New Roman" w:eastAsia="Times New Roman" w:hAnsi="Times New Roman"/>
          <w:sz w:val="20"/>
          <w:szCs w:val="20"/>
          <w:color w:val="auto"/>
        </w:rPr>
      </w:pPr>
    </w:p>
    <w:p>
      <w:pPr>
        <w:ind w:left="2560" w:hanging="639"/>
        <w:spacing w:after="0" w:line="269" w:lineRule="auto"/>
        <w:tabs>
          <w:tab w:leader="none" w:pos="2407"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reduction in the financial rating of any insurer providing insurance such that the rating no longer meets the requirements set forth in the Insurance Program;</w:t>
      </w:r>
    </w:p>
    <w:p>
      <w:pPr>
        <w:spacing w:after="0" w:line="141" w:lineRule="exact"/>
        <w:rPr>
          <w:rFonts w:ascii="Times New Roman" w:cs="Times New Roman" w:eastAsia="Times New Roman" w:hAnsi="Times New Roman"/>
          <w:sz w:val="20"/>
          <w:szCs w:val="20"/>
          <w:color w:val="auto"/>
        </w:rPr>
      </w:pPr>
    </w:p>
    <w:p>
      <w:pPr>
        <w:ind w:left="2560" w:hanging="639"/>
        <w:spacing w:after="0" w:line="287" w:lineRule="auto"/>
        <w:tabs>
          <w:tab w:leader="none" w:pos="2623"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notices or other documents delivered by or to the Company pursuant to Exhibit E (</w:t>
      </w:r>
      <w:r>
        <w:rPr>
          <w:rFonts w:ascii="Times New Roman" w:cs="Times New Roman" w:eastAsia="Times New Roman" w:hAnsi="Times New Roman"/>
          <w:sz w:val="20"/>
          <w:szCs w:val="20"/>
          <w:i w:val="1"/>
          <w:iCs w:val="1"/>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Requirements</w:t>
      </w:r>
      <w:r>
        <w:rPr>
          <w:rFonts w:ascii="Times New Roman" w:cs="Times New Roman" w:eastAsia="Times New Roman" w:hAnsi="Times New Roman"/>
          <w:sz w:val="20"/>
          <w:szCs w:val="20"/>
          <w:color w:val="auto"/>
        </w:rPr>
        <w:t>) of the CFAA;</w:t>
      </w:r>
    </w:p>
    <w:p>
      <w:pPr>
        <w:spacing w:after="0" w:line="128" w:lineRule="exact"/>
        <w:rPr>
          <w:rFonts w:ascii="Times New Roman" w:cs="Times New Roman" w:eastAsia="Times New Roman" w:hAnsi="Times New Roman"/>
          <w:sz w:val="20"/>
          <w:szCs w:val="20"/>
          <w:color w:val="auto"/>
        </w:rPr>
      </w:pPr>
    </w:p>
    <w:p>
      <w:pPr>
        <w:ind w:left="2560" w:hanging="639"/>
        <w:spacing w:after="0" w:line="283" w:lineRule="auto"/>
        <w:tabs>
          <w:tab w:leader="none" w:pos="2369"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claims on insurance carried by the P1 EPC Contractor under the P1 EPC Contracts and a summary of the progress and status of such claims;</w:t>
      </w:r>
    </w:p>
    <w:p>
      <w:pPr>
        <w:spacing w:after="0" w:line="132" w:lineRule="exact"/>
        <w:rPr>
          <w:rFonts w:ascii="Times New Roman" w:cs="Times New Roman" w:eastAsia="Times New Roman" w:hAnsi="Times New Roman"/>
          <w:sz w:val="20"/>
          <w:szCs w:val="20"/>
          <w:color w:val="auto"/>
        </w:rPr>
      </w:pPr>
    </w:p>
    <w:p>
      <w:pPr>
        <w:ind w:left="2560" w:right="20" w:hanging="639"/>
        <w:spacing w:after="0" w:line="283" w:lineRule="auto"/>
        <w:tabs>
          <w:tab w:leader="none" w:pos="2446"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renewal or replacement of any insurance policy required under the Insurance Program, within thirty days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01" w:name="page402"/>
    <w:bookmarkEnd w:id="401"/>
    <w:p>
      <w:pPr>
        <w:ind w:left="2560" w:hanging="639"/>
        <w:spacing w:after="0" w:line="270" w:lineRule="auto"/>
        <w:tabs>
          <w:tab w:leader="none" w:pos="2449" w:val="left"/>
        </w:tabs>
        <w:numPr>
          <w:ilvl w:val="2"/>
          <w:numId w:val="4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prejudice to its other obligations under this </w:t>
      </w:r>
      <w:r>
        <w:rPr>
          <w:rFonts w:ascii="Times New Roman" w:cs="Times New Roman" w:eastAsia="Times New Roman" w:hAnsi="Times New Roman"/>
          <w:sz w:val="19"/>
          <w:szCs w:val="19"/>
          <w:u w:val="single" w:color="auto"/>
          <w:color w:val="auto"/>
        </w:rPr>
        <w:t>Section 4.3(k)(</w:t>
      </w:r>
      <w:r>
        <w:rPr>
          <w:rFonts w:ascii="Times New Roman" w:cs="Times New Roman" w:eastAsia="Times New Roman" w:hAnsi="Times New Roman"/>
          <w:sz w:val="19"/>
          <w:szCs w:val="19"/>
          <w:u w:val="single" w:color="auto"/>
          <w:color w:val="auto"/>
          <w:strike w:val="1"/>
        </w:rPr>
        <w:t>xviii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xix</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xml:space="preserve"> or the CFAA, any fact, event or circumstance that has caused, or that with the giving of notice, lapse of time or making of a determination would cause, it to be in breach of any provision of this </w:t>
      </w:r>
      <w:r>
        <w:rPr>
          <w:rFonts w:ascii="Times New Roman" w:cs="Times New Roman" w:eastAsia="Times New Roman" w:hAnsi="Times New Roman"/>
          <w:sz w:val="19"/>
          <w:szCs w:val="19"/>
          <w:u w:val="single" w:color="auto"/>
          <w:color w:val="auto"/>
        </w:rPr>
        <w:t>Section 4.3(k)(</w:t>
      </w:r>
      <w:r>
        <w:rPr>
          <w:rFonts w:ascii="Times New Roman" w:cs="Times New Roman" w:eastAsia="Times New Roman" w:hAnsi="Times New Roman"/>
          <w:sz w:val="19"/>
          <w:szCs w:val="19"/>
          <w:u w:val="single" w:color="auto"/>
          <w:color w:val="auto"/>
          <w:strike w:val="1"/>
        </w:rPr>
        <w:t>xviii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xix</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xml:space="preserve"> or the CFAA or the requirements of any of the insurance policies in the Insurance Program and (i) the steps it proposes to take in order to remedy such breach or, if such breach cannot be remedied, to mitigate the risk or liability to which the Project has been or shall reasonably be expected to be exposed by virtue of the occurrence of such breach and (ii) its good faith estimate of the period required to implement, and the cost of, such steps; and</w:t>
      </w:r>
    </w:p>
    <w:p>
      <w:pPr>
        <w:spacing w:after="0" w:line="146" w:lineRule="exact"/>
        <w:rPr>
          <w:rFonts w:ascii="Times New Roman" w:cs="Times New Roman" w:eastAsia="Times New Roman" w:hAnsi="Times New Roman"/>
          <w:sz w:val="19"/>
          <w:szCs w:val="19"/>
          <w:color w:val="auto"/>
        </w:rPr>
      </w:pPr>
    </w:p>
    <w:p>
      <w:pPr>
        <w:ind w:left="2560" w:hanging="639"/>
        <w:spacing w:after="0" w:line="269" w:lineRule="auto"/>
        <w:tabs>
          <w:tab w:leader="none" w:pos="2391" w:val="left"/>
        </w:tabs>
        <w:numPr>
          <w:ilvl w:val="2"/>
          <w:numId w:val="4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information equivalent to the foregoing that the Company has received from CFCo or InsuranceCo with respect to the Insurance Program.</w:t>
      </w:r>
    </w:p>
    <w:p>
      <w:pPr>
        <w:spacing w:after="0" w:line="159" w:lineRule="exact"/>
        <w:rPr>
          <w:rFonts w:ascii="Times New Roman" w:cs="Times New Roman" w:eastAsia="Times New Roman" w:hAnsi="Times New Roman"/>
          <w:sz w:val="20"/>
          <w:szCs w:val="20"/>
          <w:color w:val="auto"/>
        </w:rPr>
      </w:pPr>
    </w:p>
    <w:p>
      <w:pPr>
        <w:jc w:val="both"/>
        <w:ind w:left="1920" w:hanging="636"/>
        <w:spacing w:after="0" w:line="250" w:lineRule="auto"/>
        <w:tabs>
          <w:tab w:leader="none" w:pos="1875" w:val="left"/>
        </w:tabs>
        <w:numPr>
          <w:ilvl w:val="1"/>
          <w:numId w:val="4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to the Trustee in respect of the Company’s gas supply requirements in connection with its then-Designated Offtake Agreements, within 45 days following the end of each calendar quarter for the first two years after commissioning of the Train Facility under and as defined in the P1 EPC Contracts and, thereafter, within 45 days following the end of each June 30 and December 31 of each calendar year, reports on the status of its gas supply arrangements (excluding any commercially sensitive trade information) for the Project during the three- or six-month period prior to the end of such quarter or semi-annual period, as applicable, including (a) a summary list of gas suppliers with which the Company entered into material gas supply contracts during the covered period and (b) a summary of material gas purchases made and Hedge Agreements entered into by the Company during the covered period, detailing aggregate outstanding contract volumes, remaining tenor (after commencement of services), price ranges of such gas purchases and hedges and aggregate gas purchase, price indexation used and hedge payables with respect to material gas supply contracts and hedges during such covered period.</w:t>
      </w:r>
    </w:p>
    <w:p>
      <w:pPr>
        <w:spacing w:after="0" w:line="172" w:lineRule="exact"/>
        <w:rPr>
          <w:rFonts w:ascii="Times New Roman" w:cs="Times New Roman" w:eastAsia="Times New Roman" w:hAnsi="Times New Roman"/>
          <w:sz w:val="20"/>
          <w:szCs w:val="20"/>
          <w:color w:val="auto"/>
        </w:rPr>
      </w:pPr>
    </w:p>
    <w:p>
      <w:pPr>
        <w:ind w:left="1280" w:hanging="634"/>
        <w:spacing w:after="0" w:line="269" w:lineRule="auto"/>
        <w:tabs>
          <w:tab w:leader="none" w:pos="1026" w:val="left"/>
        </w:tabs>
        <w:numPr>
          <w:ilvl w:val="0"/>
          <w:numId w:val="4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each of the financial statements delivered to the Trustee pursuant to this Section 4.3, shall provide the Trustee with an Officer’s Certificate executed by a Senior Financial Officer of the Company certifying that:</w:t>
      </w:r>
    </w:p>
    <w:p>
      <w:pPr>
        <w:spacing w:after="0" w:line="159" w:lineRule="exact"/>
        <w:rPr>
          <w:rFonts w:ascii="Times New Roman" w:cs="Times New Roman" w:eastAsia="Times New Roman" w:hAnsi="Times New Roman"/>
          <w:sz w:val="20"/>
          <w:szCs w:val="20"/>
          <w:color w:val="auto"/>
        </w:rPr>
      </w:pPr>
    </w:p>
    <w:p>
      <w:pPr>
        <w:ind w:left="1920" w:hanging="636"/>
        <w:spacing w:after="0" w:line="261" w:lineRule="auto"/>
        <w:tabs>
          <w:tab w:leader="none" w:pos="1729" w:val="left"/>
        </w:tabs>
        <w:numPr>
          <w:ilvl w:val="1"/>
          <w:numId w:val="4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financial statements fairly present in all material respects the financial condition and results of operations of the Company on the dates and for the periods indicated on a consolidated basis in accordance with GAAP, subject, in the case of quarterly financial statements to the absence of notes and normal year-end audit adjustments; and</w:t>
      </w:r>
    </w:p>
    <w:p>
      <w:pPr>
        <w:spacing w:after="0" w:line="154" w:lineRule="exact"/>
        <w:rPr>
          <w:sz w:val="20"/>
          <w:szCs w:val="20"/>
          <w:color w:val="auto"/>
        </w:rPr>
      </w:pPr>
    </w:p>
    <w:p>
      <w:pPr>
        <w:ind w:left="1920" w:hanging="636"/>
        <w:spacing w:after="0" w:line="258" w:lineRule="auto"/>
        <w:tabs>
          <w:tab w:leader="none" w:pos="1742" w:val="left"/>
        </w:tabs>
        <w:numPr>
          <w:ilvl w:val="0"/>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or default or event of default under any Senior Secured Debt Instrument exists as of the date of such certificate or, if any Default or Event of Default, or default or event of default under any Senior Secured Debt Instrument, exists, describing the same in reasonable detail and describing what action the Company has taken and proposes to take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02" w:name="page403"/>
    <w:bookmarkEnd w:id="402"/>
    <w:p>
      <w:pPr>
        <w:spacing w:after="0"/>
        <w:tabs>
          <w:tab w:leader="none" w:pos="4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u w:val="single" w:color="auto"/>
          <w:color w:val="auto"/>
        </w:rPr>
        <w:t>Compliance Certificate</w:t>
      </w:r>
    </w:p>
    <w:p>
      <w:pPr>
        <w:spacing w:after="0" w:line="202" w:lineRule="exact"/>
        <w:rPr>
          <w:sz w:val="20"/>
          <w:szCs w:val="20"/>
          <w:color w:val="auto"/>
        </w:rPr>
      </w:pPr>
    </w:p>
    <w:p>
      <w:pPr>
        <w:ind w:left="1280" w:hanging="634"/>
        <w:spacing w:after="0" w:line="257" w:lineRule="auto"/>
        <w:tabs>
          <w:tab w:leader="none" w:pos="1198" w:val="left"/>
        </w:tabs>
        <w:numPr>
          <w:ilvl w:val="0"/>
          <w:numId w:val="4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deliver to the Trustee, within ninety days after the end of each Fiscal Year (with the first Officer’s Certificate to be delivered on or before March 31, 2024), an Officer’s Certificate stating that to the signing Authorized Officer’s knowledge no Default or Event of Default has occurred and is continuing (or, if a Default or Event of Default has occurred and is continuing, describing all such Defaults or Events of Default of which he or she has knowledge and what action the Company is taking or proposes to take with respect thereto).</w:t>
      </w:r>
    </w:p>
    <w:p>
      <w:pPr>
        <w:spacing w:after="0" w:line="159" w:lineRule="exact"/>
        <w:rPr>
          <w:rFonts w:ascii="Times New Roman" w:cs="Times New Roman" w:eastAsia="Times New Roman" w:hAnsi="Times New Roman"/>
          <w:sz w:val="20"/>
          <w:szCs w:val="20"/>
          <w:color w:val="auto"/>
        </w:rPr>
      </w:pPr>
    </w:p>
    <w:p>
      <w:pPr>
        <w:ind w:left="1280" w:right="20" w:hanging="634"/>
        <w:spacing w:after="0" w:line="261" w:lineRule="auto"/>
        <w:tabs>
          <w:tab w:leader="none" w:pos="1120" w:val="left"/>
        </w:tabs>
        <w:numPr>
          <w:ilvl w:val="0"/>
          <w:numId w:val="4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of the Notes are outstanding, the Company will deliver to the Trustee, forthwith upon any Authorized Officer becoming aware of any Default or Event of Default, an Officer’s Certificate specifying such Default or Event of Default and what action the Company is taking or proposes to take with respect thereto.</w:t>
      </w:r>
    </w:p>
    <w:p>
      <w:pPr>
        <w:spacing w:after="0" w:line="1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Distributions</w:t>
      </w:r>
    </w:p>
    <w:p>
      <w:pPr>
        <w:spacing w:after="0" w:line="216"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0"/>
          <w:szCs w:val="20"/>
          <w:color w:val="auto"/>
        </w:rPr>
        <w:t xml:space="preserve">The Company will not make or agree to make, directly or indirectly, any Distributions unless (a) such Distribution is in compliance with the Common Terms Agreement and the P1 Accounts Agreement, (b) no breach of the covenant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has occurred and is continuing, (c) in the case of any Extraordinary Distribution from the P1 Pre-Completion Revenue Account in accordance with Section 3.2(c) (</w:t>
      </w:r>
      <w:r>
        <w:rPr>
          <w:rFonts w:ascii="Times New Roman" w:cs="Times New Roman" w:eastAsia="Times New Roman" w:hAnsi="Times New Roman"/>
          <w:sz w:val="20"/>
          <w:szCs w:val="20"/>
          <w:i w:val="1"/>
          <w:iCs w:val="1"/>
          <w:color w:val="auto"/>
        </w:rPr>
        <w:t>P1 Pre-Completion Revenue Account</w:t>
      </w:r>
      <w:r>
        <w:rPr>
          <w:rFonts w:ascii="Times New Roman" w:cs="Times New Roman" w:eastAsia="Times New Roman" w:hAnsi="Times New Roman"/>
          <w:sz w:val="20"/>
          <w:szCs w:val="20"/>
          <w:color w:val="auto"/>
        </w:rPr>
        <w:t>) of the P1 Accounts Agreement, (i) no CTA Default or CTA Event of Default has occurred and is continuing, (ii) Substantial Completion (as defined in the T1/T2 EPC Contract) of the Train 1 Facility shall have occurred, as confirmed by the Independent Engineer, (iii) the Indenture Projected DSCR for the four Fiscal Quarter period commencing on the Initial Principal Payment Date shall not be less than 1.40:1.00, (iv) the Company shall have delivered to the Trustee a certificate confirming (A) that Substantial Completion (as defined in the T1/T2 EPC Contract) of the Train 2 Facility and Substantial Completion (as defined in the T3 EPC Contract) of the Train 3 Facility, and the occurrence of the Project Completion Date is reasonably expected to occur on or before the Date Certain and (B) as to the sufficiency of funds available to the Company to complete the Train 2 Facility, the Train 3 Facility and the P1 Common Facilities, (v) Designated Offtake Agreements with an aggregate amount of ACQ required to achieve an Indenture Projected DSCR of at least 1.40:1.00 based on the Base Case Forecast shall be in full force and effect, (vi) the “Date of First Commercial Delivery” with respect to the Train 1 Facility under, and as defined in, each of the Initial Offtake Agreements referred to in clauses (b), (c), (d), (f), and (h) of the definition thereof shall have occurred, and (vii) no Default or Event of Default under Section 6.1(</w:t>
      </w:r>
      <w:r>
        <w:rPr>
          <w:rFonts w:ascii="Times New Roman" w:cs="Times New Roman" w:eastAsia="Times New Roman" w:hAnsi="Times New Roman"/>
          <w:sz w:val="20"/>
          <w:szCs w:val="20"/>
          <w:color w:val="auto"/>
          <w:strike w:val="1"/>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20"/>
          <w:szCs w:val="20"/>
          <w:color w:val="auto"/>
        </w:rPr>
        <w:t>) shall have occurred and be continuing, and (d) in the case of any Distributions other than Extraordinary Distributions, (i) the Historical DSCR as of the Fiscal Quarter most recently ended or then ending is at least 1.25 to 1.00 and (ii) the Contracted Projected DSCR for the next four Fiscal Quarter period is at least 1.25 to 1.00; provided, that the Company may, at its option, exclude any amounts comprising of scheduled bullet or balloon principal payments of Senior Secured Debt that was pre-funded with proceeds of Replacement Debt or other Indebtedness.</w:t>
      </w:r>
    </w:p>
    <w:p>
      <w:pPr>
        <w:spacing w:after="0" w:line="19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9"/>
          <w:szCs w:val="19"/>
          <w:u w:val="single" w:color="auto"/>
          <w:color w:val="auto"/>
        </w:rPr>
        <w:t>Use of Proceeds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Company shall use the proceeds of the Notes solely to pay for a portion of P1 Project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03" w:name="page404"/>
    <w:bookmarkEnd w:id="403"/>
    <w:p>
      <w:pPr>
        <w:spacing w:after="0"/>
        <w:tabs>
          <w:tab w:leader="none" w:pos="44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u w:val="single" w:color="auto"/>
          <w:color w:val="auto"/>
        </w:rPr>
        <w:t>Incurrence of Indebtedness</w:t>
      </w:r>
    </w:p>
    <w:p>
      <w:pPr>
        <w:spacing w:after="0" w:line="202" w:lineRule="exact"/>
        <w:rPr>
          <w:sz w:val="20"/>
          <w:szCs w:val="20"/>
          <w:color w:val="auto"/>
        </w:rPr>
      </w:pPr>
    </w:p>
    <w:p>
      <w:pPr>
        <w:ind w:left="1280" w:hanging="634"/>
        <w:spacing w:after="0" w:line="250" w:lineRule="auto"/>
        <w:tabs>
          <w:tab w:leader="none" w:pos="1072" w:val="left"/>
        </w:tabs>
        <w:numPr>
          <w:ilvl w:val="0"/>
          <w:numId w:val="4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directly or indirectly, create, incur, assume, permit, suffer to exist or otherwise be or become liable with respect to, contingently or otherwise (collectively, “</w:t>
      </w:r>
      <w:r>
        <w:rPr>
          <w:rFonts w:ascii="Times New Roman" w:cs="Times New Roman" w:eastAsia="Times New Roman" w:hAnsi="Times New Roman"/>
          <w:sz w:val="20"/>
          <w:szCs w:val="20"/>
          <w:b w:val="1"/>
          <w:bCs w:val="1"/>
          <w:color w:val="auto"/>
        </w:rPr>
        <w:t>incur</w:t>
      </w:r>
      <w:r>
        <w:rPr>
          <w:rFonts w:ascii="Times New Roman" w:cs="Times New Roman" w:eastAsia="Times New Roman" w:hAnsi="Times New Roman"/>
          <w:sz w:val="20"/>
          <w:szCs w:val="20"/>
          <w:color w:val="auto"/>
        </w:rPr>
        <w:t xml:space="preserve">”) any Replacement Debt unless (i) the Company shall have demonstrated, by delivery of an updated Base Case Forecast that (after taking into account the incurrence of such Replacement Debt) the Indenture Projected DSCR commencing on the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the Indenture Projected CFADS used to calculate the Indenture Projected DSCR shall assume, if such Replacement Debt is incurred prior to the Project Completion Date, that all Senior Secured Debt Commitments will be fully drawn, (ii) </w:t>
      </w:r>
      <w:r>
        <w:rPr>
          <w:rFonts w:ascii="Times New Roman" w:cs="Times New Roman" w:eastAsia="Times New Roman" w:hAnsi="Times New Roman"/>
          <w:sz w:val="20"/>
          <w:szCs w:val="20"/>
          <w:color w:val="auto"/>
          <w:strike w:val="1"/>
        </w:rPr>
        <w:t>a Rating Reaffirmation shall have occurred, (iii)</w:t>
      </w:r>
      <w:r>
        <w:rPr>
          <w:rFonts w:ascii="Times New Roman" w:cs="Times New Roman" w:eastAsia="Times New Roman" w:hAnsi="Times New Roman"/>
          <w:sz w:val="20"/>
          <w:szCs w:val="20"/>
          <w:color w:val="auto"/>
        </w:rPr>
        <w:t xml:space="preserve"> the weighted average life to maturity of the Replacement Debt shall be longer than the weighted average life to maturity of the Senior Secured Debt being replaced, and (</w:t>
      </w:r>
      <w:r>
        <w:rPr>
          <w:rFonts w:ascii="Times New Roman" w:cs="Times New Roman" w:eastAsia="Times New Roman" w:hAnsi="Times New Roman"/>
          <w:sz w:val="20"/>
          <w:szCs w:val="20"/>
          <w:color w:val="auto"/>
          <w:strike w:val="1"/>
        </w:rPr>
        <w:t>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iii</w:t>
      </w:r>
      <w:r>
        <w:rPr>
          <w:rFonts w:ascii="Times New Roman" w:cs="Times New Roman" w:eastAsia="Times New Roman" w:hAnsi="Times New Roman"/>
          <w:sz w:val="20"/>
          <w:szCs w:val="20"/>
          <w:color w:val="auto"/>
        </w:rPr>
        <w:t>) the final maturity date of the Replacement Debt shall occur after the maturity date of the Senior Secured Debt being replaced.</w:t>
      </w:r>
    </w:p>
    <w:p>
      <w:pPr>
        <w:spacing w:after="0" w:line="172" w:lineRule="exact"/>
        <w:rPr>
          <w:rFonts w:ascii="Times New Roman" w:cs="Times New Roman" w:eastAsia="Times New Roman" w:hAnsi="Times New Roman"/>
          <w:sz w:val="20"/>
          <w:szCs w:val="20"/>
          <w:color w:val="auto"/>
        </w:rPr>
      </w:pPr>
    </w:p>
    <w:p>
      <w:pPr>
        <w:ind w:left="1280" w:hanging="634"/>
        <w:spacing w:after="0" w:line="250" w:lineRule="auto"/>
        <w:tabs>
          <w:tab w:leader="none" w:pos="1131" w:val="left"/>
        </w:tabs>
        <w:numPr>
          <w:ilvl w:val="0"/>
          <w:numId w:val="4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not incur any Supplemental Debt (other than Funding Shortfall Debt which shall be governed by Section 4.7(d) below) in an amount greater than $250,000,000 unless (i) the Company shall have demonstrated by delivery of an updated Base Case Forecast that (after taking into account the incurrence of such Supplemental Debt) the Indenture Projected DSCR commencing on the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the Indenture Projected CFADS used to calculate the Indenture Projected DSCR shall assume that all commitments for Supplemental Debt will be fully drawn as of the date on which such Supplemental Debt is incurred and (ii) two Specified Rating Agencies that are then rating the Notes (or, if only one Specified Rating Agency is then rating the Notes, such agency) reaffirm that the rating of the Notes will not, as a result of the incurrence of such Supplemental Debt, be lower than the lower of (A) the rating as of the date of this indenture and (B) the rating of the Notes immediately prior to the incurrence of such Supplemental Debt.</w:t>
      </w:r>
    </w:p>
    <w:p>
      <w:pPr>
        <w:spacing w:after="0" w:line="186" w:lineRule="exact"/>
        <w:rPr>
          <w:rFonts w:ascii="Times New Roman" w:cs="Times New Roman" w:eastAsia="Times New Roman" w:hAnsi="Times New Roman"/>
          <w:sz w:val="20"/>
          <w:szCs w:val="20"/>
          <w:color w:val="auto"/>
        </w:rPr>
      </w:pPr>
    </w:p>
    <w:p>
      <w:pPr>
        <w:ind w:left="1280" w:hanging="634"/>
        <w:spacing w:after="0" w:line="265" w:lineRule="auto"/>
        <w:tabs>
          <w:tab w:leader="none" w:pos="1090" w:val="left"/>
        </w:tabs>
        <w:numPr>
          <w:ilvl w:val="0"/>
          <w:numId w:val="4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will not incur any Relevering Debt unless (i) prior to the Project Completion Date, (A) such Relevering Debt is Reinstatement Debt or (B) (1) the incurrence of such Relevering Debt would not cause the Debt to Equity Ratio to exceed 75:25 and (2) upon the incurrence of such Relevering Debt (other than Reinstatement Debt), the Notes shall be rated by at least one Specified Rating Agency and at least one such rating is equal to or better than “Baa3” by Moody’s, “BBB-” by S&amp;P, “BBB-” by Fitch, and (ii) following the Project Completion Date, (A) the Company shall have demonstrated by delivery of an updated Base Case Forecast that (after taking into account the incurrence of such Relevering Debt) the Indenture Projected DSCR commencing on the Initial Principal Payment Date and for each rolling four Fiscal Quarter period (as of the end of each Fiscal Quarter) through the Maturity Date shall not be less than 1.40:1.00 and (B) upon the incurrence of such Relevering Debt (other than Reinstatement Debt), the Notes shall be rated by at least one Specified Rating Agency and at least one such rating is equal to or better than “Baa3” by Moody’s, “BBB-” by S&amp;P, “BBB-” by Fitch.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04" w:name="page405"/>
    <w:bookmarkEnd w:id="404"/>
    <w:p>
      <w:pPr>
        <w:jc w:val="right"/>
        <w:ind w:left="1280" w:hanging="634"/>
        <w:spacing w:after="0" w:line="265" w:lineRule="auto"/>
        <w:tabs>
          <w:tab w:leader="none" w:pos="1147" w:val="left"/>
        </w:tabs>
        <w:numPr>
          <w:ilvl w:val="0"/>
          <w:numId w:val="4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will not incur any Funding Shortfall Debt unless (i) the Company shall have demonstrated by delivery of an updated Base Case Forecast that (after taking into account the incurrence of such Funding Shortfall Debt) the Indenture Projected DSCR commencing on Initial Principal Payment Date and for each rolling four Fiscal Quarter period (as of the end of each Fiscal Quarter) through the Maturity Date shall not be less than 1.40:1.00;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this </w:t>
      </w:r>
      <w:r>
        <w:rPr>
          <w:rFonts w:ascii="Times New Roman" w:cs="Times New Roman" w:eastAsia="Times New Roman" w:hAnsi="Times New Roman"/>
          <w:sz w:val="19"/>
          <w:szCs w:val="19"/>
          <w:u w:val="single" w:color="auto"/>
          <w:color w:val="auto"/>
        </w:rPr>
        <w:t>clause</w:t>
      </w:r>
    </w:p>
    <w:p>
      <w:pPr>
        <w:spacing w:after="0" w:line="2" w:lineRule="exact"/>
        <w:rPr>
          <w:rFonts w:ascii="Times New Roman" w:cs="Times New Roman" w:eastAsia="Times New Roman" w:hAnsi="Times New Roman"/>
          <w:sz w:val="19"/>
          <w:szCs w:val="19"/>
          <w:color w:val="auto"/>
        </w:rPr>
      </w:pPr>
    </w:p>
    <w:p>
      <w:pPr>
        <w:jc w:val="both"/>
        <w:ind w:left="128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the Indenture Projected CFADS used to calculate the Indenture Projected DSCR shall assume, if such Funding Shortfall Debt is incurred prior to the Project Completion Date, that all commitments for Funding Shortfall Debt will be fully drawn as of the date on which such Funding Shortfall Debt is incurred and (ii) a Rating Reaffirmation shall have occurred.</w:t>
      </w:r>
    </w:p>
    <w:p>
      <w:pPr>
        <w:spacing w:after="0" w:line="160" w:lineRule="exact"/>
        <w:rPr>
          <w:rFonts w:ascii="Times New Roman" w:cs="Times New Roman" w:eastAsia="Times New Roman" w:hAnsi="Times New Roman"/>
          <w:sz w:val="19"/>
          <w:szCs w:val="19"/>
          <w:color w:val="auto"/>
        </w:rPr>
      </w:pPr>
    </w:p>
    <w:p>
      <w:pPr>
        <w:ind w:left="1060" w:hanging="414"/>
        <w:spacing w:after="0"/>
        <w:tabs>
          <w:tab w:leader="none" w:pos="1060" w:val="left"/>
        </w:tabs>
        <w:numPr>
          <w:ilvl w:val="0"/>
          <w:numId w:val="4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incur any Working Capital Debt unless each of the following conditions is satisfied:</w:t>
      </w:r>
    </w:p>
    <w:p>
      <w:pPr>
        <w:spacing w:after="0" w:line="202" w:lineRule="exact"/>
        <w:rPr>
          <w:rFonts w:ascii="Times New Roman" w:cs="Times New Roman" w:eastAsia="Times New Roman" w:hAnsi="Times New Roman"/>
          <w:sz w:val="20"/>
          <w:szCs w:val="20"/>
          <w:color w:val="auto"/>
        </w:rPr>
      </w:pPr>
    </w:p>
    <w:p>
      <w:pPr>
        <w:ind w:left="1920" w:hanging="636"/>
        <w:spacing w:after="0" w:line="283" w:lineRule="auto"/>
        <w:tabs>
          <w:tab w:leader="none" w:pos="1865" w:val="left"/>
        </w:tabs>
        <w:numPr>
          <w:ilvl w:val="1"/>
          <w:numId w:val="4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Working Capital Debt (including the then-outstanding funded and unfunded commitments in respect of the CD Revolving Loans) may not at any time exceed $3,000,000,000; and</w:t>
      </w:r>
    </w:p>
    <w:p>
      <w:pPr>
        <w:spacing w:after="0" w:line="132" w:lineRule="exact"/>
        <w:rPr>
          <w:rFonts w:ascii="Times New Roman" w:cs="Times New Roman" w:eastAsia="Times New Roman" w:hAnsi="Times New Roman"/>
          <w:sz w:val="20"/>
          <w:szCs w:val="20"/>
          <w:color w:val="auto"/>
        </w:rPr>
      </w:pPr>
    </w:p>
    <w:p>
      <w:pPr>
        <w:ind w:left="1720" w:hanging="436"/>
        <w:spacing w:after="0"/>
        <w:tabs>
          <w:tab w:leader="none" w:pos="1720" w:val="left"/>
        </w:tabs>
        <w:numPr>
          <w:ilvl w:val="1"/>
          <w:numId w:val="4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 set forth in Section 2.3(c)(ii) of the Common Terms Agreement has been satisfied.</w:t>
      </w:r>
    </w:p>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9"/>
          <w:szCs w:val="19"/>
          <w:u w:val="single" w:color="auto"/>
          <w:color w:val="auto"/>
        </w:rPr>
        <w:t>Maintenance of Designated Offtake Agreements</w:t>
      </w:r>
    </w:p>
    <w:p>
      <w:pPr>
        <w:spacing w:after="0" w:line="198" w:lineRule="exact"/>
        <w:rPr>
          <w:sz w:val="20"/>
          <w:szCs w:val="20"/>
          <w:color w:val="auto"/>
        </w:rPr>
      </w:pPr>
    </w:p>
    <w:p>
      <w:pPr>
        <w:ind w:left="1280" w:hanging="634"/>
        <w:spacing w:after="0" w:line="249" w:lineRule="auto"/>
        <w:tabs>
          <w:tab w:leader="none" w:pos="1100" w:val="left"/>
        </w:tabs>
        <w:numPr>
          <w:ilvl w:val="0"/>
          <w:numId w:val="4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at all times maintain </w:t>
      </w:r>
      <w:r>
        <w:rPr>
          <w:rFonts w:ascii="Times New Roman" w:cs="Times New Roman" w:eastAsia="Times New Roman" w:hAnsi="Times New Roman"/>
          <w:sz w:val="20"/>
          <w:szCs w:val="20"/>
          <w:color w:val="auto"/>
          <w:strike w:val="1"/>
        </w:rPr>
        <w:t>and designate, by written notice to the P1 Intercreditor Agent, Qualified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Designated</w:t>
      </w:r>
      <w:r>
        <w:rPr>
          <w:rFonts w:ascii="Times New Roman" w:cs="Times New Roman" w:eastAsia="Times New Roman" w:hAnsi="Times New Roman"/>
          <w:sz w:val="20"/>
          <w:szCs w:val="20"/>
          <w:color w:val="auto"/>
        </w:rPr>
        <w:t xml:space="preserve"> Offtake Agreements providing for commitments to purchase LNG in quantities at least equal to the Base Committed Quantity for each such Qualified Offtake Agreement’s applicable Qualified Term. If any Qualified Offtake Agreement has terminated, the Company shall either (i) designate another Qualified Offtake Agreement or enter into one or more additional Qualified Offtake Agreements within 180 days following such termination to the extent necessary to meet the Base Committed Quantity (provided that if at the end of such 180-day period, the Company is diligently pursuing one or more replacement Qualified Offtake Agreements, such period will be extended for an additional period (not to exceed ninety days) during which the Company reasonably expects to enter into such replacement Qualified Offtake Agreement(s) as long as the implementation of such extension could not reasonably be expected to result in a Material Adverse Effect) or (ii) make a prepayment, offer to make a prepayment (including any offer pursuant to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cancel commitments in respect of Senior Secured Debt. The principal amount of the Senior Secured Debt (which shall not extend to any Working Capital Debt unless only Working Capital Debt is then outstanding) that the Company shall repay or offer to prepay and/or the amount of undrawn Senior Secured Debt commitments that the Company shall cancel in accordance with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(x) the aggregate principal amount of Senior Secured Debt (excluding principal amounts with respect to Working Capital Debt unless only Working Capital Debt is then outstanding) then outstanding plus the aggregate principal amount of undrawn Senior Secured Debt Commitments (except with respect to Working Capital Debt unless only Working Capital Debt is then outstanding) less (y) the maximum principal amount of Senior Secured Debt that can be incurred or remain outstanding without producing an Indenture Projected DSCR of less than 1.20:1.00 for the period starting from the first Quarterly Payment Date for the repayment of principal after the end of the applicable cure period to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05" w:name="page406"/>
    <w:bookmarkEnd w:id="405"/>
    <w:p>
      <w:pPr>
        <w:jc w:val="both"/>
        <w:ind w:left="1280"/>
        <w:spacing w:after="0" w:line="258" w:lineRule="auto"/>
        <w:rPr>
          <w:sz w:val="20"/>
          <w:szCs w:val="20"/>
          <w:color w:val="auto"/>
        </w:rPr>
      </w:pPr>
      <w:r>
        <w:rPr>
          <w:rFonts w:ascii="Times New Roman" w:cs="Times New Roman" w:eastAsia="Times New Roman" w:hAnsi="Times New Roman"/>
          <w:sz w:val="20"/>
          <w:szCs w:val="20"/>
          <w:color w:val="auto"/>
        </w:rPr>
        <w:t xml:space="preserve">calendar year in which such Quarterly Payment Date occurs, and for each calendar year thereafter through the Maturity Date (based on a Base Case Forecast updated only to take into account each Qualified Offtake Agreement in effect at such time (including any new Qualified Offtake Agreements entered into to replace an Offtake Agreement whose termination triggered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280" w:hanging="634"/>
        <w:spacing w:after="0" w:line="283" w:lineRule="auto"/>
        <w:tabs>
          <w:tab w:leader="none" w:pos="1175" w:val="left"/>
        </w:tabs>
        <w:numPr>
          <w:ilvl w:val="0"/>
          <w:numId w:val="4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permit the occurrence of any Impairment of any Required Export Authorization in respect of any Designated Offtake Agreement unless the Company:</w:t>
      </w:r>
    </w:p>
    <w:p>
      <w:pPr>
        <w:spacing w:after="0" w:line="132" w:lineRule="exact"/>
        <w:rPr>
          <w:rFonts w:ascii="Times New Roman" w:cs="Times New Roman" w:eastAsia="Times New Roman" w:hAnsi="Times New Roman"/>
          <w:sz w:val="20"/>
          <w:szCs w:val="20"/>
          <w:color w:val="auto"/>
        </w:rPr>
      </w:pPr>
    </w:p>
    <w:p>
      <w:pPr>
        <w:ind w:left="1920" w:hanging="636"/>
        <w:spacing w:after="0" w:line="253" w:lineRule="auto"/>
        <w:tabs>
          <w:tab w:leader="none" w:pos="1668" w:val="left"/>
        </w:tabs>
        <w:numPr>
          <w:ilvl w:val="1"/>
          <w:numId w:val="4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a reasonable remediation plan (setting forth in reasonable detail proposed steps to reinstate the Required Export Authorization, to designate any existing Qualified Offtake Agreement as a Designated Offtake Agreement, or to modify any Designated Offtake Agreement arrangements, such as through diversions or alternative delivery or sale arrangements, such that such DOE Export Authorization is no longer a Required Export Authorization within 360 days following such occurrence) with respect to any or all such Designated Offtake Agreements (each such item an “</w:t>
      </w:r>
      <w:r>
        <w:rPr>
          <w:rFonts w:ascii="Times New Roman" w:cs="Times New Roman" w:eastAsia="Times New Roman" w:hAnsi="Times New Roman"/>
          <w:sz w:val="20"/>
          <w:szCs w:val="20"/>
          <w:b w:val="1"/>
          <w:bCs w:val="1"/>
          <w:color w:val="auto"/>
        </w:rPr>
        <w:t>Export Authorization Remediation</w:t>
      </w:r>
      <w:r>
        <w:rPr>
          <w:rFonts w:ascii="Times New Roman" w:cs="Times New Roman" w:eastAsia="Times New Roman" w:hAnsi="Times New Roman"/>
          <w:sz w:val="20"/>
          <w:szCs w:val="20"/>
          <w:color w:val="auto"/>
        </w:rPr>
        <w:t>”) within thirty days following such occurrence;</w:t>
      </w:r>
    </w:p>
    <w:p>
      <w:pPr>
        <w:spacing w:after="0" w:line="165" w:lineRule="exact"/>
        <w:rPr>
          <w:rFonts w:ascii="Times New Roman" w:cs="Times New Roman" w:eastAsia="Times New Roman" w:hAnsi="Times New Roman"/>
          <w:sz w:val="20"/>
          <w:szCs w:val="20"/>
          <w:color w:val="auto"/>
        </w:rPr>
      </w:pPr>
    </w:p>
    <w:p>
      <w:pPr>
        <w:ind w:left="1720" w:hanging="436"/>
        <w:spacing w:after="0"/>
        <w:tabs>
          <w:tab w:leader="none" w:pos="1720" w:val="left"/>
        </w:tabs>
        <w:numPr>
          <w:ilvl w:val="1"/>
          <w:numId w:val="4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diligently pursues such Export Authorization Remediation; and</w:t>
      </w:r>
    </w:p>
    <w:p>
      <w:pPr>
        <w:spacing w:after="0" w:line="202" w:lineRule="exact"/>
        <w:rPr>
          <w:rFonts w:ascii="Times New Roman" w:cs="Times New Roman" w:eastAsia="Times New Roman" w:hAnsi="Times New Roman"/>
          <w:sz w:val="20"/>
          <w:szCs w:val="20"/>
          <w:color w:val="auto"/>
        </w:rPr>
      </w:pPr>
    </w:p>
    <w:p>
      <w:pPr>
        <w:jc w:val="both"/>
        <w:ind w:left="1920" w:hanging="636"/>
        <w:spacing w:after="0" w:line="249" w:lineRule="auto"/>
        <w:tabs>
          <w:tab w:leader="none" w:pos="1948" w:val="left"/>
        </w:tabs>
        <w:numPr>
          <w:ilvl w:val="1"/>
          <w:numId w:val="4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causes such Export Authorization Remediation to take effect within 180 days following the occurrence of the Impairment;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Company shall have a further 180 days to effect an Export Authorization Remediation if the following conditions are met: (A) the Company is diligently pursuing its plan for the Export Authorization Remediation; (B) the Impairment of the Required Export Authorization of such Designated Offtake Agreement could not reasonably be expected to result in a Material Adverse Effect during such subsequent cure period; and (C) the Trustee has received a certification from the Company, prior to the expiration of the initial 180 day period, confirming that the conditions in subparts (A) and (B) of this proviso have been met, together with documentation reasonably supporting its certification, which may include, to the extent relevant and applicable, a description of the plans being undertaken for the Export Authorization Remediation (although commercially sensitive information may be omitted), any measures being taken by the Company to address the underlying cause of the Impairment to the extent relevant to the Impairment and Export Authorization Remediation, any legal measures being undertaken to reverse the Impairment, any interim cash flow mitigation measures being taken by the Company (including sales of spot cargoes), any modification to Offtake Agreement arrangements such that the Impaired DOE Export Authorization is no longer a Required Export Authorization with respect to any or all such Designated Offtake Agreements, and the impact on the Company projected Cash Flow during the subsequent cure period, and the Trustee (acting at the instruction of the Noteholders of a majority in aggregate principal amount of the Notes then outstanding, which instructions shall be given by the Noteholders acting reasonably) has not objected to such certification within thirty days following delivery thereof.</w:t>
      </w:r>
    </w:p>
    <w:p>
      <w:pPr>
        <w:spacing w:after="0" w:line="183" w:lineRule="exact"/>
        <w:rPr>
          <w:rFonts w:ascii="Times New Roman" w:cs="Times New Roman" w:eastAsia="Times New Roman" w:hAnsi="Times New Roman"/>
          <w:sz w:val="20"/>
          <w:szCs w:val="20"/>
          <w:color w:val="auto"/>
        </w:rPr>
      </w:pPr>
    </w:p>
    <w:p>
      <w:pPr>
        <w:ind w:left="1280" w:hanging="634"/>
        <w:spacing w:after="0" w:line="273" w:lineRule="auto"/>
        <w:tabs>
          <w:tab w:leader="none" w:pos="1131" w:val="left"/>
        </w:tabs>
        <w:numPr>
          <w:ilvl w:val="0"/>
          <w:numId w:val="4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color w:val="auto"/>
          <w:strike w:val="1"/>
        </w:rPr>
        <w:t>Issuer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xml:space="preserve"> shall not consent to any sale, transfer, assignment or disposition by any counterparty to a Designated Offtake Agreement of its interest in or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06" w:name="page407"/>
    <w:bookmarkEnd w:id="406"/>
    <w:p>
      <w:pPr>
        <w:jc w:val="both"/>
        <w:ind w:left="1280"/>
        <w:spacing w:after="0" w:line="265" w:lineRule="auto"/>
        <w:rPr>
          <w:sz w:val="20"/>
          <w:szCs w:val="20"/>
          <w:color w:val="auto"/>
        </w:rPr>
      </w:pPr>
      <w:r>
        <w:rPr>
          <w:rFonts w:ascii="Times New Roman" w:cs="Times New Roman" w:eastAsia="Times New Roman" w:hAnsi="Times New Roman"/>
          <w:sz w:val="19"/>
          <w:szCs w:val="19"/>
          <w:color w:val="auto"/>
        </w:rPr>
        <w:t>obligations under such Designated Offtake Agreement (if the Company has such consent rights under the applicable Designated Offtake Agreement) except for (i) as could not reasonably be expected to have a Material Adverse Effect, (ii) any assignments and transfers permitted or contemplated in the P1 Collateral Documents, (iii) assignments by a counterparty to its Affiliate as contemplated in, and in accordance with the terms of, the applicable Designated Offtake Agreement, and (iv) any assignments to any other Person so long as, (A) after giving effect to such assignment, the Company shall have received written confirmation from any Specified Rating Agency to the effect that the Specified Rating Agency has considered the contemplated transaction and that, if such event occurs, such Specified Rating Agency would reaffirm the then current rating of the Notes (or assign a higher rating) as of the date of such event or (B) the assignee of such Designated Offtake Agreement has at least one rating from any Recognized Credit Rating Agency that is the same or better than any rating of the original counterparty to such Designated Offtake Agreement by any Recognized Credit Rating Agency.</w:t>
      </w:r>
    </w:p>
    <w:p>
      <w:pPr>
        <w:spacing w:after="0" w:line="16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19"/>
          <w:szCs w:val="19"/>
          <w:u w:val="single" w:color="auto"/>
          <w:color w:val="auto"/>
        </w:rPr>
        <w:t>Maintenance of Liens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Without limiting the right of the Company to consummate Asset Sales in accordance with the Common Terms Agreement, the Company will preserve and maintain good, legal and valid title to, or rights in, the Collateral free and clear of Liens (other than Permitted Liens).</w:t>
      </w:r>
    </w:p>
    <w:p>
      <w:pPr>
        <w:spacing w:after="0" w:line="15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19"/>
          <w:szCs w:val="19"/>
          <w:u w:val="single" w:color="auto"/>
          <w:color w:val="auto"/>
        </w:rPr>
        <w:t>Maintenance of Ratings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Company shall use its commercially reasonable efforts to cause the Notes to be rated by at least one of Moody’s, S&amp;P or Fitch.</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u w:val="single" w:color="auto"/>
          <w:color w:val="auto"/>
        </w:rPr>
        <w:t>Payments for Consent</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Company will not pay or cause to be paid, directly or indirectly, any consideration to or for the benefit of any Noteholder, in its capacity as a Noteholder, for or as an inducement to any consent, waiver or amendment of any of the terms or provisions of this Indenture or the Notes unless such consideration is offered to be paid and is paid on the same terms, ratably to all Noteholders that consent, waive or agree to amend in the time frame set forth in the solicitation documents relating to such consent, waiver or agreement. The Company will provide each Noteholder with reasonably detailed information, reasonably far in advance of the date a decision is required, to enable such holder to make an informed and considered decision with respect to any proposed amendment, waiver or consent to the Indenture or the Notes for which the consent of Noteholders is required under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hereof.</w:t>
      </w:r>
    </w:p>
    <w:p>
      <w:pPr>
        <w:spacing w:after="0" w:line="16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19"/>
          <w:szCs w:val="19"/>
          <w:u w:val="single" w:color="auto"/>
          <w:color w:val="auto"/>
        </w:rPr>
        <w:t>Offer to Repurchase Upon Change of Control Triggering Event</w:t>
      </w:r>
    </w:p>
    <w:p>
      <w:pPr>
        <w:spacing w:after="0" w:line="198" w:lineRule="exact"/>
        <w:rPr>
          <w:sz w:val="20"/>
          <w:szCs w:val="20"/>
          <w:color w:val="auto"/>
        </w:rPr>
      </w:pPr>
    </w:p>
    <w:p>
      <w:pPr>
        <w:ind w:left="1280" w:hanging="634"/>
        <w:spacing w:after="0" w:line="254" w:lineRule="auto"/>
        <w:tabs>
          <w:tab w:leader="none" w:pos="1062" w:val="left"/>
        </w:tabs>
        <w:numPr>
          <w:ilvl w:val="0"/>
          <w:numId w:val="4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 Change of Control Triggering Event, the Company will make an offer (a “</w:t>
      </w:r>
      <w:r>
        <w:rPr>
          <w:rFonts w:ascii="Times New Roman" w:cs="Times New Roman" w:eastAsia="Times New Roman" w:hAnsi="Times New Roman"/>
          <w:sz w:val="20"/>
          <w:szCs w:val="20"/>
          <w:b w:val="1"/>
          <w:bCs w:val="1"/>
          <w:color w:val="auto"/>
        </w:rPr>
        <w:t>Change of Control Offer</w:t>
      </w:r>
      <w:r>
        <w:rPr>
          <w:rFonts w:ascii="Times New Roman" w:cs="Times New Roman" w:eastAsia="Times New Roman" w:hAnsi="Times New Roman"/>
          <w:sz w:val="20"/>
          <w:szCs w:val="20"/>
          <w:color w:val="auto"/>
        </w:rPr>
        <w:t xml:space="preserve">”) to each Noteholder to repurchase all or any part (equal to $100,000 or an integral multiple of $1,000 in excess thereof) of that Noteholder’s Notes at a purchase price in cash equal to 101% of the aggregate principal amount of Notes repurchased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on the Notes repurchased to, but not including, the date of repurchase, subject to the rights of Noteholders on the relevant record date to receive interest due on the relevant Interest Payment Date (the “</w:t>
      </w:r>
      <w:r>
        <w:rPr>
          <w:rFonts w:ascii="Times New Roman" w:cs="Times New Roman" w:eastAsia="Times New Roman" w:hAnsi="Times New Roman"/>
          <w:sz w:val="20"/>
          <w:szCs w:val="20"/>
          <w:b w:val="1"/>
          <w:bCs w:val="1"/>
          <w:color w:val="auto"/>
        </w:rPr>
        <w:t>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 Control Payment</w:t>
      </w:r>
      <w:r>
        <w:rPr>
          <w:rFonts w:ascii="Times New Roman" w:cs="Times New Roman" w:eastAsia="Times New Roman" w:hAnsi="Times New Roman"/>
          <w:sz w:val="20"/>
          <w:szCs w:val="20"/>
          <w:color w:val="auto"/>
        </w:rPr>
        <w:t>”). No later than thirty days following any Change of Control Triggering Event, the Company will mail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deliver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07" w:name="page408"/>
    <w:bookmarkEnd w:id="407"/>
    <w:p>
      <w:pPr>
        <w:ind w:left="1280"/>
        <w:spacing w:after="0" w:line="283" w:lineRule="auto"/>
        <w:rPr>
          <w:sz w:val="20"/>
          <w:szCs w:val="20"/>
          <w:color w:val="auto"/>
        </w:rPr>
      </w:pPr>
      <w:r>
        <w:rPr>
          <w:rFonts w:ascii="Times New Roman" w:cs="Times New Roman" w:eastAsia="Times New Roman" w:hAnsi="Times New Roman"/>
          <w:sz w:val="20"/>
          <w:szCs w:val="20"/>
          <w:color w:val="auto"/>
        </w:rPr>
        <w:t>a notice to each Noteholder describing the transaction or transactions that constitute the Change of Control Triggering Event and stating:</w:t>
      </w:r>
    </w:p>
    <w:p>
      <w:pPr>
        <w:spacing w:after="0" w:line="133" w:lineRule="exact"/>
        <w:rPr>
          <w:sz w:val="20"/>
          <w:szCs w:val="20"/>
          <w:color w:val="auto"/>
        </w:rPr>
      </w:pPr>
    </w:p>
    <w:p>
      <w:pPr>
        <w:ind w:left="1920" w:right="20" w:hanging="636"/>
        <w:spacing w:after="0" w:line="269" w:lineRule="auto"/>
        <w:tabs>
          <w:tab w:leader="none" w:pos="1671" w:val="left"/>
        </w:tabs>
        <w:numPr>
          <w:ilvl w:val="0"/>
          <w:numId w:val="4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the Change of Control Offer is being made pursuant to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and that all Notes tendered will be accepted for payment;</w:t>
      </w:r>
    </w:p>
    <w:p>
      <w:pPr>
        <w:spacing w:after="0" w:line="159" w:lineRule="exact"/>
        <w:rPr>
          <w:rFonts w:ascii="Times New Roman" w:cs="Times New Roman" w:eastAsia="Times New Roman" w:hAnsi="Times New Roman"/>
          <w:sz w:val="20"/>
          <w:szCs w:val="20"/>
          <w:color w:val="auto"/>
        </w:rPr>
      </w:pPr>
    </w:p>
    <w:p>
      <w:pPr>
        <w:ind w:left="1920" w:hanging="636"/>
        <w:spacing w:after="0" w:line="269" w:lineRule="auto"/>
        <w:tabs>
          <w:tab w:leader="none" w:pos="1729" w:val="left"/>
        </w:tabs>
        <w:numPr>
          <w:ilvl w:val="0"/>
          <w:numId w:val="4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and the purchase date, which shall be no earlier than thirty days and no later than sixty days from the date such notice is mailed or delivered electronically (the “</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780" w:hanging="496"/>
        <w:spacing w:after="0"/>
        <w:tabs>
          <w:tab w:leader="none" w:pos="1780" w:val="left"/>
        </w:tabs>
        <w:numPr>
          <w:ilvl w:val="0"/>
          <w:numId w:val="4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Note not tendered will continue to accrete or accrue interest;</w:t>
      </w:r>
    </w:p>
    <w:p>
      <w:pPr>
        <w:spacing w:after="0" w:line="202" w:lineRule="exact"/>
        <w:rPr>
          <w:rFonts w:ascii="Times New Roman" w:cs="Times New Roman" w:eastAsia="Times New Roman" w:hAnsi="Times New Roman"/>
          <w:sz w:val="20"/>
          <w:szCs w:val="20"/>
          <w:color w:val="auto"/>
        </w:rPr>
      </w:pPr>
    </w:p>
    <w:p>
      <w:pPr>
        <w:ind w:left="1920" w:right="20" w:hanging="636"/>
        <w:spacing w:after="0" w:line="261" w:lineRule="auto"/>
        <w:tabs>
          <w:tab w:leader="none" w:pos="1808" w:val="left"/>
        </w:tabs>
        <w:numPr>
          <w:ilvl w:val="0"/>
          <w:numId w:val="4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Company defaults in the payment of the Change of Control Payment, all Notes accepted for payment pursuant to the Change of Control Offer will cease to accrete or accrue interest after the Change of Control Payment Date;</w:t>
      </w:r>
    </w:p>
    <w:p>
      <w:pPr>
        <w:spacing w:after="0" w:line="154" w:lineRule="exact"/>
        <w:rPr>
          <w:rFonts w:ascii="Times New Roman" w:cs="Times New Roman" w:eastAsia="Times New Roman" w:hAnsi="Times New Roman"/>
          <w:sz w:val="20"/>
          <w:szCs w:val="20"/>
          <w:color w:val="auto"/>
        </w:rPr>
      </w:pPr>
    </w:p>
    <w:p>
      <w:pPr>
        <w:ind w:left="1920" w:hanging="636"/>
        <w:spacing w:after="0" w:line="258" w:lineRule="auto"/>
        <w:tabs>
          <w:tab w:leader="none" w:pos="1827" w:val="left"/>
        </w:tabs>
        <w:numPr>
          <w:ilvl w:val="0"/>
          <w:numId w:val="4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electing to have any Notes purchased pursuant to a Change of Control Offer will be required to surrender the Notes, with the form entitled “</w:t>
      </w:r>
      <w:r>
        <w:rPr>
          <w:rFonts w:ascii="Times New Roman" w:cs="Times New Roman" w:eastAsia="Times New Roman" w:hAnsi="Times New Roman"/>
          <w:sz w:val="20"/>
          <w:szCs w:val="20"/>
          <w:i w:val="1"/>
          <w:iCs w:val="1"/>
          <w:color w:val="auto"/>
        </w:rPr>
        <w:t>Option of Noteholder to Elect Purchase</w:t>
      </w:r>
      <w:r>
        <w:rPr>
          <w:rFonts w:ascii="Times New Roman" w:cs="Times New Roman" w:eastAsia="Times New Roman" w:hAnsi="Times New Roman"/>
          <w:sz w:val="20"/>
          <w:szCs w:val="20"/>
          <w:color w:val="auto"/>
        </w:rPr>
        <w:t>” attached to the Notes completed, or transfer by book-entry transfer, to the Paying Agent at the address specified in the notice prior to the close of business on the third Business Day preceding the Change of Control Payment Date;</w:t>
      </w:r>
    </w:p>
    <w:p>
      <w:pPr>
        <w:spacing w:after="0" w:line="158" w:lineRule="exact"/>
        <w:rPr>
          <w:rFonts w:ascii="Times New Roman" w:cs="Times New Roman" w:eastAsia="Times New Roman" w:hAnsi="Times New Roman"/>
          <w:sz w:val="20"/>
          <w:szCs w:val="20"/>
          <w:color w:val="auto"/>
        </w:rPr>
      </w:pPr>
    </w:p>
    <w:p>
      <w:pPr>
        <w:ind w:left="1920" w:hanging="636"/>
        <w:spacing w:after="0" w:line="258" w:lineRule="auto"/>
        <w:tabs>
          <w:tab w:leader="none" w:pos="1842" w:val="left"/>
        </w:tabs>
        <w:numPr>
          <w:ilvl w:val="0"/>
          <w:numId w:val="4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will be entitled to withdraw their election if the Paying Agent receives, not later than the close of business on the second Business Day preceding the Change of Control Payment Date, electronically or by mail a notice setting forth the name of the Noteholder, the principal amount of Notes delivered for purchase, and a statement that such Noteholder is withdrawing his election to have the Notes purchased; and</w:t>
      </w:r>
    </w:p>
    <w:p>
      <w:pPr>
        <w:spacing w:after="0" w:line="158" w:lineRule="exact"/>
        <w:rPr>
          <w:rFonts w:ascii="Times New Roman" w:cs="Times New Roman" w:eastAsia="Times New Roman" w:hAnsi="Times New Roman"/>
          <w:sz w:val="20"/>
          <w:szCs w:val="20"/>
          <w:color w:val="auto"/>
        </w:rPr>
      </w:pPr>
    </w:p>
    <w:p>
      <w:pPr>
        <w:ind w:left="1920" w:hanging="636"/>
        <w:spacing w:after="0" w:line="261" w:lineRule="auto"/>
        <w:tabs>
          <w:tab w:leader="none" w:pos="1845" w:val="left"/>
        </w:tabs>
        <w:numPr>
          <w:ilvl w:val="0"/>
          <w:numId w:val="4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Noteholders whose Notes are being purchased only in part will be issued new Notes equal in principal amount to the unpurchased portion of the Notes surrendered, which unpurchased portion must be equal to $100,000 in principal amount or an integral multiple of $1,000 in excess thereof.</w:t>
      </w:r>
    </w:p>
    <w:p>
      <w:pPr>
        <w:spacing w:after="0" w:line="168" w:lineRule="exact"/>
        <w:rPr>
          <w:sz w:val="20"/>
          <w:szCs w:val="20"/>
          <w:color w:val="auto"/>
        </w:rPr>
      </w:pPr>
    </w:p>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 xml:space="preserve">The Company shall comply with the requirements of Rule 14e-1 under the Exchange Act and any other securities laws and regulations thereunder to the extent such laws and regulations are applicable in connection with the repurchase of the Notes as a result of a Change of Control Triggering Event. To the extent that the provisions of any securities laws or regulations conflict with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or compliance with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would constitute a violation of any such laws or regulations, the Company shall comply with the applicable securities laws and regulations and will not be deemed to have breached its obligations under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by virtue of such compliance.</w:t>
      </w:r>
    </w:p>
    <w:p>
      <w:pPr>
        <w:spacing w:after="0" w:line="165" w:lineRule="exact"/>
        <w:rPr>
          <w:sz w:val="20"/>
          <w:szCs w:val="20"/>
          <w:color w:val="auto"/>
        </w:rPr>
      </w:pPr>
    </w:p>
    <w:p>
      <w:pPr>
        <w:ind w:left="1080" w:hanging="434"/>
        <w:spacing w:after="0"/>
        <w:tabs>
          <w:tab w:leader="none" w:pos="1080" w:val="left"/>
        </w:tabs>
        <w:numPr>
          <w:ilvl w:val="0"/>
          <w:numId w:val="4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Change of Control Payment Date, the Company will, to the extent lawful:</w:t>
      </w:r>
    </w:p>
    <w:p>
      <w:pPr>
        <w:spacing w:after="0" w:line="202" w:lineRule="exact"/>
        <w:rPr>
          <w:rFonts w:ascii="Times New Roman" w:cs="Times New Roman" w:eastAsia="Times New Roman" w:hAnsi="Times New Roman"/>
          <w:sz w:val="20"/>
          <w:szCs w:val="20"/>
          <w:color w:val="auto"/>
        </w:rPr>
      </w:pPr>
    </w:p>
    <w:p>
      <w:pPr>
        <w:ind w:left="1660" w:hanging="376"/>
        <w:spacing w:after="0"/>
        <w:tabs>
          <w:tab w:leader="none" w:pos="1660" w:val="left"/>
        </w:tabs>
        <w:numPr>
          <w:ilvl w:val="1"/>
          <w:numId w:val="4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for payment all Notes or portions of Notes properly tendered pursuant to the Change of Control Offer;</w:t>
      </w:r>
    </w:p>
    <w:p>
      <w:pPr>
        <w:spacing w:after="0" w:line="202" w:lineRule="exact"/>
        <w:rPr>
          <w:rFonts w:ascii="Times New Roman" w:cs="Times New Roman" w:eastAsia="Times New Roman" w:hAnsi="Times New Roman"/>
          <w:sz w:val="20"/>
          <w:szCs w:val="20"/>
          <w:color w:val="auto"/>
        </w:rPr>
      </w:pPr>
    </w:p>
    <w:p>
      <w:pPr>
        <w:ind w:left="1920" w:right="20" w:hanging="636"/>
        <w:spacing w:after="0" w:line="283" w:lineRule="auto"/>
        <w:tabs>
          <w:tab w:leader="none" w:pos="1736" w:val="left"/>
        </w:tabs>
        <w:numPr>
          <w:ilvl w:val="1"/>
          <w:numId w:val="4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the Paying Agent an amount equal to the Change of Control Payment in respect of all Notes or portions of Notes properly tendered;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08" w:name="page409"/>
    <w:bookmarkEnd w:id="408"/>
    <w:p>
      <w:pPr>
        <w:ind w:left="1920" w:hanging="636"/>
        <w:spacing w:after="0" w:line="283" w:lineRule="auto"/>
        <w:tabs>
          <w:tab w:leader="none" w:pos="1782" w:val="left"/>
        </w:tabs>
        <w:numPr>
          <w:ilvl w:val="0"/>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or cause to be delivered to the Trustee the Notes properly accepted together with an Officer’s Certificate stating the aggregate principal amount of Notes or portions of Notes being purchased by the Company.</w:t>
      </w:r>
    </w:p>
    <w:p>
      <w:pPr>
        <w:spacing w:after="0" w:line="133" w:lineRule="exact"/>
        <w:rPr>
          <w:sz w:val="20"/>
          <w:szCs w:val="20"/>
          <w:color w:val="auto"/>
        </w:rPr>
      </w:pPr>
    </w:p>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 xml:space="preserve">The Paying Agent will promptly mail or electronically transmit (but in any case not later than five days after the Change of Control Payment Date) to each Noteholder properly tendered the Change of Control Payment for such Notes, and the Trustee will promptly authenticate and mail (or cause to be transferred by book entry) to each Noteholder a new Note equal in principal amount to any unpurchased portion of the Notes surrendered, if 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such new Note will be in a principal amount of $100,000 or an integral multiple of $1,000 in excess thereof.</w:t>
      </w:r>
    </w:p>
    <w:p>
      <w:pPr>
        <w:spacing w:after="0" w:line="165" w:lineRule="exact"/>
        <w:rPr>
          <w:sz w:val="20"/>
          <w:szCs w:val="20"/>
          <w:color w:val="auto"/>
        </w:rPr>
      </w:pPr>
    </w:p>
    <w:p>
      <w:pPr>
        <w:ind w:left="1280" w:hanging="634"/>
        <w:spacing w:after="0" w:line="253" w:lineRule="auto"/>
        <w:tabs>
          <w:tab w:leader="none" w:pos="1080" w:val="left"/>
        </w:tabs>
        <w:numPr>
          <w:ilvl w:val="0"/>
          <w:numId w:val="4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Noteholders of not less than 90% in aggregate principal amount of the outstanding Notes validly tender and do not withdraw such Notes in a Change of Control Offer and the Company, or any third party making a Change of Control Offer in lieu of the Company as described below, purchases all of the Notes validly tendered and not withdrawn by such Noteholders, the Company will have the right, upon not less than thirty nor more than sixty days’ prior notice, given not more than thirty days following such purchase pursuant to the Change of Control Offer described above, to redeem all Notes that remain outstanding following such purchase at a redemption price in cash equal to the applicable Change of Control Payment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to the extent not included in the Change of Control Payment, accrued and unpaid interest, if any, thereon, to, but not including, the date of redemption.</w:t>
      </w:r>
    </w:p>
    <w:p>
      <w:pPr>
        <w:spacing w:after="0" w:line="166" w:lineRule="exact"/>
        <w:rPr>
          <w:rFonts w:ascii="Times New Roman" w:cs="Times New Roman" w:eastAsia="Times New Roman" w:hAnsi="Times New Roman"/>
          <w:sz w:val="20"/>
          <w:szCs w:val="20"/>
          <w:color w:val="auto"/>
        </w:rPr>
      </w:pPr>
    </w:p>
    <w:p>
      <w:pPr>
        <w:ind w:left="1280" w:hanging="634"/>
        <w:spacing w:after="0" w:line="269" w:lineRule="auto"/>
        <w:tabs>
          <w:tab w:leader="none" w:pos="1105" w:val="left"/>
        </w:tabs>
        <w:numPr>
          <w:ilvl w:val="0"/>
          <w:numId w:val="4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the Company will not be required to make a Change of Control Offer upon a Change of Control Triggering Event if:</w:t>
      </w:r>
    </w:p>
    <w:p>
      <w:pPr>
        <w:spacing w:after="0" w:line="159" w:lineRule="exact"/>
        <w:rPr>
          <w:rFonts w:ascii="Times New Roman" w:cs="Times New Roman" w:eastAsia="Times New Roman" w:hAnsi="Times New Roman"/>
          <w:sz w:val="20"/>
          <w:szCs w:val="20"/>
          <w:color w:val="auto"/>
        </w:rPr>
      </w:pPr>
    </w:p>
    <w:p>
      <w:pPr>
        <w:ind w:left="1920" w:hanging="636"/>
        <w:spacing w:after="0" w:line="261" w:lineRule="auto"/>
        <w:tabs>
          <w:tab w:leader="none" w:pos="1769" w:val="left"/>
        </w:tabs>
        <w:numPr>
          <w:ilvl w:val="1"/>
          <w:numId w:val="4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third party makes the Change of Control Offer in the manner, at the times and otherwise in compliance with the requirements set forth in this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and purchases all Notes properly tendered and not withdrawn under the Change of Control Offer; or</w:t>
      </w:r>
    </w:p>
    <w:p>
      <w:pPr>
        <w:spacing w:after="0" w:line="154" w:lineRule="exact"/>
        <w:rPr>
          <w:rFonts w:ascii="Times New Roman" w:cs="Times New Roman" w:eastAsia="Times New Roman" w:hAnsi="Times New Roman"/>
          <w:sz w:val="20"/>
          <w:szCs w:val="20"/>
          <w:color w:val="auto"/>
        </w:rPr>
      </w:pPr>
    </w:p>
    <w:p>
      <w:pPr>
        <w:ind w:left="1920" w:right="20" w:hanging="636"/>
        <w:spacing w:after="0" w:line="283" w:lineRule="auto"/>
        <w:tabs>
          <w:tab w:leader="none" w:pos="1867" w:val="left"/>
        </w:tabs>
        <w:numPr>
          <w:ilvl w:val="1"/>
          <w:numId w:val="4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 of redemption has been given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with respect to a redemption of Notes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unless and until there is a default in payment of the applicable redemption price.</w:t>
      </w:r>
    </w:p>
    <w:p>
      <w:pPr>
        <w:spacing w:after="0" w:line="13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u w:val="single" w:color="auto"/>
          <w:color w:val="auto"/>
        </w:rPr>
        <w:t>Events of Loss</w:t>
      </w:r>
    </w:p>
    <w:p>
      <w:pPr>
        <w:spacing w:after="0" w:line="202" w:lineRule="exact"/>
        <w:rPr>
          <w:sz w:val="20"/>
          <w:szCs w:val="20"/>
          <w:color w:val="auto"/>
        </w:rPr>
      </w:pPr>
    </w:p>
    <w:p>
      <w:pPr>
        <w:ind w:left="1280" w:hanging="634"/>
        <w:spacing w:after="0" w:line="251" w:lineRule="auto"/>
        <w:tabs>
          <w:tab w:leader="none" w:pos="1092" w:val="left"/>
        </w:tabs>
        <w:numPr>
          <w:ilvl w:val="0"/>
          <w:numId w:val="4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receives Loss Proceeds, in respect of any Event of Loss and does not apply such Loss Proceeds in accordance with Section 9.2(b) (</w:t>
      </w:r>
      <w:r>
        <w:rPr>
          <w:rFonts w:ascii="Times New Roman" w:cs="Times New Roman" w:eastAsia="Times New Roman" w:hAnsi="Times New Roman"/>
          <w:sz w:val="20"/>
          <w:szCs w:val="20"/>
          <w:i w:val="1"/>
          <w:iCs w:val="1"/>
          <w:color w:val="auto"/>
        </w:rPr>
        <w:t>Loss Proceeds</w:t>
      </w:r>
      <w:r>
        <w:rPr>
          <w:rFonts w:ascii="Times New Roman" w:cs="Times New Roman" w:eastAsia="Times New Roman" w:hAnsi="Times New Roman"/>
          <w:sz w:val="20"/>
          <w:szCs w:val="20"/>
          <w:color w:val="auto"/>
        </w:rPr>
        <w:t xml:space="preserve">) of the Collateral and Intercreditor Agreement, then, such Loss Proceeds that are not applied in such manner will constitute “Excess Loss Proceeds”. If on any day the aggregate amount of Excess Loss Proceeds is in excess of $300,000,000, then within ninety days after completing the relevant Restoration or the Company’s election not to Restore pursuant to the CFAA, the Company will make a Loss Proceeds Offer in accordance with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The offer price in any Loss Proceeds Offer will be equal to 100% of the principal amount of each Note so 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not including, the date of purchase and will be payable in cash. If any Excess Loss Proceeds remain unapplied after consummation of a Loss Proceeds Offer,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09" w:name="page410"/>
    <w:bookmarkEnd w:id="409"/>
    <w:p>
      <w:pPr>
        <w:jc w:val="both"/>
        <w:ind w:left="1280"/>
        <w:spacing w:after="0" w:line="263" w:lineRule="auto"/>
        <w:rPr>
          <w:sz w:val="20"/>
          <w:szCs w:val="20"/>
          <w:color w:val="auto"/>
        </w:rPr>
      </w:pPr>
      <w:r>
        <w:rPr>
          <w:rFonts w:ascii="Times New Roman" w:cs="Times New Roman" w:eastAsia="Times New Roman" w:hAnsi="Times New Roman"/>
          <w:sz w:val="20"/>
          <w:szCs w:val="20"/>
          <w:color w:val="auto"/>
        </w:rPr>
        <w:t>shall deposit such proceeds as directed in Section 9.7(a)(iii) (</w:t>
      </w:r>
      <w:r>
        <w:rPr>
          <w:rFonts w:ascii="Times New Roman" w:cs="Times New Roman" w:eastAsia="Times New Roman" w:hAnsi="Times New Roman"/>
          <w:sz w:val="20"/>
          <w:szCs w:val="20"/>
          <w:i w:val="1"/>
          <w:iCs w:val="1"/>
          <w:color w:val="auto"/>
        </w:rPr>
        <w:t>Application of Collateral Proceeds to the Senior Secured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Obligations Prior to an Enforcement Action</w:t>
      </w:r>
      <w:r>
        <w:rPr>
          <w:rFonts w:ascii="Times New Roman" w:cs="Times New Roman" w:eastAsia="Times New Roman" w:hAnsi="Times New Roman"/>
          <w:sz w:val="20"/>
          <w:szCs w:val="20"/>
          <w:color w:val="auto"/>
        </w:rPr>
        <w:t>) of the Collateral and Intercreditor Agreement. Upon completion of each Loss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Proceeds Offer, the amount of Excess Loss Proceeds will be reset at zero.</w:t>
      </w:r>
    </w:p>
    <w:p>
      <w:pPr>
        <w:spacing w:after="0" w:line="152" w:lineRule="exact"/>
        <w:rPr>
          <w:sz w:val="20"/>
          <w:szCs w:val="20"/>
          <w:color w:val="auto"/>
        </w:rPr>
      </w:pPr>
    </w:p>
    <w:p>
      <w:pPr>
        <w:ind w:left="1280" w:hanging="634"/>
        <w:spacing w:after="0" w:line="257" w:lineRule="auto"/>
        <w:tabs>
          <w:tab w:leader="none" w:pos="1154"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those laws and regulations are applicable in connection with each repurchase of Notes pursuant to a Loss Proceeds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by virtue of such conflict.</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19"/>
          <w:szCs w:val="19"/>
          <w:u w:val="single" w:color="auto"/>
          <w:color w:val="auto"/>
        </w:rPr>
        <w:t>Asset Sales</w:t>
      </w:r>
    </w:p>
    <w:p>
      <w:pPr>
        <w:spacing w:after="0" w:line="202" w:lineRule="exact"/>
        <w:rPr>
          <w:sz w:val="20"/>
          <w:szCs w:val="20"/>
          <w:color w:val="auto"/>
        </w:rPr>
      </w:pPr>
    </w:p>
    <w:p>
      <w:pPr>
        <w:ind w:left="1280" w:hanging="634"/>
        <w:spacing w:after="0" w:line="251" w:lineRule="auto"/>
        <w:tabs>
          <w:tab w:leader="none" w:pos="1106" w:val="left"/>
        </w:tabs>
        <w:numPr>
          <w:ilvl w:val="0"/>
          <w:numId w:val="4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receives Asset Sale Proceeds and does not use such Asset Sale Proceeds to purchase replacement property or prepay any other Senior Secured Debt in accordance with Section 9.3(b) (</w:t>
      </w:r>
      <w:r>
        <w:rPr>
          <w:rFonts w:ascii="Times New Roman" w:cs="Times New Roman" w:eastAsia="Times New Roman" w:hAnsi="Times New Roman"/>
          <w:sz w:val="20"/>
          <w:szCs w:val="20"/>
          <w:i w:val="1"/>
          <w:iCs w:val="1"/>
          <w:color w:val="auto"/>
        </w:rPr>
        <w:t>Asset Sale Proceeds</w:t>
      </w:r>
      <w:r>
        <w:rPr>
          <w:rFonts w:ascii="Times New Roman" w:cs="Times New Roman" w:eastAsia="Times New Roman" w:hAnsi="Times New Roman"/>
          <w:sz w:val="20"/>
          <w:szCs w:val="20"/>
          <w:color w:val="auto"/>
        </w:rPr>
        <w:t xml:space="preserve">) of the Collateral and Intercreditor Agreement, then, such Asset Sale Proceeds that are not applied in such manner will constitute “Excess Asset Sale Proceeds”. If on any day the aggregate amount of Excess Asset Sale Proceeds is in excess of $300,000,000, then within thirty days after the expiry of the period during which the Company is permitted to use such Excess Asset Sale Proceeds pursuant to the Collateral and Intercreditor Agreement, the Company will make an Asset Sale Offer in accordance with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The offer price in any Asset Sale Offer will be equal to 100% of the principal amount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not including, the date of purchase and will be payable in cash. If any Excess Asset Sale Proceeds remain unapplied after consummation of an Asset Sale Offer, the Company shall deposit such proceeds as directed in Section 9.7(a)(iii) (</w:t>
      </w:r>
      <w:r>
        <w:rPr>
          <w:rFonts w:ascii="Times New Roman" w:cs="Times New Roman" w:eastAsia="Times New Roman" w:hAnsi="Times New Roman"/>
          <w:sz w:val="20"/>
          <w:szCs w:val="20"/>
          <w:i w:val="1"/>
          <w:iCs w:val="1"/>
          <w:color w:val="auto"/>
        </w:rPr>
        <w:t>Application of Collateral Proceeds to the Senior Secured Obligations Prior to an Enforcement Action</w:t>
      </w:r>
      <w:r>
        <w:rPr>
          <w:rFonts w:ascii="Times New Roman" w:cs="Times New Roman" w:eastAsia="Times New Roman" w:hAnsi="Times New Roman"/>
          <w:sz w:val="20"/>
          <w:szCs w:val="20"/>
          <w:color w:val="auto"/>
        </w:rPr>
        <w:t>) of the Collateral and Intercreditor Agreement. Upon completion of each Asset Sale Offer, the amount of Excess Asset Sale Proceeds will be reset at zero.</w:t>
      </w:r>
    </w:p>
    <w:p>
      <w:pPr>
        <w:spacing w:after="0" w:line="164" w:lineRule="exact"/>
        <w:rPr>
          <w:rFonts w:ascii="Times New Roman" w:cs="Times New Roman" w:eastAsia="Times New Roman" w:hAnsi="Times New Roman"/>
          <w:sz w:val="20"/>
          <w:szCs w:val="20"/>
          <w:color w:val="auto"/>
        </w:rPr>
      </w:pPr>
    </w:p>
    <w:p>
      <w:pPr>
        <w:ind w:left="1280" w:hanging="634"/>
        <w:spacing w:after="0" w:line="283" w:lineRule="auto"/>
        <w:tabs>
          <w:tab w:leader="none" w:pos="1082" w:val="left"/>
        </w:tabs>
        <w:numPr>
          <w:ilvl w:val="0"/>
          <w:numId w:val="4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the sale, conveyance or other disposition of all or substantially all of the assets of the Company, will be governed by the provisions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not by the provisions of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ind w:left="1280" w:hanging="634"/>
        <w:spacing w:after="0" w:line="253" w:lineRule="auto"/>
        <w:tabs>
          <w:tab w:leader="none" w:pos="1145" w:val="left"/>
        </w:tabs>
        <w:numPr>
          <w:ilvl w:val="0"/>
          <w:numId w:val="4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or compliance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would constitute a violation of any such laws or regulations,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by virtue of such compliance.</w:t>
      </w:r>
    </w:p>
    <w:p>
      <w:pPr>
        <w:spacing w:after="0" w:line="16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19"/>
          <w:szCs w:val="19"/>
          <w:u w:val="single" w:color="auto"/>
          <w:color w:val="auto"/>
        </w:rPr>
        <w:t>Performance Liquidated Damages</w:t>
      </w:r>
    </w:p>
    <w:p>
      <w:pPr>
        <w:spacing w:after="0" w:line="202" w:lineRule="exact"/>
        <w:rPr>
          <w:sz w:val="20"/>
          <w:szCs w:val="20"/>
          <w:color w:val="auto"/>
        </w:rPr>
      </w:pPr>
    </w:p>
    <w:p>
      <w:pPr>
        <w:ind w:left="1280" w:right="20" w:hanging="634"/>
        <w:spacing w:after="0" w:line="283" w:lineRule="auto"/>
        <w:tabs>
          <w:tab w:leader="none" w:pos="1094" w:val="left"/>
        </w:tabs>
        <w:numPr>
          <w:ilvl w:val="0"/>
          <w:numId w:val="5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receives Performance Liquidated Damages and does not use such Performance Liquidated Damages to rectify any damages or losses suffered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10" w:name="page411"/>
    <w:bookmarkEnd w:id="410"/>
    <w:p>
      <w:pPr>
        <w:jc w:val="both"/>
        <w:ind w:left="1280"/>
        <w:spacing w:after="0" w:line="251" w:lineRule="auto"/>
        <w:rPr>
          <w:sz w:val="20"/>
          <w:szCs w:val="20"/>
          <w:color w:val="auto"/>
        </w:rPr>
      </w:pPr>
      <w:r>
        <w:rPr>
          <w:rFonts w:ascii="Times New Roman" w:cs="Times New Roman" w:eastAsia="Times New Roman" w:hAnsi="Times New Roman"/>
          <w:sz w:val="20"/>
          <w:szCs w:val="20"/>
          <w:color w:val="auto"/>
        </w:rPr>
        <w:t>relevant Material Project Document resulting from a breach thereof by the applicable Material Project Party or make indemnity payments to Offtakers, in each case, in accordance with Section 9.4(b) (</w:t>
      </w:r>
      <w:r>
        <w:rPr>
          <w:rFonts w:ascii="Times New Roman" w:cs="Times New Roman" w:eastAsia="Times New Roman" w:hAnsi="Times New Roman"/>
          <w:sz w:val="20"/>
          <w:szCs w:val="20"/>
          <w:i w:val="1"/>
          <w:iCs w:val="1"/>
          <w:color w:val="auto"/>
        </w:rPr>
        <w:t>Performance Liquidated Damages</w:t>
      </w:r>
      <w:r>
        <w:rPr>
          <w:rFonts w:ascii="Times New Roman" w:cs="Times New Roman" w:eastAsia="Times New Roman" w:hAnsi="Times New Roman"/>
          <w:sz w:val="20"/>
          <w:szCs w:val="20"/>
          <w:color w:val="auto"/>
        </w:rPr>
        <w:t xml:space="preserve">) of the Collateral and Intercreditor Agreement, then such Performance Liquidated Damages that are not applied in such manner will be deemed “PLD Excess Proceeds.” If on any day the aggregate amount of PLD Excess Proceeds is in excess of $300,000,000, within ninety days after the expiry of the period during which the Company is permitted to use such Performance Liquidated Damages pursuant to the Collateral and Intercreditor Agreement, the Company will make a PLD Proceeds Offer in accordance with Section 3.9. The offer price in any PLD Proceeds Offer will be equal to 100% of the principal amount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not including, the date of purchase and will be payable in cash. If any PLD Excess Proceeds remain unapplied after consummation of a PLD Proceeds Offer, the Company shall deposit such proceeds as directed in Section 9.7(a)(iii) (</w:t>
      </w:r>
      <w:r>
        <w:rPr>
          <w:rFonts w:ascii="Times New Roman" w:cs="Times New Roman" w:eastAsia="Times New Roman" w:hAnsi="Times New Roman"/>
          <w:sz w:val="20"/>
          <w:szCs w:val="20"/>
          <w:i w:val="1"/>
          <w:iCs w:val="1"/>
          <w:color w:val="auto"/>
        </w:rPr>
        <w:t>Application of Collateral Proceeds to the Senior Secured Obligations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Prior to an Enforcement Action</w:t>
      </w:r>
      <w:r>
        <w:rPr>
          <w:rFonts w:ascii="Times New Roman" w:cs="Times New Roman" w:eastAsia="Times New Roman" w:hAnsi="Times New Roman"/>
          <w:sz w:val="20"/>
          <w:szCs w:val="20"/>
          <w:color w:val="auto"/>
        </w:rPr>
        <w:t>) of the Collateral and Intercreditor Agreement. Upon completion of each PLD Proceeds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Offer, the amount of PLD Excess Proceeds for the purposes of this paragraph will be reset at zero.</w:t>
      </w:r>
    </w:p>
    <w:p>
      <w:pPr>
        <w:spacing w:after="0" w:line="165" w:lineRule="exact"/>
        <w:rPr>
          <w:sz w:val="20"/>
          <w:szCs w:val="20"/>
          <w:color w:val="auto"/>
        </w:rPr>
      </w:pPr>
    </w:p>
    <w:p>
      <w:pPr>
        <w:ind w:left="1280" w:hanging="634"/>
        <w:spacing w:after="0" w:line="251" w:lineRule="auto"/>
        <w:tabs>
          <w:tab w:leader="none" w:pos="1154" w:val="left"/>
        </w:tabs>
        <w:numPr>
          <w:ilvl w:val="0"/>
          <w:numId w:val="5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comply with the requirements of Rule 14e-1 under the Exchange Act and any other securities laws and regulations thereunder to the extent such laws and regulations are applicable in connection with each repurchase of Notes pursuant to a PLD Proceeds Offer. To the extent that the provisions of any securities laws or regulations conflict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4.15, or compliance with the provisions of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would constitute a violation of any such laws or regulations, the Company will comply with the applicable securities laws and regulations and will not be deemed to have breached its obligations under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by virtue of such compliance.</w:t>
      </w:r>
    </w:p>
    <w:p>
      <w:pPr>
        <w:spacing w:after="0" w:line="17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19"/>
          <w:szCs w:val="19"/>
          <w:u w:val="single" w:color="auto"/>
          <w:color w:val="auto"/>
        </w:rPr>
        <w:t>CD Senior Notes DSRA</w:t>
      </w:r>
    </w:p>
    <w:p>
      <w:pPr>
        <w:spacing w:after="0" w:line="202" w:lineRule="exact"/>
        <w:rPr>
          <w:sz w:val="20"/>
          <w:szCs w:val="20"/>
          <w:color w:val="auto"/>
        </w:rPr>
      </w:pPr>
    </w:p>
    <w:p>
      <w:pPr>
        <w:ind w:left="1280" w:hanging="634"/>
        <w:spacing w:after="0" w:line="253" w:lineRule="auto"/>
        <w:tabs>
          <w:tab w:leader="none" w:pos="1086" w:val="left"/>
        </w:tabs>
        <w:numPr>
          <w:ilvl w:val="0"/>
          <w:numId w:val="5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on or prior to the Project Completion Date, the Company shall cause the CD Senior Notes DSRA to be funded in cash and/or by </w:t>
      </w:r>
      <w:r>
        <w:rPr>
          <w:rFonts w:ascii="Times New Roman" w:cs="Times New Roman" w:eastAsia="Times New Roman" w:hAnsi="Times New Roman"/>
          <w:sz w:val="20"/>
          <w:szCs w:val="20"/>
          <w:color w:val="auto"/>
          <w:strike w:val="1"/>
        </w:rPr>
        <w:t>Account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DSR</w:t>
      </w:r>
      <w:r>
        <w:rPr>
          <w:rFonts w:ascii="Times New Roman" w:cs="Times New Roman" w:eastAsia="Times New Roman" w:hAnsi="Times New Roman"/>
          <w:sz w:val="20"/>
          <w:szCs w:val="20"/>
          <w:color w:val="auto"/>
        </w:rPr>
        <w:t xml:space="preserve"> Credit Support (as defined in the P1 Accounts Agreement) in accordance with the P1 Accounts Agreement in an amount equal to the Indenture Debt Service Reserve Amount. For the avoidance of doubt, other than as expressly provided in the foregoing sentence, the funding of the CD Senior Notes DSRA shall not otherwise be an affirmative covenant hereunder or under any other Senior Secured Credit Document (as defined in the Collateral and Intercreditor Agreement).</w:t>
      </w:r>
    </w:p>
    <w:p>
      <w:pPr>
        <w:spacing w:after="0" w:line="165"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093" w:val="left"/>
        </w:tabs>
        <w:numPr>
          <w:ilvl w:val="0"/>
          <w:numId w:val="5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definition of “DSRA Reserve Amount” set forth in the P1 Accounts Agreement, the amount required to be funded pursuant to this Indenture shall be the Indenture Debt Service Reserve Amount.</w:t>
      </w:r>
    </w:p>
    <w:p>
      <w:pPr>
        <w:spacing w:after="0" w:line="13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19"/>
          <w:szCs w:val="19"/>
          <w:u w:val="single" w:color="auto"/>
          <w:color w:val="auto"/>
        </w:rPr>
        <w:t>Material Project Documents.</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Company shall not agree to any material amendment or termination of any Material Project Document (other than any RG Facility Agreement) to which it is or becomes a party unless (a) a copy of such amendment or termination has been delivered to the P1 Intercreditor Agent in advance of the effective date thereof along with a certificate of an Authorized Officer of the Company certifying that the proposed amendment or termination could not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11" w:name="page412"/>
    <w:bookmarkEnd w:id="411"/>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expected to have a Material Adverse Effect or (b) the Company has obtained the consent of the Trustee (acting at the instruction of a majority of the Noteholders) to such amendment or termination.</w:t>
      </w:r>
    </w:p>
    <w:p>
      <w:pPr>
        <w:spacing w:after="0" w:line="13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4.18</w:t>
      </w:r>
      <w:r>
        <w:rPr>
          <w:sz w:val="20"/>
          <w:szCs w:val="20"/>
          <w:color w:val="auto"/>
        </w:rPr>
        <w:tab/>
      </w:r>
      <w:r>
        <w:rPr>
          <w:rFonts w:ascii="Times New Roman" w:cs="Times New Roman" w:eastAsia="Times New Roman" w:hAnsi="Times New Roman"/>
          <w:sz w:val="19"/>
          <w:szCs w:val="19"/>
          <w:u w:val="single" w:color="auto"/>
          <w:color w:val="auto"/>
        </w:rPr>
        <w:t>Insurance.</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 Company will, and will cause each of its subsidiaries to, maintain, with an insurer of recognized financial responsibility,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4.19</w:t>
      </w:r>
      <w:r>
        <w:rPr>
          <w:sz w:val="20"/>
          <w:szCs w:val="20"/>
          <w:color w:val="auto"/>
        </w:rPr>
        <w:tab/>
      </w:r>
      <w:r>
        <w:rPr>
          <w:rFonts w:ascii="Times New Roman" w:cs="Times New Roman" w:eastAsia="Times New Roman" w:hAnsi="Times New Roman"/>
          <w:sz w:val="19"/>
          <w:szCs w:val="19"/>
          <w:u w:val="single" w:color="auto"/>
          <w:color w:val="auto"/>
        </w:rPr>
        <w:t>Maintenance of Properties.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w:t>
      </w:r>
    </w:p>
    <w:p>
      <w:pPr>
        <w:spacing w:after="0" w:line="17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4.20</w:t>
      </w:r>
      <w:r>
        <w:rPr>
          <w:sz w:val="20"/>
          <w:szCs w:val="20"/>
          <w:color w:val="auto"/>
        </w:rPr>
        <w:tab/>
      </w:r>
      <w:r>
        <w:rPr>
          <w:rFonts w:ascii="Times New Roman" w:cs="Times New Roman" w:eastAsia="Times New Roman" w:hAnsi="Times New Roman"/>
          <w:sz w:val="19"/>
          <w:szCs w:val="19"/>
          <w:u w:val="single" w:color="auto"/>
          <w:color w:val="auto"/>
        </w:rPr>
        <w:t>Books and Records.</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in all material respects and the Company will, and will cause each of its subsidiaries to, continue to maintain such system.</w:t>
      </w:r>
    </w:p>
    <w:p>
      <w:pPr>
        <w:spacing w:after="0" w:line="17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4.21</w:t>
      </w:r>
      <w:r>
        <w:rPr>
          <w:sz w:val="20"/>
          <w:szCs w:val="20"/>
          <w:color w:val="auto"/>
        </w:rPr>
        <w:tab/>
      </w:r>
      <w:r>
        <w:rPr>
          <w:rFonts w:ascii="Times New Roman" w:cs="Times New Roman" w:eastAsia="Times New Roman" w:hAnsi="Times New Roman"/>
          <w:sz w:val="19"/>
          <w:szCs w:val="19"/>
          <w:u w:val="single" w:color="auto"/>
          <w:color w:val="auto"/>
        </w:rPr>
        <w:t>Inspection Reports.</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Upon the request of a Noteholder, or group of Noteholders, that (i) individually or collectively hold at least 25% of the then outstanding principal amount of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clause (i) shall not apply at any time an Event of Default has occurred and is continuing) and (ii) qualify as an Institutional Investor(s), the Trustee will request the P1 Intercreditor Agent to promptly (x) exercise its rights under Section 4.11 (</w:t>
      </w:r>
      <w:r>
        <w:rPr>
          <w:rFonts w:ascii="Times New Roman" w:cs="Times New Roman" w:eastAsia="Times New Roman" w:hAnsi="Times New Roman"/>
          <w:sz w:val="20"/>
          <w:szCs w:val="20"/>
          <w:i w:val="1"/>
          <w:iCs w:val="1"/>
          <w:color w:val="auto"/>
        </w:rPr>
        <w:t>Access; Inspections</w:t>
      </w:r>
      <w:r>
        <w:rPr>
          <w:rFonts w:ascii="Times New Roman" w:cs="Times New Roman" w:eastAsia="Times New Roman" w:hAnsi="Times New Roman"/>
          <w:sz w:val="20"/>
          <w:szCs w:val="20"/>
          <w:color w:val="auto"/>
        </w:rPr>
        <w:t>) of the Common Terms Agreement with respect to such matters referred to therein as may be requested by such Noteholder(s) in a written notice to the Trustee and (y) deliver to the Trustee (for further delivery to all Noteholders) a reasonably detailed report in respect of any exercise of the P1 Intercreditor Agent’s rights under Section 4.11 (</w:t>
      </w:r>
      <w:r>
        <w:rPr>
          <w:rFonts w:ascii="Times New Roman" w:cs="Times New Roman" w:eastAsia="Times New Roman" w:hAnsi="Times New Roman"/>
          <w:sz w:val="20"/>
          <w:szCs w:val="20"/>
          <w:i w:val="1"/>
          <w:iCs w:val="1"/>
          <w:color w:val="auto"/>
        </w:rPr>
        <w:t>Access; Inspections</w:t>
      </w:r>
      <w:r>
        <w:rPr>
          <w:rFonts w:ascii="Times New Roman" w:cs="Times New Roman" w:eastAsia="Times New Roman" w:hAnsi="Times New Roman"/>
          <w:sz w:val="20"/>
          <w:szCs w:val="20"/>
          <w:color w:val="auto"/>
        </w:rPr>
        <w:t>) of the Common Terms Agreement with respect to the matters requested by the Noteholders in such notice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12" w:name="page413"/>
    <w:bookmarkEnd w:id="412"/>
    <w:p>
      <w:pPr>
        <w:jc w:val="both"/>
        <w:ind w:left="640" w:right="20"/>
        <w:spacing w:after="0" w:line="287" w:lineRule="auto"/>
        <w:rPr>
          <w:sz w:val="20"/>
          <w:szCs w:val="20"/>
          <w:color w:val="auto"/>
        </w:rPr>
      </w:pPr>
      <w:r>
        <w:rPr>
          <w:rFonts w:ascii="Times New Roman" w:cs="Times New Roman" w:eastAsia="Times New Roman" w:hAnsi="Times New Roman"/>
          <w:sz w:val="20"/>
          <w:szCs w:val="20"/>
          <w:color w:val="auto"/>
        </w:rPr>
        <w:t xml:space="preserve">In any case, any such report shall be subject to the confidentiality provisions of Section 15.15 </w:t>
      </w:r>
      <w:r>
        <w:rPr>
          <w:rFonts w:ascii="Times New Roman" w:cs="Times New Roman" w:eastAsia="Times New Roman" w:hAnsi="Times New Roman"/>
          <w:sz w:val="20"/>
          <w:szCs w:val="20"/>
          <w:i w:val="1"/>
          <w:iCs w:val="1"/>
          <w:color w:val="auto"/>
        </w:rPr>
        <w:t>(Termination of Certain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Confidentiality) </w:t>
      </w:r>
      <w:r>
        <w:rPr>
          <w:rFonts w:ascii="Times New Roman" w:cs="Times New Roman" w:eastAsia="Times New Roman" w:hAnsi="Times New Roman"/>
          <w:sz w:val="20"/>
          <w:szCs w:val="20"/>
          <w:color w:val="auto"/>
        </w:rPr>
        <w:t>of the Collateral and Intercreditor Agreement or analogous confidentiality restrictions required by the Company.</w:t>
      </w:r>
    </w:p>
    <w:p>
      <w:pPr>
        <w:spacing w:after="0" w:line="12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4.22</w:t>
      </w:r>
      <w:r>
        <w:rPr>
          <w:sz w:val="20"/>
          <w:szCs w:val="20"/>
          <w:color w:val="auto"/>
        </w:rPr>
        <w:tab/>
      </w:r>
      <w:r>
        <w:rPr>
          <w:rFonts w:ascii="Times New Roman" w:cs="Times New Roman" w:eastAsia="Times New Roman" w:hAnsi="Times New Roman"/>
          <w:sz w:val="19"/>
          <w:szCs w:val="19"/>
          <w:u w:val="single" w:color="auto"/>
          <w:color w:val="auto"/>
        </w:rPr>
        <w:t>Sanctions Regulations, Etc.</w:t>
      </w:r>
    </w:p>
    <w:p>
      <w:pPr>
        <w:spacing w:after="0" w:line="202"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19"/>
          <w:szCs w:val="19"/>
          <w:color w:val="auto"/>
        </w:rPr>
        <w:t>The Company shall, and shall cause each of its subsidiaries to, comply in all material respects with Sanctions Regulations. Without limiting the foregoing, the Company agrees that if it obtains knowledge or receives any notice that the Company or its subsidiaries or any Person holding a legal or beneficial interest therein (whether directly or indirectly) is or becomes a Restricted Person, then the Company will comply with all applicable Sanctions Regulations with respect thereto. The Company will not, and will not permit any Person to directly or knowingly indirectly have any investment in or engage in any dealing or transaction (including using, lending, making payments of, contributing or otherwise making available, all or any part of, the proceeds of the Notes or other transactions contemplated by this Indenture or any other P1 Financing Document) with any Person if such investment, dealing or transaction (i) involves or is for the benefit of any Restricted Person or any Sanctioned Country except to the extent permitted for a Person required to comply with Sanctions Regulations, (ii) would cause any Noteholder or any Affiliate of such Noteholder to be in violation of, or the subject of applicable Sanctions Regulations or (iii) in any other manner that could reasonably be expected to result in any Person being in breach of any Sanctions Regulations (if any to the extent applicable to any of them) or becoming a Restricted Person.</w:t>
      </w:r>
    </w:p>
    <w:p>
      <w:pPr>
        <w:spacing w:after="0" w:line="15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4.23</w:t>
      </w:r>
      <w:r>
        <w:rPr>
          <w:sz w:val="20"/>
          <w:szCs w:val="20"/>
          <w:color w:val="auto"/>
        </w:rPr>
        <w:tab/>
      </w:r>
      <w:r>
        <w:rPr>
          <w:rFonts w:ascii="Times New Roman" w:cs="Times New Roman" w:eastAsia="Times New Roman" w:hAnsi="Times New Roman"/>
          <w:sz w:val="19"/>
          <w:szCs w:val="19"/>
          <w:u w:val="single" w:color="auto"/>
          <w:color w:val="auto"/>
        </w:rPr>
        <w:t>Designated Offtake Agreements.</w:t>
      </w:r>
    </w:p>
    <w:p>
      <w:pPr>
        <w:spacing w:after="0" w:line="216"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Within thirty days after executing a Designated Offtake Agreement, the Company shall deliver to the Trustee a Consent Agreement with respect to such Designated Offtake Agreement.</w:t>
      </w:r>
    </w:p>
    <w:p>
      <w:pPr>
        <w:spacing w:after="0" w:line="14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4.24</w:t>
      </w:r>
      <w:r>
        <w:rPr>
          <w:sz w:val="20"/>
          <w:szCs w:val="20"/>
          <w:color w:val="auto"/>
        </w:rPr>
        <w:tab/>
      </w:r>
      <w:r>
        <w:rPr>
          <w:rFonts w:ascii="Times New Roman" w:cs="Times New Roman" w:eastAsia="Times New Roman" w:hAnsi="Times New Roman"/>
          <w:sz w:val="19"/>
          <w:szCs w:val="19"/>
          <w:u w:val="single" w:color="auto"/>
          <w:color w:val="auto"/>
        </w:rPr>
        <w:t>Accounts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Company shall not establish any bank accounts other than the P1 Accounts and the Common Accounts.</w:t>
      </w:r>
    </w:p>
    <w:p>
      <w:pPr>
        <w:spacing w:after="0" w:line="20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4.25</w:t>
      </w:r>
      <w:r>
        <w:rPr>
          <w:sz w:val="20"/>
          <w:szCs w:val="20"/>
          <w:color w:val="auto"/>
        </w:rPr>
        <w:tab/>
      </w:r>
      <w:r>
        <w:rPr>
          <w:rFonts w:ascii="Times New Roman" w:cs="Times New Roman" w:eastAsia="Times New Roman" w:hAnsi="Times New Roman"/>
          <w:sz w:val="19"/>
          <w:szCs w:val="19"/>
          <w:u w:val="single" w:color="auto"/>
          <w:color w:val="auto"/>
        </w:rPr>
        <w:t>Limitation on Formation of Controlled Subsidiaries</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The Company shall not form or create any new Controlled Subsidiaries other than the RG Facility Entities (during any period when such RG Facility Entities remain Controlled Subsidiaries).</w:t>
      </w:r>
    </w:p>
    <w:p>
      <w:pPr>
        <w:spacing w:after="0" w:line="13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4.26</w:t>
      </w:r>
      <w:r>
        <w:rPr>
          <w:sz w:val="20"/>
          <w:szCs w:val="20"/>
          <w:color w:val="auto"/>
        </w:rPr>
        <w:tab/>
      </w:r>
      <w:r>
        <w:rPr>
          <w:rFonts w:ascii="Times New Roman" w:cs="Times New Roman" w:eastAsia="Times New Roman" w:hAnsi="Times New Roman"/>
          <w:sz w:val="19"/>
          <w:szCs w:val="19"/>
          <w:u w:val="single" w:color="auto"/>
          <w:color w:val="auto"/>
        </w:rPr>
        <w:t>Historical DSCR</w:t>
      </w:r>
    </w:p>
    <w:p>
      <w:pPr>
        <w:spacing w:after="0" w:line="202" w:lineRule="exact"/>
        <w:rPr>
          <w:sz w:val="20"/>
          <w:szCs w:val="20"/>
          <w:color w:val="auto"/>
        </w:rPr>
      </w:pPr>
    </w:p>
    <w:p>
      <w:pPr>
        <w:ind w:left="1280" w:hanging="634"/>
        <w:spacing w:after="0" w:line="261" w:lineRule="auto"/>
        <w:tabs>
          <w:tab w:leader="none" w:pos="1122" w:val="left"/>
        </w:tabs>
        <w:numPr>
          <w:ilvl w:val="0"/>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Together with the delivery of financial statements in accordance with Section 4.3(c)(2) in respect of each full Fiscal Quarter occurring after the Initial Principal Payment Date, the Company shall calculate and deliver to the Trustee and the Noteholders its calculation of the Historical DSCR.</w:t>
      </w:r>
    </w:p>
    <w:p>
      <w:pPr>
        <w:spacing w:after="0" w:line="167" w:lineRule="exact"/>
        <w:rPr>
          <w:rFonts w:ascii="Times New Roman" w:cs="Times New Roman" w:eastAsia="Times New Roman" w:hAnsi="Times New Roman"/>
          <w:sz w:val="20"/>
          <w:szCs w:val="20"/>
          <w:color w:val="auto"/>
        </w:rPr>
      </w:pPr>
    </w:p>
    <w:p>
      <w:pPr>
        <w:ind w:left="1280" w:hanging="634"/>
        <w:spacing w:after="0" w:line="253" w:lineRule="auto"/>
        <w:tabs>
          <w:tab w:leader="none" w:pos="1084" w:val="left"/>
        </w:tabs>
        <w:numPr>
          <w:ilvl w:val="0"/>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permit the Historical DSCR as of the end of any Fiscal Quarter from and following the Initial Principal Payment Date to be less than 1.10 to 1.00; provided, that a failure to meet the required ratio as a result of a failure to maintain a Designated Offtake Agreement shall be addressed pursuant to Section 4.8(a) and not pursuant this Section 4.26; provided, further, that, notwithstanding anything to the contrary herein or in any P1 Financing Document, if the Historical DSCR as of the end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13" w:name="page414"/>
    <w:bookmarkEnd w:id="413"/>
    <w:p>
      <w:pPr>
        <w:jc w:val="both"/>
        <w:ind w:left="1280"/>
        <w:spacing w:after="0" w:line="265" w:lineRule="auto"/>
        <w:rPr>
          <w:sz w:val="20"/>
          <w:szCs w:val="20"/>
          <w:color w:val="auto"/>
        </w:rPr>
      </w:pPr>
      <w:r>
        <w:rPr>
          <w:rFonts w:ascii="Times New Roman" w:cs="Times New Roman" w:eastAsia="Times New Roman" w:hAnsi="Times New Roman"/>
          <w:sz w:val="19"/>
          <w:szCs w:val="19"/>
          <w:color w:val="auto"/>
        </w:rPr>
        <w:t>any Fiscal Quarter following the Initial Principal Payment Date is (or would be) less than 1.10 to 1.00, then any direct or indirect owner of the Company shall have the right to provide cash to the Company, not later than twenty Business Days following the date of delivery of the calculation of the Historical DSCR as required pursuant to Section 4.26(a) by (A) transferring from the Distribution Account to the P1 Revenue Account or (B) causing the Equity Owners to deposit in the P1 Revenue Account such amount as, when added to the otherwise applicable Cash Flow for purposes of calculating Historical CFADS for the applicable period, would cause the Historical DSCR for such period to equal or exceed 1.10 to 1.00 (and upon such transfer or deposit, any default under this Section 4.26(b) shall be deemed immediately cured) (provided, that the Company shall not have the right to cure a default of this Section 4.26(b) by operation hereof in respect of more than six Fiscal Quarters in aggregate prior to the Maturity Date and in each four consecutive Fiscal Quarter period there shall be at least two Fiscal Quarters in which no cure of a default of this Section 4.26(b) shall have been made (it being expressly understood and agreed that a cure of a default of this Section 4.26(b) may be exercised in consecutive Fiscal Quarters)).</w:t>
      </w:r>
    </w:p>
    <w:p>
      <w:pPr>
        <w:spacing w:after="0" w:line="15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4.27</w:t>
      </w:r>
      <w:r>
        <w:rPr>
          <w:sz w:val="20"/>
          <w:szCs w:val="20"/>
          <w:color w:val="auto"/>
        </w:rPr>
        <w:tab/>
      </w:r>
      <w:r>
        <w:rPr>
          <w:rFonts w:ascii="Times New Roman" w:cs="Times New Roman" w:eastAsia="Times New Roman" w:hAnsi="Times New Roman"/>
          <w:sz w:val="19"/>
          <w:szCs w:val="19"/>
          <w:u w:val="single" w:color="auto"/>
          <w:color w:val="auto"/>
        </w:rPr>
        <w:t>Affiliated Noteholder Cap</w:t>
      </w:r>
    </w:p>
    <w:p>
      <w:pPr>
        <w:spacing w:after="0" w:line="202"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The aggregate principal amount of Notes held at any one time by the Company and/or an Affiliate of the Company (other than any Debt Fund Affiliate), shall not, in the aggregate, exceed 25% of the principal amount of Notes at such time outstanding (measured at the time of purchase).</w:t>
      </w:r>
    </w:p>
    <w:p>
      <w:pPr>
        <w:spacing w:after="0" w:line="14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4.28</w:t>
      </w:r>
      <w:r>
        <w:rPr>
          <w:sz w:val="20"/>
          <w:szCs w:val="20"/>
          <w:color w:val="auto"/>
        </w:rPr>
        <w:tab/>
      </w:r>
      <w:r>
        <w:rPr>
          <w:rFonts w:ascii="Times New Roman" w:cs="Times New Roman" w:eastAsia="Times New Roman" w:hAnsi="Times New Roman"/>
          <w:sz w:val="19"/>
          <w:szCs w:val="19"/>
          <w:u w:val="single" w:color="auto"/>
          <w:color w:val="auto"/>
        </w:rPr>
        <w:t>Note Guarantees</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Unless and until such guarantee is released in accordance with the CD Credit Agreement (or such other Indebtedness represented by any replacement or refinancing of all or a portion of the Senior Secured Debt under the CD Credit Agreement), the Company will cause each Controlled Subsidiary that is or becomes a guarantor in respect of Senior Secured Debt under the CD Credit Agreement (or as a guarantor of Indebtedness represented by any replacement or refinancing of all or a portion of the Senior Secured Debt under the CD Credit Agreement) to provide a Note Guarantee within 60 days.</w:t>
      </w:r>
    </w:p>
    <w:p>
      <w:pPr>
        <w:spacing w:after="0" w:line="15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SUCCESSORS</w:t>
      </w:r>
    </w:p>
    <w:p>
      <w:pPr>
        <w:spacing w:after="0" w:line="2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Merger, Consolidation, or Sale of Assets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Company may not, directly or indirectly: consolidate, amalgamate or merge with or into another Person (regardless of whether the Company is the surviving entity); convert into another form of entity or continue in another jurisdiction where such conversion or continuance would be adverse in any material respect to the Noteholders; sell, assign, transfer, lease, convey or otherwise dispose of all or substantially all of its properties or assets, in one or more related transactions, to another Person; or dissolve, liquidate, terminate, reorganize or wind up nor take any action to amend or modify its corporate constituent or governing documents where such amendment would be adverse in any material respect to the Noteholders, unless:</w:t>
      </w:r>
    </w:p>
    <w:p>
      <w:pPr>
        <w:spacing w:after="0" w:line="165" w:lineRule="exact"/>
        <w:rPr>
          <w:sz w:val="20"/>
          <w:szCs w:val="20"/>
          <w:color w:val="auto"/>
        </w:rPr>
      </w:pPr>
    </w:p>
    <w:p>
      <w:pPr>
        <w:ind w:left="1060" w:hanging="414"/>
        <w:spacing w:after="0"/>
        <w:tabs>
          <w:tab w:leader="none" w:pos="1060" w:val="left"/>
        </w:tabs>
        <w:numPr>
          <w:ilvl w:val="0"/>
          <w:numId w:val="5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Rating Reaffirmation shall have occurred;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14" w:name="page415"/>
    <w:bookmarkEnd w:id="414"/>
    <w:p>
      <w:pPr>
        <w:ind w:left="1280" w:hanging="634"/>
        <w:spacing w:after="0" w:line="283" w:lineRule="auto"/>
        <w:tabs>
          <w:tab w:leader="none" w:pos="1133" w:val="left"/>
        </w:tabs>
        <w:numPr>
          <w:ilvl w:val="0"/>
          <w:numId w:val="5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action or transaction has been approved by the Trustee acting at the instruction of the Noteholders of a majority in aggregate principal amount of the Notes then outstanding.</w:t>
      </w:r>
    </w:p>
    <w:p>
      <w:pPr>
        <w:spacing w:after="0" w:line="13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Successor Corporation Substituted</w:t>
      </w:r>
    </w:p>
    <w:p>
      <w:pPr>
        <w:spacing w:after="0" w:line="202"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9"/>
          <w:szCs w:val="19"/>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xml:space="preserve">” shall refer instead to the successor Person and not to the Company), and may exercise every right and power of the Company under this Indenture with the same effect as if such successor Person had been named as the Company 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predecessor Company shall not be relieved from the obligation to pay the principal of and interest on the Notes except in the case of a sale of all of the Company’s assets in a transaction that is subject to, and that complies with the provisions of,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DEFAULTS AND REMEDIES</w:t>
      </w:r>
    </w:p>
    <w:p>
      <w:pPr>
        <w:spacing w:after="0" w:line="2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Events of Default</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of the following is an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1280" w:hanging="634"/>
        <w:spacing w:after="0" w:line="261" w:lineRule="auto"/>
        <w:tabs>
          <w:tab w:leader="none" w:pos="1201" w:val="left"/>
        </w:tabs>
        <w:numPr>
          <w:ilvl w:val="0"/>
          <w:numId w:val="5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Company fails to pay principal amounts due on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failure to pay is caused by an administrative or technical error, the Company shall have three Business Days to cure such failure); or (ii) the Company fails to pay interest or other amounts due on the Notes within three Business Days of the same becoming due;</w:t>
      </w:r>
    </w:p>
    <w:p>
      <w:pPr>
        <w:spacing w:after="0" w:line="150" w:lineRule="exact"/>
        <w:rPr>
          <w:rFonts w:ascii="Times New Roman" w:cs="Times New Roman" w:eastAsia="Times New Roman" w:hAnsi="Times New Roman"/>
          <w:sz w:val="20"/>
          <w:szCs w:val="20"/>
          <w:color w:val="auto"/>
        </w:rPr>
      </w:pPr>
    </w:p>
    <w:p>
      <w:pPr>
        <w:ind w:left="1280" w:hanging="634"/>
        <w:spacing w:after="0" w:line="254" w:lineRule="auto"/>
        <w:tabs>
          <w:tab w:leader="none" w:pos="1196" w:val="left"/>
        </w:tabs>
        <w:numPr>
          <w:ilvl w:val="0"/>
          <w:numId w:val="5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of Default” specified in Article 7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 xml:space="preserve">) of the Common Terms Agreement has occurred and is continuing and has not been Waived in accordance with the Collateral and Intercreditor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amendment or other modification to Section 7.5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of the Common Terms Agreement that results in the occurrence of a Bankruptcy with respect to the Company not being an “Event of Default” under such Section 7.5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shall be effective with respect to the Notes unless such amendment or other modification is approved by the Holders of a majority in aggregate principal amount of the Notes then outstanding;</w:t>
      </w:r>
    </w:p>
    <w:p>
      <w:pPr>
        <w:spacing w:after="0" w:line="177"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5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to consummate a purchase of Notes when required pursuant to </w:t>
      </w:r>
      <w:r>
        <w:rPr>
          <w:rFonts w:ascii="Times New Roman" w:cs="Times New Roman" w:eastAsia="Times New Roman" w:hAnsi="Times New Roman"/>
          <w:sz w:val="20"/>
          <w:szCs w:val="20"/>
          <w:u w:val="single" w:color="auto"/>
          <w:color w:val="auto"/>
        </w:rPr>
        <w:t>Sections 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5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to comply with the provisions of </w:t>
      </w:r>
      <w:r>
        <w:rPr>
          <w:rFonts w:ascii="Times New Roman" w:cs="Times New Roman" w:eastAsia="Times New Roman" w:hAnsi="Times New Roman"/>
          <w:sz w:val="20"/>
          <w:szCs w:val="20"/>
          <w:u w:val="single" w:color="auto"/>
          <w:color w:val="auto"/>
        </w:rPr>
        <w:t>Sections 4.6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5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to comply with the provisions of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xml:space="preserve"> and such failure shall result in a Material Adverse Effect;</w:t>
      </w:r>
    </w:p>
    <w:p>
      <w:pPr>
        <w:spacing w:after="0" w:line="20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063" w:val="left"/>
        </w:tabs>
        <w:numPr>
          <w:ilvl w:val="0"/>
          <w:numId w:val="5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for thirty days after notice from the Trustee or the Noteholders of at least 33⅓% in aggregate principal amount of the then outstanding Notes to comply with the provisions of </w:t>
      </w:r>
      <w:r>
        <w:rPr>
          <w:rFonts w:ascii="Times New Roman" w:cs="Times New Roman" w:eastAsia="Times New Roman" w:hAnsi="Times New Roman"/>
          <w:sz w:val="20"/>
          <w:szCs w:val="20"/>
          <w:u w:val="single" w:color="auto"/>
          <w:color w:val="auto"/>
        </w:rPr>
        <w:t>Sections 4.5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15" w:name="page416"/>
    <w:bookmarkEnd w:id="415"/>
    <w:p>
      <w:pPr>
        <w:ind w:left="1280" w:hanging="634"/>
        <w:spacing w:after="0" w:line="261" w:lineRule="auto"/>
        <w:tabs>
          <w:tab w:leader="none" w:pos="1099"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Company for sixty days after notice from the Trustee or the Noteholders of at least 33⅓% in aggregate principal amount of the then outstanding Notes to comply with any of the other agreements in this Indenture; provided that such period shall be ninety days with respect to </w:t>
      </w:r>
      <w:r>
        <w:rPr>
          <w:rFonts w:ascii="Times New Roman" w:cs="Times New Roman" w:eastAsia="Times New Roman" w:hAnsi="Times New Roman"/>
          <w:sz w:val="20"/>
          <w:szCs w:val="20"/>
          <w:u w:val="single" w:color="auto"/>
          <w:color w:val="auto"/>
        </w:rPr>
        <w:t>Section 4.3(k)</w:t>
      </w:r>
      <w:r>
        <w:rPr>
          <w:rFonts w:ascii="Times New Roman" w:cs="Times New Roman" w:eastAsia="Times New Roman" w:hAnsi="Times New Roman"/>
          <w:sz w:val="20"/>
          <w:szCs w:val="20"/>
          <w:color w:val="auto"/>
        </w:rPr>
        <w:t>;</w:t>
      </w:r>
    </w:p>
    <w:p>
      <w:pPr>
        <w:spacing w:after="0" w:line="154" w:lineRule="exact"/>
        <w:rPr>
          <w:rFonts w:ascii="Times New Roman" w:cs="Times New Roman" w:eastAsia="Times New Roman" w:hAnsi="Times New Roman"/>
          <w:sz w:val="20"/>
          <w:szCs w:val="20"/>
          <w:color w:val="auto"/>
        </w:rPr>
      </w:pPr>
    </w:p>
    <w:p>
      <w:pPr>
        <w:ind w:left="1280" w:hanging="634"/>
        <w:spacing w:after="0" w:line="268" w:lineRule="auto"/>
        <w:tabs>
          <w:tab w:leader="none" w:pos="1086"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Liens in favor of the Senior Secured Parties under the Senior Security Documents shall at any time cease to constitute valid and perfected Liens granting a first priority security interest in any material portion of the Collateral (subject to Permitted Liens);</w:t>
      </w:r>
    </w:p>
    <w:p>
      <w:pPr>
        <w:spacing w:after="0" w:line="147" w:lineRule="exact"/>
        <w:rPr>
          <w:rFonts w:ascii="Times New Roman" w:cs="Times New Roman" w:eastAsia="Times New Roman" w:hAnsi="Times New Roman"/>
          <w:sz w:val="20"/>
          <w:szCs w:val="20"/>
          <w:color w:val="auto"/>
        </w:rPr>
      </w:pPr>
    </w:p>
    <w:p>
      <w:pPr>
        <w:ind w:left="1040" w:hanging="394"/>
        <w:spacing w:after="0"/>
        <w:tabs>
          <w:tab w:leader="none" w:pos="1040"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Project fails to achieve the Project Completion Date on or before the Date Certain;</w:t>
      </w:r>
    </w:p>
    <w:p>
      <w:pPr>
        <w:spacing w:after="0" w:line="202" w:lineRule="exact"/>
        <w:rPr>
          <w:rFonts w:ascii="Times New Roman" w:cs="Times New Roman" w:eastAsia="Times New Roman" w:hAnsi="Times New Roman"/>
          <w:sz w:val="20"/>
          <w:szCs w:val="20"/>
          <w:color w:val="auto"/>
        </w:rPr>
      </w:pPr>
    </w:p>
    <w:p>
      <w:pPr>
        <w:jc w:val="right"/>
        <w:ind w:left="1280" w:hanging="634"/>
        <w:spacing w:after="0" w:line="267" w:lineRule="auto"/>
        <w:tabs>
          <w:tab w:leader="none" w:pos="1106" w:val="left"/>
        </w:tabs>
        <w:numPr>
          <w:ilvl w:val="0"/>
          <w:numId w:val="5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Project Document (other than any Designated Offtake Agreement) (i) is expressly repudiated in writing by the Material Project Party that is the counterparty thereto and such repudiation could reasonably be expected to have a Material Adverse Effect, (ii) is declared unenforceable in a final judgment of a court of competent jurisdiction against any party, such unenforceability is not cured, and such unenforceability could reasonably be expected to have a Material Adverse Effect, or</w:t>
      </w:r>
    </w:p>
    <w:p>
      <w:pPr>
        <w:spacing w:after="0" w:line="1" w:lineRule="exact"/>
        <w:rPr>
          <w:rFonts w:ascii="Times New Roman" w:cs="Times New Roman" w:eastAsia="Times New Roman" w:hAnsi="Times New Roman"/>
          <w:sz w:val="19"/>
          <w:szCs w:val="19"/>
          <w:color w:val="auto"/>
        </w:rPr>
      </w:pPr>
    </w:p>
    <w:p>
      <w:pPr>
        <w:jc w:val="both"/>
        <w:ind w:left="1280" w:firstLine="4"/>
        <w:spacing w:after="0" w:line="247" w:lineRule="auto"/>
        <w:tabs>
          <w:tab w:leader="none" w:pos="1644" w:val="left"/>
        </w:tabs>
        <w:numPr>
          <w:ilvl w:val="1"/>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have been terminated or shall for any reason cease to be valid and binding or in full force and effect or shall be materially Impaired (in each case, except in connection with its expiration in accordance with its terms in the ordinary course (and not related to any default or early termination right thereunder)) and such termination, failure to be valid, binding, or in full force and effect, or material Impairment could reasonably be expected to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Event of Default shall have occurred pursuant to this </w:t>
      </w:r>
      <w:r>
        <w:rPr>
          <w:rFonts w:ascii="Times New Roman" w:cs="Times New Roman" w:eastAsia="Times New Roman" w:hAnsi="Times New Roman"/>
          <w:sz w:val="20"/>
          <w:szCs w:val="20"/>
          <w:u w:val="single" w:color="auto"/>
          <w:color w:val="auto"/>
        </w:rPr>
        <w:t>Section 6.1(j)</w:t>
      </w:r>
      <w:r>
        <w:rPr>
          <w:rFonts w:ascii="Times New Roman" w:cs="Times New Roman" w:eastAsia="Times New Roman" w:hAnsi="Times New Roman"/>
          <w:sz w:val="20"/>
          <w:szCs w:val="20"/>
          <w:color w:val="auto"/>
        </w:rPr>
        <w:t xml:space="preserve"> if (x) such event or circumstance is cured within sixty days of such event or circumstance or (y) the Company notifies the Trustee that it intends to replace such Material Project Document and diligently pursues such replacement and the applicable Material Project Document is replaced within ninety days with an Additional Material Project Document which has substantially similar or more favorable economic effect for Company, as applicable, when taken as a whole together with any other agreements related thereto and which has substantially similar or more favorable non-economic terms (taken as a whole together with any other agreements related thereto) for Company, as applicable, as the Material Project Document being replaced; and</w:t>
      </w:r>
    </w:p>
    <w:p>
      <w:pPr>
        <w:spacing w:after="0" w:line="185" w:lineRule="exact"/>
        <w:rPr>
          <w:rFonts w:ascii="Times New Roman" w:cs="Times New Roman" w:eastAsia="Times New Roman" w:hAnsi="Times New Roman"/>
          <w:sz w:val="20"/>
          <w:szCs w:val="20"/>
          <w:color w:val="auto"/>
        </w:rPr>
      </w:pPr>
    </w:p>
    <w:p>
      <w:pPr>
        <w:ind w:left="1280" w:hanging="634"/>
        <w:spacing w:after="0" w:line="252" w:lineRule="auto"/>
        <w:tabs>
          <w:tab w:leader="none" w:pos="1109"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7.7 (</w:t>
      </w:r>
      <w:r>
        <w:rPr>
          <w:rFonts w:ascii="Times New Roman" w:cs="Times New Roman" w:eastAsia="Times New Roman" w:hAnsi="Times New Roman"/>
          <w:sz w:val="20"/>
          <w:szCs w:val="20"/>
          <w:i w:val="1"/>
          <w:iCs w:val="1"/>
          <w:color w:val="auto"/>
        </w:rPr>
        <w:t>Illegality or Unenforceability</w:t>
      </w:r>
      <w:r>
        <w:rPr>
          <w:rFonts w:ascii="Times New Roman" w:cs="Times New Roman" w:eastAsia="Times New Roman" w:hAnsi="Times New Roman"/>
          <w:sz w:val="20"/>
          <w:szCs w:val="20"/>
          <w:color w:val="auto"/>
        </w:rPr>
        <w:t>) of the Common Terms Agreement, any Necessary Senior Secured Debt Instrument or any material provision thereof, (i) is declared by a court of competent jurisdiction to be illegal or unenforceable and such unenforceability or illegality is not cured within five Business Days following the date of entry of such judgment (provided, that such five Business Day period will apply only so long as the relevant party is attempting in good faith to cure such unenforceability), (ii) should otherwise cease to be valid and binding or in full force and effect or shall be materially Impaired (in each case, except in connection with its expiration or termination in accordance with its terms in the ordinary course (and not related to any default hereunder or thereunder)), or (iii) is expressly terminated, contested or repudiated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16" w:name="page417"/>
    <w:bookmarkEnd w:id="416"/>
    <w:p>
      <w:pPr>
        <w:spacing w:after="0"/>
        <w:tabs>
          <w:tab w:leader="none" w:pos="4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Acceleration</w:t>
      </w:r>
    </w:p>
    <w:p>
      <w:pPr>
        <w:spacing w:after="0" w:line="198" w:lineRule="exact"/>
        <w:rPr>
          <w:sz w:val="20"/>
          <w:szCs w:val="20"/>
          <w:color w:val="auto"/>
        </w:rPr>
      </w:pPr>
    </w:p>
    <w:p>
      <w:pPr>
        <w:jc w:val="both"/>
        <w:ind w:left="640"/>
        <w:spacing w:after="0" w:line="287" w:lineRule="auto"/>
        <w:rPr>
          <w:sz w:val="20"/>
          <w:szCs w:val="20"/>
          <w:color w:val="auto"/>
        </w:rPr>
      </w:pPr>
      <w:r>
        <w:rPr>
          <w:rFonts w:ascii="Times New Roman" w:cs="Times New Roman" w:eastAsia="Times New Roman" w:hAnsi="Times New Roman"/>
          <w:sz w:val="20"/>
          <w:szCs w:val="20"/>
          <w:color w:val="auto"/>
        </w:rPr>
        <w:t>In the case of an Event of Default specified in Section 7.5(a)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of the Common Terms Agreement, all outstanding Notes will become due and payable immediately without further action or notice (subject to applicable law).</w:t>
      </w:r>
    </w:p>
    <w:p>
      <w:pPr>
        <w:spacing w:after="0" w:line="129"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If any other Event of Default occurs and is continuing, the Trustee or the Noteholders of at least 33⅓% in aggregate principal amount of the then outstanding Notes may declare all the Notes to be due and payable immediately, by notice in writing to the Company, specifying the Event of Default.</w:t>
      </w:r>
    </w:p>
    <w:p>
      <w:pPr>
        <w:spacing w:after="0" w:line="168"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Company waives any and all claims, in law and/or in equity, against the Trustee, and agrees not to commence any legal proceeding against the Trustee in respect of, and agrees that the Trustee will not be liable for any action that the trustee takes in accordance with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or arising out of or in connection with following instructions.</w:t>
      </w:r>
    </w:p>
    <w:p>
      <w:pPr>
        <w:spacing w:after="0" w:line="154"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Company hereby confirms that any and all other actions that the Trustee takes or omits to take under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and all fees, costs and expenses of the Trustee and its agents and counsel arising hereunder and in connection herewith shall be covered by the Company’s indemnification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of this Indenture.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Upon any such declaration, the Notes shall become due and payable immediately.</w:t>
      </w: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Other Remedies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54" w:lineRule="exact"/>
        <w:rPr>
          <w:sz w:val="20"/>
          <w:szCs w:val="20"/>
          <w:color w:val="auto"/>
        </w:rPr>
      </w:pPr>
    </w:p>
    <w:p>
      <w:pPr>
        <w:jc w:val="both"/>
        <w:ind w:left="640" w:right="20"/>
        <w:spacing w:after="0" w:line="258" w:lineRule="auto"/>
        <w:rPr>
          <w:sz w:val="20"/>
          <w:szCs w:val="20"/>
          <w:color w:val="auto"/>
        </w:rPr>
      </w:pPr>
      <w:r>
        <w:rPr>
          <w:rFonts w:ascii="Times New Roman" w:cs="Times New Roman" w:eastAsia="Times New Roman" w:hAnsi="Times New Roman"/>
          <w:sz w:val="20"/>
          <w:szCs w:val="20"/>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All remedies are cumulative to the extent permitted by law.</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u w:val="single" w:color="auto"/>
          <w:color w:val="auto"/>
        </w:rPr>
        <w:t>Waiver of Past Defaults</w:t>
      </w:r>
    </w:p>
    <w:p>
      <w:pPr>
        <w:spacing w:after="0" w:line="216"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Noteholders of a majority in aggregate principal amount of the then outstanding Notes by notice to the Trustee may on behalf of all Noteholders waive an existing Default or Event of Default and its consequences hereunder, except a continuing Default or Event of Default in the payment of the principal of, premium, if any, or interest on,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Noteholders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17" w:name="page418"/>
    <w:bookmarkEnd w:id="417"/>
    <w:p>
      <w:pPr>
        <w:spacing w:after="0"/>
        <w:tabs>
          <w:tab w:leader="none" w:pos="44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u w:val="single" w:color="auto"/>
          <w:color w:val="auto"/>
        </w:rPr>
        <w:t>Control by Majority</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Noteholders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Noteholders or that may involve the Trustee in personal liability.</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u w:val="single" w:color="auto"/>
          <w:color w:val="auto"/>
        </w:rPr>
        <w:t>Limitation on Suits</w:t>
      </w:r>
    </w:p>
    <w:p>
      <w:pPr>
        <w:spacing w:after="0" w:line="216"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a Noteholder may pursue a remedy with respect to this Indenture or the Notes only if:</w:t>
      </w:r>
    </w:p>
    <w:p>
      <w:pPr>
        <w:spacing w:after="0" w:line="146" w:lineRule="exact"/>
        <w:rPr>
          <w:sz w:val="20"/>
          <w:szCs w:val="20"/>
          <w:color w:val="auto"/>
        </w:rPr>
      </w:pPr>
    </w:p>
    <w:p>
      <w:pPr>
        <w:ind w:left="1060" w:hanging="414"/>
        <w:spacing w:after="0"/>
        <w:tabs>
          <w:tab w:leader="none" w:pos="1060"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Noteholder has previously given the Trustee written notice that an Event of Default is continuing;</w:t>
      </w:r>
    </w:p>
    <w:p>
      <w:pPr>
        <w:spacing w:after="0" w:line="215" w:lineRule="exact"/>
        <w:rPr>
          <w:rFonts w:ascii="Times New Roman" w:cs="Times New Roman" w:eastAsia="Times New Roman" w:hAnsi="Times New Roman"/>
          <w:sz w:val="20"/>
          <w:szCs w:val="20"/>
          <w:color w:val="auto"/>
        </w:rPr>
      </w:pPr>
    </w:p>
    <w:p>
      <w:pPr>
        <w:ind w:left="1280" w:hanging="634"/>
        <w:spacing w:after="0" w:line="269" w:lineRule="auto"/>
        <w:tabs>
          <w:tab w:leader="none" w:pos="1077"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Noteholders of at least 33⅓% in aggregate principal amount of the then outstanding Notes make a written request to the Trustee to pursue the remedy;</w:t>
      </w:r>
    </w:p>
    <w:p>
      <w:pPr>
        <w:spacing w:after="0" w:line="145" w:lineRule="exact"/>
        <w:rPr>
          <w:rFonts w:ascii="Times New Roman" w:cs="Times New Roman" w:eastAsia="Times New Roman" w:hAnsi="Times New Roman"/>
          <w:sz w:val="20"/>
          <w:szCs w:val="20"/>
          <w:color w:val="auto"/>
        </w:rPr>
      </w:pPr>
    </w:p>
    <w:p>
      <w:pPr>
        <w:ind w:left="1280" w:hanging="634"/>
        <w:spacing w:after="0" w:line="283" w:lineRule="auto"/>
        <w:tabs>
          <w:tab w:leader="none" w:pos="1152"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Noteholder or Noteholders have offered the Trustee security or indemnity satisfactory to the Trustee against any loss, liability or expense;</w:t>
      </w:r>
    </w:p>
    <w:p>
      <w:pPr>
        <w:spacing w:after="0" w:line="132" w:lineRule="exact"/>
        <w:rPr>
          <w:rFonts w:ascii="Times New Roman" w:cs="Times New Roman" w:eastAsia="Times New Roman" w:hAnsi="Times New Roman"/>
          <w:sz w:val="20"/>
          <w:szCs w:val="20"/>
          <w:color w:val="auto"/>
        </w:rPr>
      </w:pPr>
    </w:p>
    <w:p>
      <w:pPr>
        <w:ind w:left="1280" w:hanging="634"/>
        <w:spacing w:after="0" w:line="283" w:lineRule="auto"/>
        <w:tabs>
          <w:tab w:leader="none" w:pos="1143"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has not complied with such request within sixty days after the receipt of the request and the offer of security or indemnity; and</w:t>
      </w:r>
    </w:p>
    <w:p>
      <w:pPr>
        <w:spacing w:after="0" w:line="13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111"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Noteholders of a majority in aggregate principal amount of the then outstanding Notes have not given the Trustee a direction inconsistent with such request within such sixty-day period.</w:t>
      </w:r>
    </w:p>
    <w:p>
      <w:pPr>
        <w:spacing w:after="0" w:line="133"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A Noteholder may not use this Indenture to prejudice the rights of another Noteholder or to obtain a preference or priority over another Noteholder.</w:t>
      </w:r>
    </w:p>
    <w:p>
      <w:pPr>
        <w:spacing w:after="0" w:line="13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u w:val="single" w:color="auto"/>
          <w:color w:val="auto"/>
        </w:rPr>
        <w:t>Rights of Noteholders to Receive Payment</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 other provision of this Indenture, the right of any Noteholder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Noteholder;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Noteholder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6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9"/>
          <w:szCs w:val="19"/>
          <w:u w:val="single" w:color="auto"/>
          <w:color w:val="auto"/>
        </w:rPr>
        <w:t>Collection Suit by Trustee</w:t>
      </w:r>
    </w:p>
    <w:p>
      <w:pPr>
        <w:spacing w:after="0" w:line="198"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if an Event of Default specified in Section 7.1 (</w:t>
      </w:r>
      <w:r>
        <w:rPr>
          <w:rFonts w:ascii="Times New Roman" w:cs="Times New Roman" w:eastAsia="Times New Roman" w:hAnsi="Times New Roman"/>
          <w:sz w:val="20"/>
          <w:szCs w:val="20"/>
          <w:i w:val="1"/>
          <w:iCs w:val="1"/>
          <w:color w:val="auto"/>
        </w:rPr>
        <w:t>Non-Payment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Senior Secured Debt</w:t>
      </w:r>
      <w:r>
        <w:rPr>
          <w:rFonts w:ascii="Times New Roman" w:cs="Times New Roman" w:eastAsia="Times New Roman" w:hAnsi="Times New Roman"/>
          <w:sz w:val="20"/>
          <w:szCs w:val="20"/>
          <w:color w:val="auto"/>
        </w:rPr>
        <w:t>) of the Common Terms Agreement with respect to the Notes occurs and is continuing, the Trustee is authorized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recover judgment in its own name and as trustee of an express trust against the Company for the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18" w:name="page419"/>
    <w:bookmarkEnd w:id="418"/>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u w:val="single" w:color="auto"/>
          <w:color w:val="auto"/>
        </w:rPr>
        <w:t>Trustee May File Proofs of Claim</w:t>
      </w:r>
    </w:p>
    <w:p>
      <w:pPr>
        <w:spacing w:after="0" w:line="216"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 xml:space="preserve">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Noteholders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Noteholder to make such payments to the 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To the extent that the payment of any such compensation, expenses, disbursements and advances of the Trustee, its agents and counsel, and any other amounts due the Trustee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out of the estate in any such proceeding, shall be denied for any reason, payment of the same shall be secured by a Lien on, and shall be paid out of, any and all distributions, dividends, money, securities and other properties that the Noteholders may be entitled to receive in such proceeding whether in liquidation or under any plan of reorganization or arrangement or otherwise. Nothing herein contained shall be deemed to authorize the Trustee to authorize or consent to or accept or adopt on behalf of any Noteholder any plan of reorganization, arrangement, adjustment or composition affecting the Notes or the rights of any Noteholder, or to authorize the Trustee to vote in respect of the claim of any Noteholder in any such proceeding.</w:t>
      </w:r>
    </w:p>
    <w:p>
      <w:pPr>
        <w:spacing w:after="0" w:line="17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u w:val="single" w:color="auto"/>
          <w:color w:val="auto"/>
        </w:rPr>
        <w:t>Priorities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Subject to the terms of the Collateral and Intercreditor Agreement, if the Trustee collects any money pursuant to this Article 6, or, after an Event of Default, any money or other property distributable in respect of the Company’s obligations under this Indenture, it shall pay out the money in the following order:</w:t>
      </w:r>
    </w:p>
    <w:p>
      <w:pPr>
        <w:spacing w:after="0" w:line="164" w:lineRule="exact"/>
        <w:rPr>
          <w:sz w:val="20"/>
          <w:szCs w:val="20"/>
          <w:color w:val="auto"/>
        </w:rPr>
      </w:pPr>
    </w:p>
    <w:p>
      <w:pPr>
        <w:jc w:val="both"/>
        <w:ind w:left="1280"/>
        <w:spacing w:after="0" w:line="263"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the Trustee (including any predecessor trustee), its agents and attorneys for amounts due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of all compensation, expenses and liabilities incurred, and all advances made, by the Trustee and the costs and expenses of collection;</w:t>
      </w:r>
    </w:p>
    <w:p>
      <w:pPr>
        <w:spacing w:after="0" w:line="148" w:lineRule="exact"/>
        <w:rPr>
          <w:sz w:val="20"/>
          <w:szCs w:val="20"/>
          <w:color w:val="auto"/>
        </w:rPr>
      </w:pPr>
    </w:p>
    <w:p>
      <w:pPr>
        <w:jc w:val="both"/>
        <w:ind w:left="1280"/>
        <w:spacing w:after="0" w:line="263"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Noteholders for amounts due and unpaid on the Notes for principal, premium, if any, and interest, ratably, without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preference or priority of any kind, according to the amounts due and payable on the Notes for principal, premium, if any, and interest, respectively; and</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the Company or to such party as a court of competent jurisdiction shall direct.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The Trustee may fix a record date and payment date for any payment to Noteholders pursuant to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19" w:name="page420"/>
    <w:bookmarkEnd w:id="419"/>
    <w:p>
      <w:pPr>
        <w:spacing w:after="0"/>
        <w:tabs>
          <w:tab w:leader="none" w:pos="52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u w:val="single" w:color="auto"/>
          <w:color w:val="auto"/>
        </w:rPr>
        <w:t>Undertaking for Costs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does not apply to a suit by the Trustee, a suit by a Noteholder pursuant to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or a suit by Noteholders of more than 10% in aggregate principal amount of the then outstanding Notes.</w:t>
      </w:r>
    </w:p>
    <w:p>
      <w:pPr>
        <w:spacing w:after="0" w:line="16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TRUSTEE</w:t>
      </w:r>
    </w:p>
    <w:p>
      <w:pPr>
        <w:spacing w:after="0" w:line="22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Duties of Trustee</w:t>
      </w:r>
    </w:p>
    <w:p>
      <w:pPr>
        <w:spacing w:after="0" w:line="202" w:lineRule="exact"/>
        <w:rPr>
          <w:sz w:val="20"/>
          <w:szCs w:val="20"/>
          <w:color w:val="auto"/>
        </w:rPr>
      </w:pPr>
    </w:p>
    <w:p>
      <w:pPr>
        <w:ind w:left="1280" w:hanging="634"/>
        <w:spacing w:after="0" w:line="261" w:lineRule="auto"/>
        <w:tabs>
          <w:tab w:leader="none" w:pos="1069"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has occurred and is continuing, the Trustee will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54"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during the continuance of an Event of Default:</w:t>
      </w:r>
    </w:p>
    <w:p>
      <w:pPr>
        <w:spacing w:after="0" w:line="215" w:lineRule="exact"/>
        <w:rPr>
          <w:rFonts w:ascii="Times New Roman" w:cs="Times New Roman" w:eastAsia="Times New Roman" w:hAnsi="Times New Roman"/>
          <w:sz w:val="20"/>
          <w:szCs w:val="20"/>
          <w:color w:val="auto"/>
        </w:rPr>
      </w:pPr>
    </w:p>
    <w:p>
      <w:pPr>
        <w:ind w:left="1920" w:hanging="636"/>
        <w:spacing w:after="0" w:line="261" w:lineRule="auto"/>
        <w:tabs>
          <w:tab w:leader="none" w:pos="1757" w:val="left"/>
        </w:tabs>
        <w:numPr>
          <w:ilvl w:val="1"/>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54" w:lineRule="exact"/>
        <w:rPr>
          <w:rFonts w:ascii="Times New Roman" w:cs="Times New Roman" w:eastAsia="Times New Roman" w:hAnsi="Times New Roman"/>
          <w:sz w:val="20"/>
          <w:szCs w:val="20"/>
          <w:color w:val="auto"/>
        </w:rPr>
      </w:pPr>
    </w:p>
    <w:p>
      <w:pPr>
        <w:ind w:left="1920" w:hanging="636"/>
        <w:spacing w:after="0" w:line="253" w:lineRule="auto"/>
        <w:tabs>
          <w:tab w:leader="none" w:pos="1820" w:val="left"/>
        </w:tabs>
        <w:numPr>
          <w:ilvl w:val="1"/>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case of any such certificates or opinions which by any provision hereof are specifically required to be furnished to the Trustee, the Trustee will examine the certificates and opinions to determine whether or not they conform to the requirements of this Indenture (but need not confirm or investigate the accuracy of mathematical calculations or other facts, statements, opinions or conclusions stated therein)).</w:t>
      </w:r>
    </w:p>
    <w:p>
      <w:pPr>
        <w:spacing w:after="0" w:line="165" w:lineRule="exact"/>
        <w:rPr>
          <w:rFonts w:ascii="Times New Roman" w:cs="Times New Roman" w:eastAsia="Times New Roman" w:hAnsi="Times New Roman"/>
          <w:sz w:val="20"/>
          <w:szCs w:val="20"/>
          <w:color w:val="auto"/>
        </w:rPr>
      </w:pPr>
    </w:p>
    <w:p>
      <w:pPr>
        <w:ind w:left="1280" w:hanging="634"/>
        <w:spacing w:after="0" w:line="283" w:lineRule="auto"/>
        <w:tabs>
          <w:tab w:leader="none" w:pos="1085"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not be relieved from liabilities for its own negligent action, its own negligent failure to act, or its own willful misconduct, except that:</w:t>
      </w:r>
    </w:p>
    <w:p>
      <w:pPr>
        <w:spacing w:after="0" w:line="132" w:lineRule="exact"/>
        <w:rPr>
          <w:rFonts w:ascii="Times New Roman" w:cs="Times New Roman" w:eastAsia="Times New Roman" w:hAnsi="Times New Roman"/>
          <w:sz w:val="20"/>
          <w:szCs w:val="20"/>
          <w:color w:val="auto"/>
        </w:rPr>
      </w:pPr>
    </w:p>
    <w:p>
      <w:pPr>
        <w:ind w:left="1660" w:hanging="376"/>
        <w:spacing w:after="0"/>
        <w:tabs>
          <w:tab w:leader="none" w:pos="1660" w:val="left"/>
        </w:tabs>
        <w:numPr>
          <w:ilvl w:val="1"/>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paragraph does not limit the effect of </w:t>
      </w:r>
      <w:r>
        <w:rPr>
          <w:rFonts w:ascii="Times New Roman" w:cs="Times New Roman" w:eastAsia="Times New Roman" w:hAnsi="Times New Roman"/>
          <w:sz w:val="20"/>
          <w:szCs w:val="20"/>
          <w:u w:val="single" w:color="auto"/>
          <w:color w:val="auto"/>
        </w:rPr>
        <w:t>paragraphs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1920" w:hanging="636"/>
        <w:spacing w:after="0" w:line="283" w:lineRule="auto"/>
        <w:tabs>
          <w:tab w:leader="none" w:pos="1739" w:val="left"/>
        </w:tabs>
        <w:numPr>
          <w:ilvl w:val="1"/>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any error of judgment made in good faith by a Responsible Officer, unless it is proved that the Trustee was negligent in ascertaining the pertinent facts; and</w:t>
      </w:r>
    </w:p>
    <w:p>
      <w:pPr>
        <w:spacing w:after="0" w:line="132" w:lineRule="exact"/>
        <w:rPr>
          <w:rFonts w:ascii="Times New Roman" w:cs="Times New Roman" w:eastAsia="Times New Roman" w:hAnsi="Times New Roman"/>
          <w:sz w:val="20"/>
          <w:szCs w:val="20"/>
          <w:color w:val="auto"/>
        </w:rPr>
      </w:pPr>
    </w:p>
    <w:p>
      <w:pPr>
        <w:ind w:left="1920" w:hanging="636"/>
        <w:spacing w:after="0" w:line="269" w:lineRule="auto"/>
        <w:tabs>
          <w:tab w:leader="none" w:pos="1848" w:val="left"/>
        </w:tabs>
        <w:numPr>
          <w:ilvl w:val="1"/>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20" w:name="page421"/>
    <w:bookmarkEnd w:id="420"/>
    <w:p>
      <w:pPr>
        <w:ind w:left="1280" w:hanging="634"/>
        <w:spacing w:after="0" w:line="283" w:lineRule="auto"/>
        <w:tabs>
          <w:tab w:leader="none" w:pos="1091" w:val="left"/>
        </w:tabs>
        <w:numPr>
          <w:ilvl w:val="0"/>
          <w:numId w:val="5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Whether or not therein expressly so provided, every provision of this Indenture that in any way relates to the Trustee is subject to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ind w:left="1280" w:hanging="634"/>
        <w:spacing w:after="0" w:line="261" w:lineRule="auto"/>
        <w:tabs>
          <w:tab w:leader="none" w:pos="1071" w:val="left"/>
        </w:tabs>
        <w:numPr>
          <w:ilvl w:val="0"/>
          <w:numId w:val="5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Indenture will require the Trustee to expend or risk its own funds or incur any liability. The Trustee will be under no obligation to exercise any of its rights and powers under this Indenture at the request of any Noteholders, unless such Noteholder has offered to the Trustee security and indemnity satisfactory to it against any loss, liability or expense.</w:t>
      </w:r>
    </w:p>
    <w:p>
      <w:pPr>
        <w:spacing w:after="0" w:line="154" w:lineRule="exact"/>
        <w:rPr>
          <w:rFonts w:ascii="Times New Roman" w:cs="Times New Roman" w:eastAsia="Times New Roman" w:hAnsi="Times New Roman"/>
          <w:sz w:val="20"/>
          <w:szCs w:val="20"/>
          <w:color w:val="auto"/>
        </w:rPr>
      </w:pPr>
    </w:p>
    <w:p>
      <w:pPr>
        <w:ind w:left="1280" w:hanging="634"/>
        <w:spacing w:after="0" w:line="283" w:lineRule="auto"/>
        <w:tabs>
          <w:tab w:leader="none" w:pos="1118" w:val="left"/>
        </w:tabs>
        <w:numPr>
          <w:ilvl w:val="0"/>
          <w:numId w:val="5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3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Rights of Trustee</w:t>
      </w:r>
    </w:p>
    <w:p>
      <w:pPr>
        <w:spacing w:after="0" w:line="202" w:lineRule="exact"/>
        <w:rPr>
          <w:sz w:val="20"/>
          <w:szCs w:val="20"/>
          <w:color w:val="auto"/>
        </w:rPr>
      </w:pPr>
    </w:p>
    <w:p>
      <w:pPr>
        <w:ind w:left="1280" w:hanging="634"/>
        <w:spacing w:after="0" w:line="252" w:lineRule="auto"/>
        <w:tabs>
          <w:tab w:leader="none" w:pos="1176" w:val="left"/>
        </w:tabs>
        <w:numPr>
          <w:ilvl w:val="0"/>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conclusively rely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The Trustee need not investigate any fact or matter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(subject to reasonable confidentiality arrangements as may be proposed by the Company) to make reasonable investigation (upon prior notice and during regular business hours) of the books, records and premises of the Company, personally or by agent or attorney at the sole cost of the Company and shall incur no liability or additional liability of any kind by reason of such inquiry or investigation.</w:t>
      </w:r>
    </w:p>
    <w:p>
      <w:pPr>
        <w:spacing w:after="0" w:line="163" w:lineRule="exact"/>
        <w:rPr>
          <w:rFonts w:ascii="Times New Roman" w:cs="Times New Roman" w:eastAsia="Times New Roman" w:hAnsi="Times New Roman"/>
          <w:sz w:val="20"/>
          <w:szCs w:val="20"/>
          <w:color w:val="auto"/>
        </w:rPr>
      </w:pPr>
    </w:p>
    <w:p>
      <w:pPr>
        <w:ind w:left="1280" w:hanging="634"/>
        <w:spacing w:after="0" w:line="253" w:lineRule="auto"/>
        <w:tabs>
          <w:tab w:leader="none" w:pos="1185" w:val="left"/>
        </w:tabs>
        <w:numPr>
          <w:ilvl w:val="0"/>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Before the Trustee acts or refrains from acting, it may require an Officer’s Certificate or an Opinion of Counsel or both;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 Officer’s Certificate or Opinion of Counsel will not be required if the Indenture requires the Company to deliver a certificate of an Authorized Officer of the Company in connection with such act or refrain from acting. The Trustee will not be liable for any action it takes, suffers or omits to take in good faith in reliance on such Officer’s Certificate, Opinion of Counsel or a certificate of an Authorized Officer of the Company.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65" w:lineRule="exact"/>
        <w:rPr>
          <w:rFonts w:ascii="Times New Roman" w:cs="Times New Roman" w:eastAsia="Times New Roman" w:hAnsi="Times New Roman"/>
          <w:sz w:val="20"/>
          <w:szCs w:val="20"/>
          <w:color w:val="auto"/>
        </w:rPr>
      </w:pPr>
    </w:p>
    <w:p>
      <w:pPr>
        <w:ind w:left="1280" w:hanging="634"/>
        <w:spacing w:after="0" w:line="269" w:lineRule="auto"/>
        <w:tabs>
          <w:tab w:leader="none" w:pos="1077" w:val="left"/>
        </w:tabs>
        <w:numPr>
          <w:ilvl w:val="0"/>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act through its attorneys and agents and will not be responsible for the misconduct or negligence of any agent appointed with due care.</w:t>
      </w:r>
    </w:p>
    <w:p>
      <w:pPr>
        <w:spacing w:after="0" w:line="159" w:lineRule="exact"/>
        <w:rPr>
          <w:rFonts w:ascii="Times New Roman" w:cs="Times New Roman" w:eastAsia="Times New Roman" w:hAnsi="Times New Roman"/>
          <w:sz w:val="20"/>
          <w:szCs w:val="20"/>
          <w:color w:val="auto"/>
        </w:rPr>
      </w:pPr>
    </w:p>
    <w:p>
      <w:pPr>
        <w:ind w:left="1280" w:hanging="634"/>
        <w:spacing w:after="0" w:line="269" w:lineRule="auto"/>
        <w:tabs>
          <w:tab w:leader="none" w:pos="1144" w:val="left"/>
        </w:tabs>
        <w:numPr>
          <w:ilvl w:val="0"/>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not be liable for any action it takes, suffers or omits to take in good faith that it reasonably believes to be authorized or within the rights or powers conferred upon it by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21" w:name="page422"/>
    <w:bookmarkEnd w:id="421"/>
    <w:p>
      <w:pPr>
        <w:ind w:left="1280" w:hanging="634"/>
        <w:spacing w:after="0" w:line="283" w:lineRule="auto"/>
        <w:tabs>
          <w:tab w:leader="none" w:pos="1069" w:val="left"/>
        </w:tabs>
        <w:numPr>
          <w:ilvl w:val="0"/>
          <w:numId w:val="5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specifically provided for in this Indenture, any demand, request, direction or notice from the Company will be sufficient if signed by an Authorized Officer of the Company.</w:t>
      </w:r>
    </w:p>
    <w:p>
      <w:pPr>
        <w:spacing w:after="0" w:line="132" w:lineRule="exact"/>
        <w:rPr>
          <w:rFonts w:ascii="Times New Roman" w:cs="Times New Roman" w:eastAsia="Times New Roman" w:hAnsi="Times New Roman"/>
          <w:sz w:val="20"/>
          <w:szCs w:val="20"/>
          <w:color w:val="auto"/>
        </w:rPr>
      </w:pPr>
    </w:p>
    <w:p>
      <w:pPr>
        <w:ind w:left="1280" w:hanging="634"/>
        <w:spacing w:after="0" w:line="258" w:lineRule="auto"/>
        <w:tabs>
          <w:tab w:leader="none" w:pos="1084" w:val="left"/>
        </w:tabs>
        <w:numPr>
          <w:ilvl w:val="0"/>
          <w:numId w:val="5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will be under no obligation to exercise any of the rights or powers vested in it by this Indenture at the request or direction of any of the Noteholders unless such Noteholders have offered to the Trustee indemnity or security satisfactory to the Trustee against the losses, liabilities and expenses that might be incurred by it in compliance with such request or direction.</w:t>
      </w:r>
    </w:p>
    <w:p>
      <w:pPr>
        <w:spacing w:after="0" w:line="158" w:lineRule="exact"/>
        <w:rPr>
          <w:rFonts w:ascii="Times New Roman" w:cs="Times New Roman" w:eastAsia="Times New Roman" w:hAnsi="Times New Roman"/>
          <w:sz w:val="20"/>
          <w:szCs w:val="20"/>
          <w:color w:val="auto"/>
        </w:rPr>
      </w:pPr>
    </w:p>
    <w:p>
      <w:pPr>
        <w:ind w:left="1280" w:hanging="634"/>
        <w:spacing w:after="0" w:line="261" w:lineRule="auto"/>
        <w:tabs>
          <w:tab w:leader="none" w:pos="1098" w:val="left"/>
        </w:tabs>
        <w:numPr>
          <w:ilvl w:val="0"/>
          <w:numId w:val="5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deemed to have notice of any Default or Event of Default unless a Responsible Officer of the Trustee has actual knowledge thereof or unless written notice of such Default or Event of Default is received by a Responsible Officer of the Trustee at the Corporate Trust Office of the Trustee, and such notice references the Notes and this Indenture.</w:t>
      </w:r>
    </w:p>
    <w:p>
      <w:pPr>
        <w:spacing w:after="0" w:line="154" w:lineRule="exact"/>
        <w:rPr>
          <w:rFonts w:ascii="Times New Roman" w:cs="Times New Roman" w:eastAsia="Times New Roman" w:hAnsi="Times New Roman"/>
          <w:sz w:val="20"/>
          <w:szCs w:val="20"/>
          <w:color w:val="auto"/>
        </w:rPr>
      </w:pPr>
    </w:p>
    <w:p>
      <w:pPr>
        <w:ind w:left="1280" w:hanging="634"/>
        <w:spacing w:after="0" w:line="257" w:lineRule="auto"/>
        <w:tabs>
          <w:tab w:leader="none" w:pos="1093" w:val="left"/>
        </w:tabs>
        <w:numPr>
          <w:ilvl w:val="0"/>
          <w:numId w:val="5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responsible or liable for any failure or delay in the performance of its obligations under this Indenture arising out of or caused, directly or indirectly, by circumstances beyond its reasonable control, including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159" w:lineRule="exact"/>
        <w:rPr>
          <w:rFonts w:ascii="Times New Roman" w:cs="Times New Roman" w:eastAsia="Times New Roman" w:hAnsi="Times New Roman"/>
          <w:sz w:val="20"/>
          <w:szCs w:val="20"/>
          <w:color w:val="auto"/>
        </w:rPr>
      </w:pPr>
    </w:p>
    <w:p>
      <w:pPr>
        <w:ind w:left="1280" w:hanging="634"/>
        <w:spacing w:after="0" w:line="261" w:lineRule="auto"/>
        <w:tabs>
          <w:tab w:leader="none" w:pos="1144" w:val="left"/>
        </w:tabs>
        <w:numPr>
          <w:ilvl w:val="0"/>
          <w:numId w:val="5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privileges, protections, immunities and benefits given to the Trustee, including its right to be indemnified, are extended to, and shall be enforceable by, the Trustee in each of its capacities hereunder (and under the other P1 Financing Documents to which it is a party) and each agent, custodian and other Person employed to act hereunder or thereunder.</w:t>
      </w:r>
    </w:p>
    <w:p>
      <w:pPr>
        <w:spacing w:after="0" w:line="154" w:lineRule="exact"/>
        <w:rPr>
          <w:rFonts w:ascii="Times New Roman" w:cs="Times New Roman" w:eastAsia="Times New Roman" w:hAnsi="Times New Roman"/>
          <w:sz w:val="20"/>
          <w:szCs w:val="20"/>
          <w:color w:val="auto"/>
        </w:rPr>
      </w:pPr>
    </w:p>
    <w:p>
      <w:pPr>
        <w:ind w:left="1280" w:hanging="634"/>
        <w:spacing w:after="0" w:line="258" w:lineRule="auto"/>
        <w:tabs>
          <w:tab w:leader="none" w:pos="1086" w:val="left"/>
        </w:tabs>
        <w:numPr>
          <w:ilvl w:val="0"/>
          <w:numId w:val="5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request that the Company deliver a certificate setting forth the names of individuals and/or titles of officers authorized at such time to take specified actions pursuant to this Indenture, which certificate may be signed by any person authorized to sign an Officer’s Certificate, including any person specified as so authorized in any such certificate previously delivered and not superseded.</w:t>
      </w:r>
    </w:p>
    <w:p>
      <w:pPr>
        <w:spacing w:after="0" w:line="158" w:lineRule="exact"/>
        <w:rPr>
          <w:rFonts w:ascii="Times New Roman" w:cs="Times New Roman" w:eastAsia="Times New Roman" w:hAnsi="Times New Roman"/>
          <w:sz w:val="20"/>
          <w:szCs w:val="20"/>
          <w:color w:val="auto"/>
        </w:rPr>
      </w:pPr>
    </w:p>
    <w:p>
      <w:pPr>
        <w:ind w:left="1280" w:hanging="634"/>
        <w:spacing w:after="0" w:line="268" w:lineRule="auto"/>
        <w:tabs>
          <w:tab w:leader="none" w:pos="1109" w:val="left"/>
        </w:tabs>
        <w:numPr>
          <w:ilvl w:val="0"/>
          <w:numId w:val="5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Indenture notwithstanding, in no event shall the Trustee be liable for special, indirect, punitive, incidental or consequential loss or damage of any kind whatsoever (including loss of profit), even if the Trustee has been advised as to the likelihood of such loss or damage and regardless of the form of action.</w:t>
      </w:r>
    </w:p>
    <w:p>
      <w:pPr>
        <w:spacing w:after="0" w:line="14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Individual Rights of Trustee</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Trustee in its individual or any other capacity may become the owner or pledgee of Notes and may otherwise deal with the Company or any Affiliate of the Company with the same rights it would have if it were not Trustee. Any Agent may do the same with like rights. The Trustee is also subject to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22" w:name="page423"/>
    <w:bookmarkEnd w:id="422"/>
    <w:p>
      <w:pPr>
        <w:spacing w:after="0"/>
        <w:tabs>
          <w:tab w:leader="none" w:pos="44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u w:val="single" w:color="auto"/>
          <w:color w:val="auto"/>
        </w:rPr>
        <w:t>Trustee’s Disclaimer</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6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Notice of Defaults</w:t>
      </w:r>
    </w:p>
    <w:p>
      <w:pPr>
        <w:spacing w:after="0" w:line="216"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If a Default or Event of Default occurs and is continuing and if it is known to the Trustee, the Trustee will mail to Noteholders a notice of the Default or Event of Default within ninety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Noteholders.</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Compensation and Indemnity</w:t>
      </w:r>
    </w:p>
    <w:p>
      <w:pPr>
        <w:spacing w:after="0" w:line="202" w:lineRule="exact"/>
        <w:rPr>
          <w:sz w:val="20"/>
          <w:szCs w:val="20"/>
          <w:color w:val="auto"/>
        </w:rPr>
      </w:pPr>
    </w:p>
    <w:p>
      <w:pPr>
        <w:ind w:left="1280" w:hanging="634"/>
        <w:spacing w:after="0" w:line="253" w:lineRule="auto"/>
        <w:tabs>
          <w:tab w:leader="none" w:pos="1199" w:val="left"/>
        </w:tabs>
        <w:numPr>
          <w:ilvl w:val="0"/>
          <w:numId w:val="5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to the Trustee from time to time compensation for its acceptance of this Indenture and services hereunder in accordance with written arrangements between the Company and the Trustee.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65" w:lineRule="exact"/>
        <w:rPr>
          <w:rFonts w:ascii="Times New Roman" w:cs="Times New Roman" w:eastAsia="Times New Roman" w:hAnsi="Times New Roman"/>
          <w:sz w:val="20"/>
          <w:szCs w:val="20"/>
          <w:color w:val="auto"/>
        </w:rPr>
      </w:pPr>
    </w:p>
    <w:p>
      <w:pPr>
        <w:ind w:left="1280" w:hanging="634"/>
        <w:spacing w:after="0" w:line="250" w:lineRule="auto"/>
        <w:tabs>
          <w:tab w:leader="none" w:pos="1104" w:val="left"/>
        </w:tabs>
        <w:numPr>
          <w:ilvl w:val="0"/>
          <w:numId w:val="5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indemnify the Trustee against any and all loss, liability or expense, including taxes (other than taxes based upon, measured by or determined by the income of the Trustee), incurred by it arising out of or in connection with the acceptance or administration of its duties under this Indenture and the P1 Financing Documents, including the costs and expenses of enforcing this Indenture against the Company (including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and defending itself against any claim (whether asserted by the Company, any Noteholder or any other Person) or liability in connection with the exercise or performance of any of its powers or duties hereunder or thereunder, except to the extent any such loss, liability or expense may be attributable to its negligence or willful misconduct. The Trustee will notify the Company promptly of any claim for which it may seek indemnity. Failure by the Trustee to so notify the Company will not relieve the Company of its obligations hereunder. The Company will defend the claim and the Trustee will cooperate in the defense. The Trustee may have separate counsel and the Company will pay the reasonable fees and expenses of such counsel. The Company need not pay for any settlement made without its consent, which consent will not be unreasonably withheld, conditioned or delayed.</w:t>
      </w:r>
    </w:p>
    <w:p>
      <w:pPr>
        <w:spacing w:after="0" w:line="17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191" w:val="left"/>
        </w:tabs>
        <w:numPr>
          <w:ilvl w:val="0"/>
          <w:numId w:val="5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Company to the Trustee under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will survive the satisfaction and discharge of this Indenture, the termination for any reason of this Indenture and the resignation or removal of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23" w:name="page424"/>
    <w:bookmarkEnd w:id="423"/>
    <w:p>
      <w:pPr>
        <w:ind w:left="1280" w:hanging="634"/>
        <w:spacing w:after="0" w:line="258" w:lineRule="auto"/>
        <w:tabs>
          <w:tab w:leader="none" w:pos="1094"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secure the Company’s payment obligations in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the Trustee will have a Lien prior to the Notes on all money or property held or collected by the Trustee, except that held in trust to pay principal and interest on particular Notes. Such Lien will survive the satisfaction and discharge of this Indenture, the termination for any reason of this Indenture and the resignation or removal of the Trustee.</w:t>
      </w:r>
    </w:p>
    <w:p>
      <w:pPr>
        <w:spacing w:after="0" w:line="154" w:lineRule="exact"/>
        <w:rPr>
          <w:rFonts w:ascii="Times New Roman" w:cs="Times New Roman" w:eastAsia="Times New Roman" w:hAnsi="Times New Roman"/>
          <w:sz w:val="20"/>
          <w:szCs w:val="20"/>
          <w:color w:val="auto"/>
        </w:rPr>
      </w:pPr>
    </w:p>
    <w:p>
      <w:pPr>
        <w:ind w:left="1280" w:hanging="634"/>
        <w:spacing w:after="0" w:line="260" w:lineRule="auto"/>
        <w:tabs>
          <w:tab w:leader="none" w:pos="1130"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Trustee incurs expenses or renders services after an Event of Default specified in Section 7.5 (</w:t>
      </w:r>
      <w:r>
        <w:rPr>
          <w:rFonts w:ascii="Times New Roman" w:cs="Times New Roman" w:eastAsia="Times New Roman" w:hAnsi="Times New Roman"/>
          <w:sz w:val="20"/>
          <w:szCs w:val="20"/>
          <w:i w:val="1"/>
          <w:iCs w:val="1"/>
          <w:color w:val="auto"/>
        </w:rPr>
        <w:t>Bankruptcy</w:t>
      </w:r>
      <w:r>
        <w:rPr>
          <w:rFonts w:ascii="Times New Roman" w:cs="Times New Roman" w:eastAsia="Times New Roman" w:hAnsi="Times New Roman"/>
          <w:sz w:val="20"/>
          <w:szCs w:val="20"/>
          <w:color w:val="auto"/>
        </w:rPr>
        <w:t xml:space="preserve">) of the Common Terms Agreement as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occurs, the expenses and the compensation for the services (including the fees and expenses of its agents and counsel) are intended to constitute expenses of administration under any Debtor Relief Law.</w:t>
      </w:r>
    </w:p>
    <w:p>
      <w:pPr>
        <w:spacing w:after="0" w:line="150" w:lineRule="exact"/>
        <w:rPr>
          <w:rFonts w:ascii="Times New Roman" w:cs="Times New Roman" w:eastAsia="Times New Roman" w:hAnsi="Times New Roman"/>
          <w:sz w:val="20"/>
          <w:szCs w:val="20"/>
          <w:color w:val="auto"/>
        </w:rPr>
      </w:pPr>
    </w:p>
    <w:p>
      <w:pPr>
        <w:ind w:left="1040" w:hanging="394"/>
        <w:spacing w:after="0"/>
        <w:tabs>
          <w:tab w:leader="none" w:pos="1040"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for purposes of this Section shall include any predecessor Trustee.</w:t>
      </w:r>
    </w:p>
    <w:p>
      <w:pPr>
        <w:spacing w:after="0" w:line="2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u w:val="single" w:color="auto"/>
          <w:color w:val="auto"/>
        </w:rPr>
        <w:t>Replacement of Trustee</w:t>
      </w:r>
    </w:p>
    <w:p>
      <w:pPr>
        <w:spacing w:after="0" w:line="216" w:lineRule="exact"/>
        <w:rPr>
          <w:sz w:val="20"/>
          <w:szCs w:val="20"/>
          <w:color w:val="auto"/>
        </w:rPr>
      </w:pPr>
    </w:p>
    <w:p>
      <w:pPr>
        <w:ind w:left="1280" w:hanging="634"/>
        <w:spacing w:after="0" w:line="269" w:lineRule="auto"/>
        <w:tabs>
          <w:tab w:leader="none" w:pos="1081"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resignation or removal of the Trustee and appointment of a successor Trustee will become effective only upon the successor Trustee’s acceptance of appointment as provided in this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ind w:left="1280" w:hanging="634"/>
        <w:spacing w:after="0" w:line="268" w:lineRule="auto"/>
        <w:tabs>
          <w:tab w:leader="none" w:pos="1121"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resign in writing at any time and be discharged from the trust hereby created by so notifying the Company. The Noteholders of a majority in aggregate principal amount of the then outstanding Notes may remove the Trustee by so notifying the Trustee and the Company in writing. The Company may remove the Trustee if:</w:t>
      </w:r>
    </w:p>
    <w:p>
      <w:pPr>
        <w:spacing w:after="0" w:line="147" w:lineRule="exact"/>
        <w:rPr>
          <w:rFonts w:ascii="Times New Roman" w:cs="Times New Roman" w:eastAsia="Times New Roman" w:hAnsi="Times New Roman"/>
          <w:sz w:val="20"/>
          <w:szCs w:val="20"/>
          <w:color w:val="auto"/>
        </w:rPr>
      </w:pPr>
    </w:p>
    <w:p>
      <w:pPr>
        <w:ind w:left="1660" w:hanging="376"/>
        <w:spacing w:after="0"/>
        <w:tabs>
          <w:tab w:leader="none" w:pos="1660" w:val="left"/>
        </w:tabs>
        <w:numPr>
          <w:ilvl w:val="1"/>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fails to comply with Section 7.9;</w:t>
      </w:r>
    </w:p>
    <w:p>
      <w:pPr>
        <w:spacing w:after="0" w:line="202" w:lineRule="exact"/>
        <w:rPr>
          <w:rFonts w:ascii="Times New Roman" w:cs="Times New Roman" w:eastAsia="Times New Roman" w:hAnsi="Times New Roman"/>
          <w:sz w:val="20"/>
          <w:szCs w:val="20"/>
          <w:color w:val="auto"/>
        </w:rPr>
      </w:pPr>
    </w:p>
    <w:p>
      <w:pPr>
        <w:ind w:left="1920" w:hanging="636"/>
        <w:spacing w:after="0" w:line="283" w:lineRule="auto"/>
        <w:tabs>
          <w:tab w:leader="none" w:pos="1739" w:val="left"/>
        </w:tabs>
        <w:numPr>
          <w:ilvl w:val="1"/>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is adjudged a bankrupt or an insolvent or an order for relief is entered with respect to the Trustee under any Debtor Relief Law;</w:t>
      </w:r>
    </w:p>
    <w:p>
      <w:pPr>
        <w:spacing w:after="0" w:line="132" w:lineRule="exact"/>
        <w:rPr>
          <w:rFonts w:ascii="Times New Roman" w:cs="Times New Roman" w:eastAsia="Times New Roman" w:hAnsi="Times New Roman"/>
          <w:sz w:val="20"/>
          <w:szCs w:val="20"/>
          <w:color w:val="auto"/>
        </w:rPr>
      </w:pPr>
    </w:p>
    <w:p>
      <w:pPr>
        <w:ind w:left="1780" w:hanging="496"/>
        <w:spacing w:after="0"/>
        <w:tabs>
          <w:tab w:leader="none" w:pos="1780" w:val="left"/>
        </w:tabs>
        <w:numPr>
          <w:ilvl w:val="1"/>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custodian or public officer takes charge of the Trustee or its property;</w:t>
      </w:r>
    </w:p>
    <w:p>
      <w:pPr>
        <w:spacing w:after="0" w:line="202" w:lineRule="exact"/>
        <w:rPr>
          <w:rFonts w:ascii="Times New Roman" w:cs="Times New Roman" w:eastAsia="Times New Roman" w:hAnsi="Times New Roman"/>
          <w:sz w:val="20"/>
          <w:szCs w:val="20"/>
          <w:color w:val="auto"/>
        </w:rPr>
      </w:pPr>
    </w:p>
    <w:p>
      <w:pPr>
        <w:ind w:left="1760" w:hanging="476"/>
        <w:spacing w:after="0"/>
        <w:tabs>
          <w:tab w:leader="none" w:pos="1760" w:val="left"/>
        </w:tabs>
        <w:numPr>
          <w:ilvl w:val="1"/>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becomes incapable of acting; or</w:t>
      </w:r>
    </w:p>
    <w:p>
      <w:pPr>
        <w:spacing w:after="0" w:line="202" w:lineRule="exact"/>
        <w:rPr>
          <w:rFonts w:ascii="Times New Roman" w:cs="Times New Roman" w:eastAsia="Times New Roman" w:hAnsi="Times New Roman"/>
          <w:sz w:val="20"/>
          <w:szCs w:val="20"/>
          <w:color w:val="auto"/>
        </w:rPr>
      </w:pPr>
    </w:p>
    <w:p>
      <w:pPr>
        <w:ind w:left="1920" w:hanging="636"/>
        <w:spacing w:after="0" w:line="257" w:lineRule="auto"/>
        <w:tabs>
          <w:tab w:leader="none" w:pos="1798" w:val="left"/>
        </w:tabs>
        <w:numPr>
          <w:ilvl w:val="1"/>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reason and upon receipt of a request from the Company to direct the removal of the Trustee and direct the appointment of a replacement Trustee in accordance with the terms hereof, in which case, (x) the Trustee shall give notice of such request to the Noteholders and (y) unless Noteholders representing more than 25% of the aggregate outstanding principal amount of the Notes object to such request within thirty days, the Trustee shall be removed on the immediately succeeding Business Day after such thirtieth day.</w:t>
      </w:r>
    </w:p>
    <w:p>
      <w:pPr>
        <w:spacing w:after="0" w:line="159" w:lineRule="exact"/>
        <w:rPr>
          <w:rFonts w:ascii="Times New Roman" w:cs="Times New Roman" w:eastAsia="Times New Roman" w:hAnsi="Times New Roman"/>
          <w:sz w:val="20"/>
          <w:szCs w:val="20"/>
          <w:color w:val="auto"/>
        </w:rPr>
      </w:pPr>
    </w:p>
    <w:p>
      <w:pPr>
        <w:ind w:left="1280" w:hanging="634"/>
        <w:spacing w:after="0" w:line="258" w:lineRule="auto"/>
        <w:tabs>
          <w:tab w:leader="none" w:pos="1107"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Trustee resigns or is removed or if a vacancy exists in the office of Trustee for any reason, the Company will promptly appoint a successor Trustee. Within one year after the successor Trustee takes office, the Noteholders of a majority in aggregate principal amount of the then outstanding Notes may appoint a successor Trustee to replace the successor Trustee appointed by the Company.</w:t>
      </w:r>
    </w:p>
    <w:p>
      <w:pPr>
        <w:spacing w:after="0" w:line="158" w:lineRule="exact"/>
        <w:rPr>
          <w:rFonts w:ascii="Times New Roman" w:cs="Times New Roman" w:eastAsia="Times New Roman" w:hAnsi="Times New Roman"/>
          <w:sz w:val="20"/>
          <w:szCs w:val="20"/>
          <w:color w:val="auto"/>
        </w:rPr>
      </w:pPr>
    </w:p>
    <w:p>
      <w:pPr>
        <w:ind w:left="1280" w:hanging="634"/>
        <w:spacing w:after="0" w:line="283" w:lineRule="auto"/>
        <w:tabs>
          <w:tab w:leader="none" w:pos="1081" w:val="left"/>
        </w:tabs>
        <w:numPr>
          <w:ilvl w:val="0"/>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successor Trustee does not take office within sixty days after the retiring Trustee resigns or is removed, the retiring Trustee, the Company, or the Noteholders of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24" w:name="page425"/>
    <w:bookmarkEnd w:id="424"/>
    <w:p>
      <w:pPr>
        <w:ind w:left="1280"/>
        <w:spacing w:after="0" w:line="283" w:lineRule="auto"/>
        <w:rPr>
          <w:sz w:val="20"/>
          <w:szCs w:val="20"/>
          <w:color w:val="auto"/>
        </w:rPr>
      </w:pPr>
      <w:r>
        <w:rPr>
          <w:rFonts w:ascii="Times New Roman" w:cs="Times New Roman" w:eastAsia="Times New Roman" w:hAnsi="Times New Roman"/>
          <w:sz w:val="20"/>
          <w:szCs w:val="20"/>
          <w:color w:val="auto"/>
        </w:rPr>
        <w:t>least 10% in aggregate principal amount of the then outstanding Notes may petition any court of competent jurisdiction for the appointment of a successor Trustee.</w:t>
      </w:r>
    </w:p>
    <w:p>
      <w:pPr>
        <w:spacing w:after="0" w:line="133" w:lineRule="exact"/>
        <w:rPr>
          <w:sz w:val="20"/>
          <w:szCs w:val="20"/>
          <w:color w:val="auto"/>
        </w:rPr>
      </w:pPr>
    </w:p>
    <w:p>
      <w:pPr>
        <w:ind w:left="1280" w:hanging="634"/>
        <w:spacing w:after="0" w:line="261" w:lineRule="auto"/>
        <w:tabs>
          <w:tab w:leader="none" w:pos="1086" w:val="left"/>
        </w:tabs>
        <w:numPr>
          <w:ilvl w:val="0"/>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Trustee, after written request by any Noteholder who has been a Noteholder for at least six months, fails to be compliant with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 such Noteholder may petition any court of competent jurisdiction for the removal of the Trustee and the appointment of a successor Trustee.</w:t>
      </w:r>
    </w:p>
    <w:p>
      <w:pPr>
        <w:spacing w:after="0" w:line="154" w:lineRule="exact"/>
        <w:rPr>
          <w:rFonts w:ascii="Times New Roman" w:cs="Times New Roman" w:eastAsia="Times New Roman" w:hAnsi="Times New Roman"/>
          <w:sz w:val="20"/>
          <w:szCs w:val="20"/>
          <w:color w:val="auto"/>
        </w:rPr>
      </w:pPr>
    </w:p>
    <w:p>
      <w:pPr>
        <w:ind w:left="1280" w:hanging="634"/>
        <w:spacing w:after="0" w:line="253" w:lineRule="auto"/>
        <w:tabs>
          <w:tab w:leader="none" w:pos="1045" w:val="left"/>
        </w:tabs>
        <w:numPr>
          <w:ilvl w:val="0"/>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Noteholders. The retiring Trustee will promptly transfer all property held by it as Trustee to the successor Trustee;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sums owing to the Trustee hereunder have been paid and subject to the Lien provided for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Notwithstanding replacement of the Trustee pursuant to this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the Company’s obligations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will continue for the benefit of the retiring Trustee.</w:t>
      </w:r>
    </w:p>
    <w:p>
      <w:pPr>
        <w:spacing w:after="0" w:line="16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u w:val="single" w:color="auto"/>
          <w:color w:val="auto"/>
        </w:rPr>
        <w:t>Successor Trustee by Merger, etc.</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If the Trustee consolidates, merges or converts into, or transfers all or substantially all of its corporate trust business to, another Person, the successor Person without any further act will be the successor Trustee.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9"/>
          <w:szCs w:val="19"/>
          <w:u w:val="single" w:color="auto"/>
          <w:color w:val="auto"/>
        </w:rPr>
        <w:t>Eligibility; Disqualification</w:t>
      </w:r>
    </w:p>
    <w:p>
      <w:pPr>
        <w:spacing w:after="0" w:line="20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There will at all times be a Trustee hereunder that is a Person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$100,000,000 as set forth in its most recent published annual report of condition.</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u w:val="single" w:color="auto"/>
          <w:color w:val="auto"/>
        </w:rPr>
        <w:t>Authorization to Enter Into Common Terms Agreement and Collateral Intercreditor Agreement</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Trustee is hereby directed and authorized by the Company and each Noteholder to enter into the Common Terms Agreement and the Collateral and Intercreditor Agreement and exercise all the rights and perform all the obligations of a Senior Secured Debt Holder Representative set out in the Common Terms Agreement and the Collateral and Intercreditor Agreement, including making, on behalf of the Noteholders, the agreements expressed to be made by Senior Secured Debt Holders under the P1 Financing Documents </w:t>
      </w:r>
      <w:r>
        <w:rPr>
          <w:rFonts w:ascii="Times New Roman" w:cs="Times New Roman" w:eastAsia="Times New Roman" w:hAnsi="Times New Roman"/>
          <w:sz w:val="20"/>
          <w:szCs w:val="20"/>
          <w:b w:val="1"/>
          <w:bCs w:val="1"/>
          <w:u w:val="single" w:color="auto"/>
          <w:color w:val="auto"/>
        </w:rPr>
        <w:t>(including each reliance letter provided under Section 4.18(a) of the Note Purchase Agreement)</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u w:val="single" w:color="auto"/>
          <w:color w:val="auto"/>
        </w:rPr>
        <w:t>Trustee Protective Provisions</w:t>
      </w:r>
    </w:p>
    <w:p>
      <w:pPr>
        <w:spacing w:after="0" w:line="202"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Without duplication of any amounts the Trustee is entitled to recover under any indemnification provisions in the P1 Financing Documents, the rights, privileges, protections, indemnities, immunities and benefits provided to the Trustee in this Indenture are in addition to, and are not intended to be in conflict with or limited by, any such provisions in the P1 Financing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25" w:name="page426"/>
    <w:bookmarkEnd w:id="425"/>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LEGAL DEFEASANCE AND COVENANT DEFEASANCE</w:t>
      </w:r>
    </w:p>
    <w:p>
      <w:pPr>
        <w:spacing w:after="0" w:line="2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Option to Effect Legal Defeasance or Covenant Defeasance</w:t>
      </w:r>
    </w:p>
    <w:p>
      <w:pPr>
        <w:spacing w:after="0" w:line="21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Company may at any time, as evidenced by a resolution duly adopted by the authorized governing body and set forth in an Officer’s Certificate, elect to have either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be applied to all outstanding Notes upon compliance with the conditions set forth below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u w:val="single" w:color="auto"/>
          <w:color w:val="auto"/>
        </w:rPr>
        <w:t>Legal Defeasance and Discharge</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Upon the Company’s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option applicable to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the Company will, 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be deemed to have been discharged from its obligations with respect to all outstanding Notes on the date the conditions set forth below are satisfied (hereinafter, “</w:t>
      </w:r>
      <w:r>
        <w:rPr>
          <w:rFonts w:ascii="Times New Roman" w:cs="Times New Roman" w:eastAsia="Times New Roman" w:hAnsi="Times New Roman"/>
          <w:sz w:val="20"/>
          <w:szCs w:val="20"/>
          <w:b w:val="1"/>
          <w:bCs w:val="1"/>
          <w:color w:val="auto"/>
        </w:rPr>
        <w:t>Legal Defeasance</w:t>
      </w:r>
      <w:r>
        <w:rPr>
          <w:rFonts w:ascii="Times New Roman" w:cs="Times New Roman" w:eastAsia="Times New Roman" w:hAnsi="Times New Roman"/>
          <w:sz w:val="20"/>
          <w:szCs w:val="20"/>
          <w:color w:val="auto"/>
        </w:rPr>
        <w:t>”). For this purpose, Legal Defeasance means that the Company will be deemed to have paid and discharged the entire Indebtedness represented by all outstanding Notes, which will thereafter be deemed to be “</w:t>
      </w:r>
      <w:r>
        <w:rPr>
          <w:rFonts w:ascii="Times New Roman" w:cs="Times New Roman" w:eastAsia="Times New Roman" w:hAnsi="Times New Roman"/>
          <w:sz w:val="20"/>
          <w:szCs w:val="20"/>
          <w:b w:val="1"/>
          <w:bCs w:val="1"/>
          <w:color w:val="auto"/>
        </w:rPr>
        <w:t>outstanding</w:t>
      </w:r>
      <w:r>
        <w:rPr>
          <w:rFonts w:ascii="Times New Roman" w:cs="Times New Roman" w:eastAsia="Times New Roman" w:hAnsi="Times New Roman"/>
          <w:sz w:val="20"/>
          <w:szCs w:val="20"/>
          <w:color w:val="auto"/>
        </w:rPr>
        <w:t xml:space="preserve">” only for the purposes of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and the other Sections of this Indenture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below, and to have satisfied all their other obligations under such Notes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82" w:lineRule="exact"/>
        <w:rPr>
          <w:sz w:val="20"/>
          <w:szCs w:val="20"/>
          <w:color w:val="auto"/>
        </w:rPr>
      </w:pPr>
    </w:p>
    <w:p>
      <w:pPr>
        <w:ind w:left="1280" w:hanging="634"/>
        <w:spacing w:after="0" w:line="269" w:lineRule="auto"/>
        <w:tabs>
          <w:tab w:leader="none" w:pos="1079" w:val="left"/>
        </w:tabs>
        <w:numPr>
          <w:ilvl w:val="0"/>
          <w:numId w:val="5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rights of Noteholders of outstanding Notes to receive payments in respect of the principal of, or interest or premium, if any, on, such Notes when such payments are due from the trust referred to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5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Company’s obligations with respect to such Notes under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80" w:right="20" w:hanging="634"/>
        <w:spacing w:after="0" w:line="269" w:lineRule="auto"/>
        <w:tabs>
          <w:tab w:leader="none" w:pos="1213" w:val="left"/>
        </w:tabs>
        <w:numPr>
          <w:ilvl w:val="0"/>
          <w:numId w:val="5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powers, trusts, duties and immunities of the Trustee hereunder and the Company’s obligations in connection therewith; and</w:t>
      </w:r>
    </w:p>
    <w:p>
      <w:pPr>
        <w:spacing w:after="0" w:line="159"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5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 xml:space="preserve">Subject to compliance with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the Company may exercise its option under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notwithstanding the prior exercise of its option under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u w:val="single" w:color="auto"/>
          <w:color w:val="auto"/>
        </w:rPr>
        <w:t>Covenant Defeasance</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Upon the Company’s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option applicable to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the Company will, 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be released from each of its obligations under the covenants contained in </w:t>
      </w:r>
      <w:r>
        <w:rPr>
          <w:rFonts w:ascii="Times New Roman" w:cs="Times New Roman" w:eastAsia="Times New Roman" w:hAnsi="Times New Roman"/>
          <w:sz w:val="20"/>
          <w:szCs w:val="20"/>
          <w:u w:val="single" w:color="auto"/>
          <w:color w:val="auto"/>
        </w:rPr>
        <w:t>Sections 4.3</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with respect to all outstanding Notes on and after the date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are satisfied (hereinafter, “</w:t>
      </w:r>
      <w:r>
        <w:rPr>
          <w:rFonts w:ascii="Times New Roman" w:cs="Times New Roman" w:eastAsia="Times New Roman" w:hAnsi="Times New Roman"/>
          <w:sz w:val="20"/>
          <w:szCs w:val="20"/>
          <w:b w:val="1"/>
          <w:bCs w:val="1"/>
          <w:color w:val="auto"/>
        </w:rPr>
        <w:t>Covenant Defeasance</w:t>
      </w:r>
      <w:r>
        <w:rPr>
          <w:rFonts w:ascii="Times New Roman" w:cs="Times New Roman" w:eastAsia="Times New Roman" w:hAnsi="Times New Roman"/>
          <w:sz w:val="20"/>
          <w:szCs w:val="20"/>
          <w:color w:val="auto"/>
        </w:rPr>
        <w:t>”), and all outstanding Notes will thereafter be deemed not “outstanding” for the purposes of any direction, waiver, consent or declaration or act of Noteholders (and the consequences of any thereof) in connection with such covenants, but will continue to be deemed “outstanding” for all other purposes hereunder (it being understood that such Notes will not be deemed outstanding for accounting purposes).</w:t>
      </w:r>
    </w:p>
    <w:p>
      <w:pPr>
        <w:spacing w:after="0" w:line="179" w:lineRule="exact"/>
        <w:rPr>
          <w:sz w:val="20"/>
          <w:szCs w:val="20"/>
          <w:color w:val="auto"/>
        </w:rPr>
      </w:pPr>
    </w:p>
    <w:p>
      <w:pPr>
        <w:jc w:val="both"/>
        <w:ind w:left="640" w:right="20"/>
        <w:spacing w:after="0" w:line="269" w:lineRule="auto"/>
        <w:rPr>
          <w:sz w:val="20"/>
          <w:szCs w:val="20"/>
          <w:color w:val="auto"/>
        </w:rPr>
      </w:pPr>
      <w:r>
        <w:rPr>
          <w:rFonts w:ascii="Times New Roman" w:cs="Times New Roman" w:eastAsia="Times New Roman" w:hAnsi="Times New Roman"/>
          <w:sz w:val="20"/>
          <w:szCs w:val="20"/>
          <w:color w:val="auto"/>
        </w:rPr>
        <w:t>For this purpose, Covenant Defeasance means that, with respect to all outstanding Notes, the Company may omit to comply with and will have no liability in respect of any term, condition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26" w:name="page427"/>
    <w:bookmarkEnd w:id="426"/>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but, except as specified above, the remainder of this Indenture and such Notes will be unaffected thereby. In addition, upon the Company’s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option applicable to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Sections 6.1(a)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6.1(h)</w:t>
      </w:r>
      <w:r>
        <w:rPr>
          <w:rFonts w:ascii="Times New Roman" w:cs="Times New Roman" w:eastAsia="Times New Roman" w:hAnsi="Times New Roman"/>
          <w:sz w:val="20"/>
          <w:szCs w:val="20"/>
          <w:color w:val="auto"/>
        </w:rPr>
        <w:t xml:space="preserve"> will not constitute Events of Default.</w:t>
      </w:r>
    </w:p>
    <w:p>
      <w:pPr>
        <w:spacing w:after="0" w:line="16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u w:val="single" w:color="auto"/>
          <w:color w:val="auto"/>
        </w:rPr>
        <w:t>Conditions to Legal or Covenant Defeasance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In order to exercise either Legal Defeasance or Covenant Defeasance under either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280" w:hanging="634"/>
        <w:spacing w:after="0" w:line="270" w:lineRule="auto"/>
        <w:tabs>
          <w:tab w:leader="none" w:pos="1104" w:val="left"/>
        </w:tabs>
        <w:numPr>
          <w:ilvl w:val="0"/>
          <w:numId w:val="5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must irrevocably deposit with the Trustee, in trust, for the benefit of the Noteholders,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all outstanding Notes on the Maturity Date or on the applicable redemption date, as the case may be, and the Company must specify whether the Notes are being defeased to the Maturity Date or to a particular redemption date;</w:t>
      </w:r>
    </w:p>
    <w:p>
      <w:pPr>
        <w:spacing w:after="0" w:line="148" w:lineRule="exact"/>
        <w:rPr>
          <w:rFonts w:ascii="Times New Roman" w:cs="Times New Roman" w:eastAsia="Times New Roman" w:hAnsi="Times New Roman"/>
          <w:sz w:val="19"/>
          <w:szCs w:val="19"/>
          <w:color w:val="auto"/>
        </w:rPr>
      </w:pPr>
    </w:p>
    <w:p>
      <w:pPr>
        <w:ind w:left="1080" w:hanging="434"/>
        <w:spacing w:after="0"/>
        <w:tabs>
          <w:tab w:leader="none" w:pos="1080" w:val="left"/>
        </w:tabs>
        <w:numPr>
          <w:ilvl w:val="0"/>
          <w:numId w:val="5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election under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the Company has delivered to the Trustee an Opinion of Counsel confirming that:</w:t>
      </w:r>
    </w:p>
    <w:p>
      <w:pPr>
        <w:spacing w:after="0" w:line="215" w:lineRule="exact"/>
        <w:rPr>
          <w:rFonts w:ascii="Times New Roman" w:cs="Times New Roman" w:eastAsia="Times New Roman" w:hAnsi="Times New Roman"/>
          <w:sz w:val="20"/>
          <w:szCs w:val="20"/>
          <w:color w:val="auto"/>
        </w:rPr>
      </w:pPr>
    </w:p>
    <w:p>
      <w:pPr>
        <w:ind w:left="1660" w:hanging="376"/>
        <w:spacing w:after="0"/>
        <w:tabs>
          <w:tab w:leader="none" w:pos="1660" w:val="left"/>
        </w:tabs>
        <w:numPr>
          <w:ilvl w:val="1"/>
          <w:numId w:val="5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received from, or there has been published by, the Internal Revenue Service a ruling; or</w:t>
      </w:r>
    </w:p>
    <w:p>
      <w:pPr>
        <w:spacing w:after="0" w:line="202" w:lineRule="exact"/>
        <w:rPr>
          <w:rFonts w:ascii="Times New Roman" w:cs="Times New Roman" w:eastAsia="Times New Roman" w:hAnsi="Times New Roman"/>
          <w:sz w:val="20"/>
          <w:szCs w:val="20"/>
          <w:color w:val="auto"/>
        </w:rPr>
      </w:pPr>
    </w:p>
    <w:p>
      <w:pPr>
        <w:ind w:left="1720" w:hanging="436"/>
        <w:spacing w:after="0"/>
        <w:tabs>
          <w:tab w:leader="none" w:pos="1720" w:val="left"/>
        </w:tabs>
        <w:numPr>
          <w:ilvl w:val="1"/>
          <w:numId w:val="5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Issue Date, there has been a change in the applicable federal income tax law,</w:t>
      </w:r>
    </w:p>
    <w:p>
      <w:pPr>
        <w:spacing w:after="0" w:line="202" w:lineRule="exact"/>
        <w:rPr>
          <w:sz w:val="20"/>
          <w:szCs w:val="20"/>
          <w:color w:val="auto"/>
        </w:rPr>
      </w:pPr>
    </w:p>
    <w:p>
      <w:pPr>
        <w:jc w:val="both"/>
        <w:ind w:left="1280"/>
        <w:spacing w:after="0" w:line="258" w:lineRule="auto"/>
        <w:rPr>
          <w:sz w:val="20"/>
          <w:szCs w:val="20"/>
          <w:color w:val="auto"/>
        </w:rPr>
      </w:pPr>
      <w:r>
        <w:rPr>
          <w:rFonts w:ascii="Times New Roman" w:cs="Times New Roman" w:eastAsia="Times New Roman" w:hAnsi="Times New Roman"/>
          <w:sz w:val="20"/>
          <w:szCs w:val="20"/>
          <w:color w:val="auto"/>
        </w:rPr>
        <w:t>in either case to the effect that, and based thereon such Opinion of Counsel shall confirm that, the Noteholders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59" w:lineRule="exact"/>
        <w:rPr>
          <w:sz w:val="20"/>
          <w:szCs w:val="20"/>
          <w:color w:val="auto"/>
        </w:rPr>
      </w:pPr>
    </w:p>
    <w:p>
      <w:pPr>
        <w:ind w:left="1280" w:hanging="634"/>
        <w:spacing w:after="0" w:line="258" w:lineRule="auto"/>
        <w:tabs>
          <w:tab w:leader="none" w:pos="1064" w:val="left"/>
        </w:tabs>
        <w:numPr>
          <w:ilvl w:val="0"/>
          <w:numId w:val="5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election under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the Company must deliver to the Trustee an Opinion of Counsel confirming that the Noteholders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58" w:lineRule="exact"/>
        <w:rPr>
          <w:rFonts w:ascii="Times New Roman" w:cs="Times New Roman" w:eastAsia="Times New Roman" w:hAnsi="Times New Roman"/>
          <w:sz w:val="20"/>
          <w:szCs w:val="20"/>
          <w:color w:val="auto"/>
        </w:rPr>
      </w:pPr>
    </w:p>
    <w:p>
      <w:pPr>
        <w:ind w:left="1280" w:hanging="634"/>
        <w:spacing w:after="0" w:line="258" w:lineRule="auto"/>
        <w:tabs>
          <w:tab w:leader="none" w:pos="1084" w:val="left"/>
        </w:tabs>
        <w:numPr>
          <w:ilvl w:val="0"/>
          <w:numId w:val="5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on the date of such deposit (other than a Default or Event of Default resulting from the borrowing of funds to be applied to such deposit and the granting of Liens securing such borrowing) and the deposit will not result in a breach or violation of, or constitute a default under, any other instrument to which the Company is a party or by which the Company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27" w:name="page428"/>
    <w:bookmarkEnd w:id="427"/>
    <w:p>
      <w:pPr>
        <w:ind w:left="1280" w:hanging="634"/>
        <w:spacing w:after="0" w:line="261" w:lineRule="auto"/>
        <w:tabs>
          <w:tab w:leader="none" w:pos="1129" w:val="left"/>
        </w:tabs>
        <w:numPr>
          <w:ilvl w:val="0"/>
          <w:numId w:val="5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Legal Defeasance or Covenant Defeasance will not result in a breach or violation of, or constitute a default under, any material agreement or instrument (other than this Indenture) to which the Company is a party or by which the Company is bound;</w:t>
      </w:r>
    </w:p>
    <w:p>
      <w:pPr>
        <w:spacing w:after="0" w:line="154" w:lineRule="exact"/>
        <w:rPr>
          <w:rFonts w:ascii="Times New Roman" w:cs="Times New Roman" w:eastAsia="Times New Roman" w:hAnsi="Times New Roman"/>
          <w:sz w:val="20"/>
          <w:szCs w:val="20"/>
          <w:color w:val="auto"/>
        </w:rPr>
      </w:pPr>
    </w:p>
    <w:p>
      <w:pPr>
        <w:ind w:left="1280" w:hanging="634"/>
        <w:spacing w:after="0" w:line="268" w:lineRule="auto"/>
        <w:tabs>
          <w:tab w:leader="none" w:pos="1048" w:val="left"/>
        </w:tabs>
        <w:numPr>
          <w:ilvl w:val="0"/>
          <w:numId w:val="5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deliver to the Trustee an Officer’s Certificate stating that the deposit was not made by the Company with the intent of preferring the Noteholders over the other creditors of the Company with the intent of defeating, hindering, delaying or defrauding creditors of the Company or others;</w:t>
      </w:r>
    </w:p>
    <w:p>
      <w:pPr>
        <w:spacing w:after="0" w:line="147" w:lineRule="exact"/>
        <w:rPr>
          <w:rFonts w:ascii="Times New Roman" w:cs="Times New Roman" w:eastAsia="Times New Roman" w:hAnsi="Times New Roman"/>
          <w:sz w:val="20"/>
          <w:szCs w:val="20"/>
          <w:color w:val="auto"/>
        </w:rPr>
      </w:pPr>
    </w:p>
    <w:p>
      <w:pPr>
        <w:ind w:left="1280" w:hanging="634"/>
        <w:spacing w:after="0" w:line="269" w:lineRule="auto"/>
        <w:tabs>
          <w:tab w:leader="none" w:pos="1139" w:val="left"/>
        </w:tabs>
        <w:numPr>
          <w:ilvl w:val="0"/>
          <w:numId w:val="5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must deliver to the Trustee an Officer’s Certificate stating that all conditions precedent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have been complied with; and</w:t>
      </w:r>
    </w:p>
    <w:p>
      <w:pPr>
        <w:spacing w:after="0" w:line="159" w:lineRule="exact"/>
        <w:rPr>
          <w:rFonts w:ascii="Times New Roman" w:cs="Times New Roman" w:eastAsia="Times New Roman" w:hAnsi="Times New Roman"/>
          <w:sz w:val="20"/>
          <w:szCs w:val="20"/>
          <w:color w:val="auto"/>
        </w:rPr>
      </w:pPr>
    </w:p>
    <w:p>
      <w:pPr>
        <w:ind w:left="1280" w:hanging="634"/>
        <w:spacing w:after="0" w:line="258" w:lineRule="auto"/>
        <w:tabs>
          <w:tab w:leader="none" w:pos="1183" w:val="left"/>
        </w:tabs>
        <w:numPr>
          <w:ilvl w:val="0"/>
          <w:numId w:val="5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must deliver to the Trustee an Opinion of Counsel (which opinion of counsel may be subject to customary assumptions, qualifications and exclusions), stating that all conditions precedent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have been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Opinion of Counsel with respect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may be to the knowledge of such counsel.</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8.5</w:t>
      </w:r>
      <w:r>
        <w:rPr>
          <w:sz w:val="20"/>
          <w:szCs w:val="20"/>
          <w:color w:val="auto"/>
        </w:rPr>
        <w:tab/>
      </w:r>
      <w:r>
        <w:rPr>
          <w:rFonts w:ascii="Times New Roman" w:cs="Times New Roman" w:eastAsia="Times New Roman" w:hAnsi="Times New Roman"/>
          <w:sz w:val="19"/>
          <w:szCs w:val="19"/>
          <w:u w:val="single" w:color="auto"/>
          <w:color w:val="auto"/>
        </w:rPr>
        <w:t>Deposited Money and Government Securities to Be Held in Trust; Other Miscellaneous Provisions</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all money and non-callable Government Securities (including the proceeds thereof) deposited with the Trustee (or other qualifying trustee, collectively for purposes of this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Noteholders of such Notes of all sums due and to become due thereon in respect of principal, premium, if any, and interest, but such money need not be segregated from other funds except to the extent required by law.</w:t>
      </w:r>
    </w:p>
    <w:p>
      <w:pPr>
        <w:spacing w:after="0" w:line="16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 xml:space="preserve">The Company will pay and indemnify the Trustee against any tax, fee or other charge imposed on or assessed against the cash or non-callable Government Securities deposited pursuant to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or the principal and interest received in respect thereof other than any such tax, fee or other charge which by law is for the account of the Noteholders of the outstanding Notes.</w:t>
      </w:r>
    </w:p>
    <w:p>
      <w:pPr>
        <w:spacing w:after="0" w:line="168"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to the contrary, the Trustee will deliver or pay to the Company from time to time upon the request of the Company any money or non-callable Government Securities held by it as provided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which, in the opinion of a nationally recognized firm of independent public accountants expressed in a written certification thereof delivered to the Trustee (which may be the opinion delivered under </w:t>
      </w:r>
      <w:r>
        <w:rPr>
          <w:rFonts w:ascii="Times New Roman" w:cs="Times New Roman" w:eastAsia="Times New Roman" w:hAnsi="Times New Roman"/>
          <w:sz w:val="20"/>
          <w:szCs w:val="20"/>
          <w:u w:val="single" w:color="auto"/>
          <w:color w:val="auto"/>
        </w:rPr>
        <w:t>Section 8.4(a)</w:t>
      </w:r>
      <w:r>
        <w:rPr>
          <w:rFonts w:ascii="Times New Roman" w:cs="Times New Roman" w:eastAsia="Times New Roman" w:hAnsi="Times New Roman"/>
          <w:sz w:val="20"/>
          <w:szCs w:val="20"/>
          <w:color w:val="auto"/>
        </w:rPr>
        <w:t>), are in excess of the amount thereof that would then be required to be deposited to effect an equivalent Legal Defeasance or Covenant Defeasance.</w:t>
      </w:r>
    </w:p>
    <w:p>
      <w:pPr>
        <w:spacing w:after="0" w:line="16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u w:val="single" w:color="auto"/>
          <w:color w:val="auto"/>
        </w:rPr>
        <w:t>Repayment to Company</w:t>
      </w:r>
    </w:p>
    <w:p>
      <w:pPr>
        <w:spacing w:after="0" w:line="216"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request or (if then held by the Company)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28" w:name="page429"/>
    <w:bookmarkEnd w:id="428"/>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discharged from such trust; and the Noteholder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thirty days from the date of such notification or publication, any unclaimed balance of such money then remaining will be repaid to the Company.</w:t>
      </w:r>
    </w:p>
    <w:p>
      <w:pPr>
        <w:spacing w:after="0" w:line="16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u w:val="single" w:color="auto"/>
          <w:color w:val="auto"/>
        </w:rPr>
        <w:t>Reinstatement</w:t>
      </w:r>
    </w:p>
    <w:p>
      <w:pPr>
        <w:spacing w:after="0" w:line="202"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 xml:space="preserve">If the Trustee or Paying Agent is unable to apply any U.S. dollars or non-callable Government Securities in accordance with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as the case may be, by reason of any order or judgment of any court or governmental authority enjoining, restraining or otherwise prohibiting such application, then the Company’s obligations under this Indenture and the Notes will be revived and reinstated as though no deposit had occurred pursuant to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until such time as the Trustee or Paying Agent is permitted to apply all such money in accordance with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8.3</w:t>
      </w:r>
      <w:r>
        <w:rPr>
          <w:rFonts w:ascii="Times New Roman" w:cs="Times New Roman" w:eastAsia="Times New Roman" w:hAnsi="Times New Roman"/>
          <w:sz w:val="20"/>
          <w:szCs w:val="20"/>
          <w:color w:val="auto"/>
        </w:rPr>
        <w:t xml:space="preserve">,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Company makes any payment of principal of, premium, if any, or interest on, any Note following the reinstatement of its obligations, the Company will be subrogated to the rights of the Noteholders of such Notes to receive such payment from the money held by the Trustee or Paying Agent.</w:t>
      </w:r>
    </w:p>
    <w:p>
      <w:pPr>
        <w:spacing w:after="0" w:line="16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AMENDMENT, SUPPLEMENT AND WAIVER</w:t>
      </w:r>
    </w:p>
    <w:p>
      <w:pPr>
        <w:spacing w:after="0" w:line="22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Without Consent of Noteholders</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the Company and the Trustee may amend or supplement the Notes and this Indenture without the consent of any Noteholder:</w:t>
      </w:r>
    </w:p>
    <w:p>
      <w:pPr>
        <w:spacing w:after="0" w:line="133" w:lineRule="exact"/>
        <w:rPr>
          <w:sz w:val="20"/>
          <w:szCs w:val="20"/>
          <w:color w:val="auto"/>
        </w:rPr>
      </w:pPr>
    </w:p>
    <w:p>
      <w:pPr>
        <w:ind w:left="1060" w:hanging="414"/>
        <w:spacing w:after="0"/>
        <w:tabs>
          <w:tab w:leader="none" w:pos="1060" w:val="left"/>
        </w:tabs>
        <w:numPr>
          <w:ilvl w:val="0"/>
          <w:numId w:val="5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defect or inconsistency;</w:t>
      </w:r>
    </w:p>
    <w:p>
      <w:pPr>
        <w:spacing w:after="0" w:line="202"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5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uncertificated Notes in addition to or in place of certificated Notes;</w:t>
      </w:r>
    </w:p>
    <w:p>
      <w:pPr>
        <w:spacing w:after="0" w:line="202" w:lineRule="exact"/>
        <w:rPr>
          <w:rFonts w:ascii="Times New Roman" w:cs="Times New Roman" w:eastAsia="Times New Roman" w:hAnsi="Times New Roman"/>
          <w:sz w:val="20"/>
          <w:szCs w:val="20"/>
          <w:color w:val="auto"/>
        </w:rPr>
      </w:pPr>
    </w:p>
    <w:p>
      <w:pPr>
        <w:ind w:left="1280" w:hanging="634"/>
        <w:spacing w:after="0" w:line="283" w:lineRule="auto"/>
        <w:tabs>
          <w:tab w:leader="none" w:pos="1077" w:val="left"/>
        </w:tabs>
        <w:numPr>
          <w:ilvl w:val="0"/>
          <w:numId w:val="5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would provide any additional rights or benefits to the Noteholders or that does not adversely affect the legal rights hereunder of any Noteholder;</w:t>
      </w:r>
    </w:p>
    <w:p>
      <w:pPr>
        <w:spacing w:after="0" w:line="132"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5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a successor Trustee in accordance with the provisions of this Indenture;</w:t>
      </w:r>
    </w:p>
    <w:p>
      <w:pPr>
        <w:spacing w:after="0" w:line="20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146" w:val="left"/>
        </w:tabs>
        <w:numPr>
          <w:ilvl w:val="0"/>
          <w:numId w:val="5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assumption of the Company’s obligations to the Noteholders by a successor to the Company pursuant to Article 5;</w:t>
      </w:r>
    </w:p>
    <w:p>
      <w:pPr>
        <w:spacing w:after="0" w:line="13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064" w:val="left"/>
        </w:tabs>
        <w:numPr>
          <w:ilvl w:val="0"/>
          <w:numId w:val="5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issue Additional Notes either pursuant to this Indenture or pursuant to a Supplemental Indenture, subject to compliance with the provisions of this Indenture; or</w:t>
      </w:r>
    </w:p>
    <w:p>
      <w:pPr>
        <w:spacing w:after="0" w:line="132" w:lineRule="exact"/>
        <w:rPr>
          <w:rFonts w:ascii="Times New Roman" w:cs="Times New Roman" w:eastAsia="Times New Roman" w:hAnsi="Times New Roman"/>
          <w:sz w:val="20"/>
          <w:szCs w:val="20"/>
          <w:color w:val="auto"/>
        </w:rPr>
      </w:pPr>
    </w:p>
    <w:p>
      <w:pPr>
        <w:ind w:left="1280" w:hanging="634"/>
        <w:spacing w:after="0" w:line="283" w:lineRule="auto"/>
        <w:tabs>
          <w:tab w:leader="none" w:pos="1174" w:val="left"/>
        </w:tabs>
        <w:numPr>
          <w:ilvl w:val="0"/>
          <w:numId w:val="5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add any additional Guarantors or to evidence or effect the release of any Guarantor from its obligations under its Note Guarantee pursuant to </w:t>
      </w:r>
      <w:r>
        <w:rPr>
          <w:rFonts w:ascii="Times New Roman" w:cs="Times New Roman" w:eastAsia="Times New Roman" w:hAnsi="Times New Roman"/>
          <w:sz w:val="20"/>
          <w:szCs w:val="20"/>
          <w:u w:val="single" w:color="auto"/>
          <w:color w:val="auto"/>
        </w:rPr>
        <w:t>Section 4.28</w:t>
      </w:r>
      <w:r>
        <w:rPr>
          <w:rFonts w:ascii="Times New Roman" w:cs="Times New Roman" w:eastAsia="Times New Roman" w:hAnsi="Times New Roman"/>
          <w:sz w:val="20"/>
          <w:szCs w:val="20"/>
          <w:color w:val="auto"/>
        </w:rPr>
        <w:t>.</w:t>
      </w:r>
    </w:p>
    <w:p>
      <w:pPr>
        <w:spacing w:after="0" w:line="133" w:lineRule="exact"/>
        <w:rPr>
          <w:sz w:val="20"/>
          <w:szCs w:val="20"/>
          <w:color w:val="auto"/>
        </w:rPr>
      </w:pPr>
    </w:p>
    <w:p>
      <w:pPr>
        <w:ind w:left="640"/>
        <w:spacing w:after="0" w:line="283" w:lineRule="auto"/>
        <w:rPr>
          <w:sz w:val="20"/>
          <w:szCs w:val="20"/>
          <w:color w:val="auto"/>
        </w:rPr>
      </w:pPr>
      <w:r>
        <w:rPr>
          <w:rFonts w:ascii="Times New Roman" w:cs="Times New Roman" w:eastAsia="Times New Roman" w:hAnsi="Times New Roman"/>
          <w:sz w:val="20"/>
          <w:szCs w:val="20"/>
          <w:color w:val="auto"/>
        </w:rPr>
        <w:t>Upon the request of the Company accompanied by a resolution duly adopted by the authorized governing body authorizing the execution of any such amended or supplemental indenture,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29" w:name="page430"/>
    <w:bookmarkEnd w:id="429"/>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upon receipt by the Trustee of the documents described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the Trustee will join with the Company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With Consent of Noteholders</w:t>
      </w:r>
    </w:p>
    <w:p>
      <w:pPr>
        <w:spacing w:after="0" w:line="202"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0"/>
          <w:szCs w:val="20"/>
          <w:color w:val="auto"/>
        </w:rPr>
        <w:t xml:space="preserve">Except as provided below in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the Company and the Trustee may amend or supplement this Indenture (including </w:t>
      </w:r>
      <w:r>
        <w:rPr>
          <w:rFonts w:ascii="Times New Roman" w:cs="Times New Roman" w:eastAsia="Times New Roman" w:hAnsi="Times New Roman"/>
          <w:sz w:val="20"/>
          <w:szCs w:val="20"/>
          <w:u w:val="single" w:color="auto"/>
          <w:color w:val="auto"/>
        </w:rPr>
        <w:t>Sections 3.9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and the Notes with the consent of (a) the Noteholders of a majority in aggregate principal amount of the then outstanding Notes (including Additional Notes, if any) voting as a single class, or (b) if such amendment or supplement applies to less than all series of Notes, the Noteholders of a majority in aggregate principal amount of the then outstanding Notes (including Additional Notes, if any) of all series affected by such amendment or supplement, in each case including consents obtained in connection with a tender offer or exchange offer for, or purchase of, the Notes, and, subject to the Common Terms Agreement, the Collateral and Intercreditor Agreement, and </w:t>
      </w:r>
      <w:r>
        <w:rPr>
          <w:rFonts w:ascii="Times New Roman" w:cs="Times New Roman" w:eastAsia="Times New Roman" w:hAnsi="Times New Roman"/>
          <w:sz w:val="20"/>
          <w:szCs w:val="20"/>
          <w:u w:val="single" w:color="auto"/>
          <w:color w:val="auto"/>
        </w:rPr>
        <w:t>Sections 6.4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6.7</w:t>
      </w:r>
      <w:r>
        <w:rPr>
          <w:rFonts w:ascii="Times New Roman" w:cs="Times New Roman" w:eastAsia="Times New Roman" w:hAnsi="Times New Roman"/>
          <w:sz w:val="20"/>
          <w:szCs w:val="20"/>
          <w:color w:val="auto"/>
        </w:rPr>
        <w:t xml:space="preserve">,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or the Notes may be waived with the consent of the Noteholders of a majority in aggregate principal amount of the then outstanding Notes (including Additional Notes, if any) voting as a single class (including consents obtained in connection with a tender offer or exchange offer for, or purchase of, the Notes).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shall determine which Notes are considered to be “outstanding” for purposes of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For the avoidance of doubt, the Company may issue Additional Notes either pursuant to this Indenture or pursuant to a Supplemental Indenture, in each case, without the consent of any Noteholder, subject to compliance with the provisions of this Indenture.</w:t>
      </w:r>
    </w:p>
    <w:p>
      <w:pPr>
        <w:spacing w:after="0" w:line="173"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9"/>
          <w:szCs w:val="19"/>
          <w:color w:val="auto"/>
        </w:rPr>
        <w:t xml:space="preserve">Upon the request of the Company accompanied by a resolution duly adopted by the authorized governing body of the Company authorizing the execution of any such amended or supplemental indenture, and upon the filing with the Trustee of evidence satisfactory to the Trustee of the consent of the Noteholders as aforesaid, and upon receipt by the Trustee of the documents described in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the Trustee will join with the Company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51"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 xml:space="preserve">It is not necessary for the consent of the Noteholders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to approve the particular form of any proposed amendment, supplement or waiver, but it is sufficient if such consent approves the substance thereof.</w:t>
      </w:r>
    </w:p>
    <w:p>
      <w:pPr>
        <w:spacing w:after="0" w:line="133"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Any consent given by a holder of a Note that has transferred or has agreed to transfer its Note to (i) the Company, (ii) any subsidiary or any other Affiliate or (iii)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to this Indenture or any other P1 Financing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30" w:name="page431"/>
    <w:bookmarkEnd w:id="430"/>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that would not have been or would not be so effected or granted but for such consent (and the consents of all other holders of Notes that were acquired under the same or similar conditions) shall be void and of no force or effect except solely as to such holder and except for the purpose of determining whether the Trustee will be protected in relying on any such consent.</w:t>
      </w:r>
    </w:p>
    <w:p>
      <w:pPr>
        <w:spacing w:after="0" w:line="154"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20"/>
          <w:szCs w:val="20"/>
          <w:color w:val="auto"/>
        </w:rPr>
        <w:t xml:space="preserve">Promptly after an amendment, supplement or waiver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becomes effective, the Company will mail or cause to be mailed to the Noteholders affected thereby a notice briefly describing the amendment, supplement or waiver and executed or true and correct copies of each amendment, waiver or consent effected. Any failure of the Company to mail such notice, or any defect therein, will not, however, in any way impair or affect the validity of any such amended or supplemental indenture or waiver. Subject to </w:t>
      </w:r>
      <w:r>
        <w:rPr>
          <w:rFonts w:ascii="Times New Roman" w:cs="Times New Roman" w:eastAsia="Times New Roman" w:hAnsi="Times New Roman"/>
          <w:sz w:val="20"/>
          <w:szCs w:val="20"/>
          <w:u w:val="single" w:color="auto"/>
          <w:color w:val="auto"/>
        </w:rPr>
        <w:t>Sections 6.4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6.7</w:t>
      </w:r>
      <w:r>
        <w:rPr>
          <w:rFonts w:ascii="Times New Roman" w:cs="Times New Roman" w:eastAsia="Times New Roman" w:hAnsi="Times New Roman"/>
          <w:sz w:val="20"/>
          <w:szCs w:val="20"/>
          <w:color w:val="auto"/>
        </w:rPr>
        <w:t xml:space="preserve">, the Noteholders of a majority in aggregate principal amount of the Notes then outstanding voting as a single class may waive compliance in a particular instance by the Company with any provision of this Indenture or the Notes. However, without the consent of each Noteholder of each series of Notes affected and subject to the provisions of the Collateral and Intercreditor Agreement, an amendment, supplement or waiver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may not (with respect to any Notes held by a non-consenting Noteholder):</w:t>
      </w:r>
    </w:p>
    <w:p>
      <w:pPr>
        <w:spacing w:after="0" w:line="162" w:lineRule="exact"/>
        <w:rPr>
          <w:sz w:val="20"/>
          <w:szCs w:val="20"/>
          <w:color w:val="auto"/>
        </w:rPr>
      </w:pPr>
    </w:p>
    <w:p>
      <w:pPr>
        <w:ind w:left="1060" w:hanging="414"/>
        <w:spacing w:after="0"/>
        <w:tabs>
          <w:tab w:leader="none" w:pos="1060" w:val="left"/>
        </w:tabs>
        <w:numPr>
          <w:ilvl w:val="0"/>
          <w:numId w:val="5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Notes whose Noteholders must consent to an amendment, supplement or waiver;</w:t>
      </w:r>
    </w:p>
    <w:p>
      <w:pPr>
        <w:spacing w:after="0" w:line="215" w:lineRule="exact"/>
        <w:rPr>
          <w:rFonts w:ascii="Times New Roman" w:cs="Times New Roman" w:eastAsia="Times New Roman" w:hAnsi="Times New Roman"/>
          <w:sz w:val="20"/>
          <w:szCs w:val="20"/>
          <w:color w:val="auto"/>
        </w:rPr>
      </w:pPr>
    </w:p>
    <w:p>
      <w:pPr>
        <w:ind w:left="1280" w:hanging="634"/>
        <w:spacing w:after="0" w:line="261" w:lineRule="auto"/>
        <w:tabs>
          <w:tab w:leader="none" w:pos="1148" w:val="left"/>
        </w:tabs>
        <w:numPr>
          <w:ilvl w:val="0"/>
          <w:numId w:val="5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change the fixed maturity of any Note or alter or waive any of the provisions with respect to the redemption of the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purchase or repurchase of Notes, including pursuant to </w:t>
      </w:r>
      <w:r>
        <w:rPr>
          <w:rFonts w:ascii="Times New Roman" w:cs="Times New Roman" w:eastAsia="Times New Roman" w:hAnsi="Times New Roman"/>
          <w:sz w:val="20"/>
          <w:szCs w:val="20"/>
          <w:u w:val="single" w:color="auto"/>
          <w:color w:val="auto"/>
        </w:rPr>
        <w:t>Sections 4.12,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xml:space="preserve"> shall not be deemed a redemption of the Notes;</w:t>
      </w:r>
    </w:p>
    <w:p>
      <w:pPr>
        <w:spacing w:after="0" w:line="154"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5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change the time for payment of interest, including default interest, on any Note;</w:t>
      </w:r>
    </w:p>
    <w:p>
      <w:pPr>
        <w:spacing w:after="0" w:line="202" w:lineRule="exact"/>
        <w:rPr>
          <w:rFonts w:ascii="Times New Roman" w:cs="Times New Roman" w:eastAsia="Times New Roman" w:hAnsi="Times New Roman"/>
          <w:sz w:val="20"/>
          <w:szCs w:val="20"/>
          <w:color w:val="auto"/>
        </w:rPr>
      </w:pPr>
    </w:p>
    <w:p>
      <w:pPr>
        <w:ind w:left="1280" w:hanging="634"/>
        <w:spacing w:after="0" w:line="268" w:lineRule="auto"/>
        <w:tabs>
          <w:tab w:leader="none" w:pos="1164" w:val="left"/>
        </w:tabs>
        <w:numPr>
          <w:ilvl w:val="0"/>
          <w:numId w:val="5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or Event of Default in the payment of principal of, or interest or premium, if any, on the Notes (except a rescission of acceleration of the Notes by the Noteholders of a majority in aggregate principal amount of the then outstanding Notes and a waiver of the payment default that resulted from such acceleration);</w:t>
      </w:r>
    </w:p>
    <w:p>
      <w:pPr>
        <w:spacing w:after="0" w:line="147" w:lineRule="exact"/>
        <w:rPr>
          <w:rFonts w:ascii="Times New Roman" w:cs="Times New Roman" w:eastAsia="Times New Roman" w:hAnsi="Times New Roman"/>
          <w:sz w:val="20"/>
          <w:szCs w:val="20"/>
          <w:color w:val="auto"/>
        </w:rPr>
      </w:pPr>
    </w:p>
    <w:p>
      <w:pPr>
        <w:ind w:left="1060" w:hanging="414"/>
        <w:spacing w:after="0"/>
        <w:tabs>
          <w:tab w:leader="none" w:pos="1060" w:val="left"/>
        </w:tabs>
        <w:numPr>
          <w:ilvl w:val="0"/>
          <w:numId w:val="5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Note payable in money other than that stated in the Notes;</w:t>
      </w:r>
    </w:p>
    <w:p>
      <w:pPr>
        <w:spacing w:after="0" w:line="202" w:lineRule="exact"/>
        <w:rPr>
          <w:rFonts w:ascii="Times New Roman" w:cs="Times New Roman" w:eastAsia="Times New Roman" w:hAnsi="Times New Roman"/>
          <w:sz w:val="20"/>
          <w:szCs w:val="20"/>
          <w:color w:val="auto"/>
        </w:rPr>
      </w:pPr>
    </w:p>
    <w:p>
      <w:pPr>
        <w:ind w:left="1280" w:right="20" w:hanging="634"/>
        <w:spacing w:after="0" w:line="283" w:lineRule="auto"/>
        <w:tabs>
          <w:tab w:leader="none" w:pos="1070" w:val="left"/>
        </w:tabs>
        <w:numPr>
          <w:ilvl w:val="0"/>
          <w:numId w:val="5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provisions of this Indenture relating to waivers of past Defaults or the rights of Noteholders to receive payments of principal of, or interest or premium, if any, on the Notes;</w:t>
      </w:r>
    </w:p>
    <w:p>
      <w:pPr>
        <w:spacing w:after="0" w:line="132" w:lineRule="exact"/>
        <w:rPr>
          <w:rFonts w:ascii="Times New Roman" w:cs="Times New Roman" w:eastAsia="Times New Roman" w:hAnsi="Times New Roman"/>
          <w:sz w:val="20"/>
          <w:szCs w:val="20"/>
          <w:color w:val="auto"/>
        </w:rPr>
      </w:pPr>
    </w:p>
    <w:p>
      <w:pPr>
        <w:ind w:left="1280" w:hanging="634"/>
        <w:spacing w:after="0" w:line="283" w:lineRule="auto"/>
        <w:tabs>
          <w:tab w:leader="none" w:pos="1100" w:val="left"/>
        </w:tabs>
        <w:numPr>
          <w:ilvl w:val="0"/>
          <w:numId w:val="5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 redemption payment with respect to any Note;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purchase or repurchase of Notes, including pursuant to </w:t>
      </w:r>
      <w:r>
        <w:rPr>
          <w:rFonts w:ascii="Times New Roman" w:cs="Times New Roman" w:eastAsia="Times New Roman" w:hAnsi="Times New Roman"/>
          <w:sz w:val="20"/>
          <w:szCs w:val="20"/>
          <w:u w:val="single" w:color="auto"/>
          <w:color w:val="auto"/>
        </w:rPr>
        <w:t>Sections 4.12,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shall not be deemed a redemption of the Notes; or</w:t>
      </w:r>
    </w:p>
    <w:p>
      <w:pPr>
        <w:spacing w:after="0" w:line="132"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5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 preceding amendment and waiver provisions.</w:t>
      </w:r>
    </w:p>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u w:val="single" w:color="auto"/>
          <w:color w:val="auto"/>
        </w:rPr>
        <w:t>Decisions under Other Financing Documents</w:t>
      </w:r>
    </w:p>
    <w:p>
      <w:pPr>
        <w:spacing w:after="0" w:line="202" w:lineRule="exact"/>
        <w:rPr>
          <w:sz w:val="20"/>
          <w:szCs w:val="20"/>
          <w:color w:val="auto"/>
        </w:rPr>
      </w:pPr>
    </w:p>
    <w:p>
      <w:pPr>
        <w:jc w:val="right"/>
        <w:ind w:left="1280" w:hanging="634"/>
        <w:spacing w:after="0" w:line="310" w:lineRule="auto"/>
        <w:tabs>
          <w:tab w:leader="none" w:pos="1086" w:val="left"/>
        </w:tabs>
        <w:numPr>
          <w:ilvl w:val="0"/>
          <w:numId w:val="5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of this Indenture or the Collateral and Intercreditor Agreement to the contrary, each Noteholder shall be deemed to have consented to, and the Trustee shall be deemed, without the requirement of any vote or consent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31" w:name="page432"/>
    <w:bookmarkEnd w:id="431"/>
    <w:p>
      <w:pPr>
        <w:ind w:left="1280"/>
        <w:spacing w:after="0" w:line="283" w:lineRule="auto"/>
        <w:rPr>
          <w:sz w:val="20"/>
          <w:szCs w:val="20"/>
          <w:color w:val="auto"/>
        </w:rPr>
      </w:pPr>
      <w:r>
        <w:rPr>
          <w:rFonts w:ascii="Times New Roman" w:cs="Times New Roman" w:eastAsia="Times New Roman" w:hAnsi="Times New Roman"/>
          <w:sz w:val="20"/>
          <w:szCs w:val="20"/>
          <w:color w:val="auto"/>
        </w:rPr>
        <w:t>Noteholders and without seeking vote, consent or direction by or from the Noteholders with respect to any of the clauses set forth below, to have voted as follows:</w:t>
      </w:r>
    </w:p>
    <w:p>
      <w:pPr>
        <w:spacing w:after="0" w:line="133" w:lineRule="exact"/>
        <w:rPr>
          <w:sz w:val="20"/>
          <w:szCs w:val="20"/>
          <w:color w:val="auto"/>
        </w:rPr>
      </w:pPr>
    </w:p>
    <w:p>
      <w:pPr>
        <w:ind w:left="1920" w:hanging="636"/>
        <w:spacing w:after="0" w:line="253" w:lineRule="auto"/>
        <w:tabs>
          <w:tab w:leader="none" w:pos="1675" w:val="left"/>
        </w:tabs>
        <w:numPr>
          <w:ilvl w:val="0"/>
          <w:numId w:val="5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 proposed Economic Terms Modification applies only to the Notes, the Trustee shall be deemed to have voted in favor of any such Economic Terms Modification if (A) any such Economic Terms Modification is approved by each Senior Secured Bank Debt Holder Representative (if any) in accordance with the Collateral and Intercreditor Agreement and (B) the Company certifies to the Trustee, as set forth in a certificate of an Authorized Officer of the Company, that such Economic Terms Modification could not reasonably be expected to result in a Material Adverse Effect;</w:t>
      </w:r>
    </w:p>
    <w:p>
      <w:pPr>
        <w:spacing w:after="0" w:line="165" w:lineRule="exact"/>
        <w:rPr>
          <w:rFonts w:ascii="Times New Roman" w:cs="Times New Roman" w:eastAsia="Times New Roman" w:hAnsi="Times New Roman"/>
          <w:sz w:val="20"/>
          <w:szCs w:val="20"/>
          <w:color w:val="auto"/>
        </w:rPr>
      </w:pPr>
    </w:p>
    <w:p>
      <w:pPr>
        <w:ind w:left="1920" w:hanging="636"/>
        <w:spacing w:after="0" w:line="250" w:lineRule="auto"/>
        <w:tabs>
          <w:tab w:leader="none" w:pos="1731" w:val="left"/>
        </w:tabs>
        <w:numPr>
          <w:ilvl w:val="0"/>
          <w:numId w:val="5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be deemed to have cast its vote in favor of any amendment, supplement, or waiver of the provisions of the Collateral and Intercreditor Agreement and P1 Accounts Agreement related to the application of Collateral Proceeds, the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ranking of the Senior Secured Debt, or the priority, deposit, and application of funds in the accounts (in each case prior to an enforcement action) if (A) approved by each Senior Secured Bank Debt Holder Representative (if any) in accordance with the Collateral and Intercreditor Agreement and (B) the Company certifies to the Trustee, as set forth in a certificate of an Authorized Officer of the Company, that such amendment, supplement or waiver does not result in (1) the Notes receiving payments that are less than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Senior Secured Bank Debt (other than due to timing differences in when payments are due on the Notes in accordance with their terms) and (2) does not result in a material adverse change (when considered with all other such amendments, supplements, and waivers) in (i) the priority within Section 3.3 (</w:t>
      </w:r>
      <w:r>
        <w:rPr>
          <w:rFonts w:ascii="Times New Roman" w:cs="Times New Roman" w:eastAsia="Times New Roman" w:hAnsi="Times New Roman"/>
          <w:sz w:val="20"/>
          <w:szCs w:val="20"/>
          <w:i w:val="1"/>
          <w:iCs w:val="1"/>
          <w:color w:val="auto"/>
        </w:rPr>
        <w:t>P1 Revenue Account</w:t>
      </w:r>
      <w:r>
        <w:rPr>
          <w:rFonts w:ascii="Times New Roman" w:cs="Times New Roman" w:eastAsia="Times New Roman" w:hAnsi="Times New Roman"/>
          <w:sz w:val="20"/>
          <w:szCs w:val="20"/>
          <w:color w:val="auto"/>
        </w:rPr>
        <w:t>) and 3.9 (</w:t>
      </w:r>
      <w:r>
        <w:rPr>
          <w:rFonts w:ascii="Times New Roman" w:cs="Times New Roman" w:eastAsia="Times New Roman" w:hAnsi="Times New Roman"/>
          <w:sz w:val="20"/>
          <w:szCs w:val="20"/>
          <w:i w:val="1"/>
          <w:iCs w:val="1"/>
          <w:color w:val="auto"/>
        </w:rPr>
        <w:t>P1 Proceeds Account</w:t>
      </w:r>
      <w:r>
        <w:rPr>
          <w:rFonts w:ascii="Times New Roman" w:cs="Times New Roman" w:eastAsia="Times New Roman" w:hAnsi="Times New Roman"/>
          <w:sz w:val="20"/>
          <w:szCs w:val="20"/>
          <w:color w:val="auto"/>
        </w:rPr>
        <w:t>) of the P1 Accounts Agreement with respect to any payment of principal, interest, or other amounts payable (whether by prepayment or redemption, upon an offer to purchase, upon acceleration, or otherwise) under the Notes or (ii) the funding of the CD Senior Notes DSRA;</w:t>
      </w:r>
    </w:p>
    <w:p>
      <w:pPr>
        <w:spacing w:after="0" w:line="166" w:lineRule="exact"/>
        <w:rPr>
          <w:rFonts w:ascii="Times New Roman" w:cs="Times New Roman" w:eastAsia="Times New Roman" w:hAnsi="Times New Roman"/>
          <w:sz w:val="20"/>
          <w:szCs w:val="20"/>
          <w:color w:val="auto"/>
        </w:rPr>
      </w:pPr>
    </w:p>
    <w:p>
      <w:pPr>
        <w:jc w:val="both"/>
        <w:ind w:left="1920" w:hanging="636"/>
        <w:spacing w:after="0" w:line="257" w:lineRule="auto"/>
        <w:tabs>
          <w:tab w:leader="none" w:pos="1877" w:val="left"/>
        </w:tabs>
        <w:numPr>
          <w:ilvl w:val="0"/>
          <w:numId w:val="5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deemed to have cast its vote in favor of any Modification to provisions of the Collateral and Intercreditor Agreement or the P1 Accounts Agreement related to the application of proceeds of Replacement Debt to the mandatory prepayment of Senior Secured Debt under the CD Credit Agreement if approved by the Senior Secured Bank Debt Holder Representative under the CD Credit Agreement in accordance with the Collateral and Intercreditor Agreement;</w:t>
      </w:r>
    </w:p>
    <w:p>
      <w:pPr>
        <w:spacing w:after="0" w:line="159" w:lineRule="exact"/>
        <w:rPr>
          <w:rFonts w:ascii="Times New Roman" w:cs="Times New Roman" w:eastAsia="Times New Roman" w:hAnsi="Times New Roman"/>
          <w:sz w:val="20"/>
          <w:szCs w:val="20"/>
          <w:color w:val="auto"/>
        </w:rPr>
      </w:pPr>
    </w:p>
    <w:p>
      <w:pPr>
        <w:ind w:left="1920" w:hanging="636"/>
        <w:spacing w:after="0" w:line="253" w:lineRule="auto"/>
        <w:tabs>
          <w:tab w:leader="none" w:pos="1821" w:val="left"/>
        </w:tabs>
        <w:numPr>
          <w:ilvl w:val="0"/>
          <w:numId w:val="5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deemed to have cast its vote in favor of any Modification of any P1 Collateral Document (other than the Collateral and Intercreditor Agreement) if (A) approved by each Senior Secured Bank Debt Holder Representative (if any) in accordance with the Collateral and Intercreditor Agreement and (B) the Company certifies to the Trustee, as set forth in a certificate of an Authorized Officer of the Company, that such Modification is not materially adverse to the Noteholders; and</w:t>
      </w:r>
    </w:p>
    <w:p>
      <w:pPr>
        <w:spacing w:after="0" w:line="178" w:lineRule="exact"/>
        <w:rPr>
          <w:rFonts w:ascii="Times New Roman" w:cs="Times New Roman" w:eastAsia="Times New Roman" w:hAnsi="Times New Roman"/>
          <w:sz w:val="20"/>
          <w:szCs w:val="20"/>
          <w:color w:val="auto"/>
        </w:rPr>
      </w:pPr>
    </w:p>
    <w:p>
      <w:pPr>
        <w:ind w:left="1920" w:hanging="636"/>
        <w:spacing w:after="0" w:line="261" w:lineRule="auto"/>
        <w:tabs>
          <w:tab w:leader="none" w:pos="1745" w:val="left"/>
        </w:tabs>
        <w:numPr>
          <w:ilvl w:val="0"/>
          <w:numId w:val="5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deemed to have consented to the release of any Lien on any portion of the Collateral (other than a release of Collateral that comprises all or substantially all of the Collateral) or assets owned by any RG Facility Entity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32" w:name="page433"/>
    <w:bookmarkEnd w:id="432"/>
    <w:p>
      <w:pPr>
        <w:jc w:val="both"/>
        <w:ind w:left="1920" w:firstLine="1"/>
        <w:spacing w:after="0" w:line="258" w:lineRule="auto"/>
        <w:tabs>
          <w:tab w:leader="none" w:pos="2256" w:val="left"/>
        </w:tabs>
        <w:numPr>
          <w:ilvl w:val="1"/>
          <w:numId w:val="5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certifies to the Trustee, as set forth in a certificate of an Authorized Officer of the Company, that such release is reasonable and such Collateral or assets are not reasonably required for the operation of the RG Facility Entity in accordance with the RG Facility Agreement and (B) the Independent Engineer concurs with such certification.</w:t>
      </w:r>
    </w:p>
    <w:p>
      <w:pPr>
        <w:spacing w:after="0" w:line="158" w:lineRule="exact"/>
        <w:rPr>
          <w:rFonts w:ascii="Times New Roman" w:cs="Times New Roman" w:eastAsia="Times New Roman" w:hAnsi="Times New Roman"/>
          <w:sz w:val="20"/>
          <w:szCs w:val="20"/>
          <w:color w:val="auto"/>
        </w:rPr>
      </w:pPr>
    </w:p>
    <w:p>
      <w:pPr>
        <w:ind w:left="1280" w:hanging="634"/>
        <w:spacing w:after="0" w:line="253" w:lineRule="auto"/>
        <w:tabs>
          <w:tab w:leader="none" w:pos="1045"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Trustee shall not vote in favor of amendments of, supplements to, or waivers of the Common Terms Agreement (other than Administrative Decisions) unless it first receives the affirmative vote of Noteholders of a majority of the aggregate outstanding principal amount of the Notes voting as a single class. If the Trustee has not received the affirmative vote of Noteholders of a majority in aggregate principal amount of the then-outstanding Notes voting as a single class on or prior to the date by which it must cast its vote in accordance with the Collateral and Intercreditor Agreement, then the Trustee shall vote against the relevant Modification.</w:t>
      </w:r>
    </w:p>
    <w:p>
      <w:pPr>
        <w:spacing w:after="0" w:line="165" w:lineRule="exact"/>
        <w:rPr>
          <w:rFonts w:ascii="Times New Roman" w:cs="Times New Roman" w:eastAsia="Times New Roman" w:hAnsi="Times New Roman"/>
          <w:sz w:val="18"/>
          <w:szCs w:val="18"/>
          <w:color w:val="auto"/>
        </w:rPr>
      </w:pPr>
    </w:p>
    <w:p>
      <w:pPr>
        <w:ind w:left="1280" w:hanging="634"/>
        <w:spacing w:after="0" w:line="257" w:lineRule="auto"/>
        <w:tabs>
          <w:tab w:leader="none" w:pos="1080" w:val="left"/>
        </w:tabs>
        <w:numPr>
          <w:ilvl w:val="0"/>
          <w:numId w:val="5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 request from the Company to direct the removal of the P1 Intercreditor Agent or the P1 Collateral Agent and direct the appointment of a replacement P1 Intercreditor Agent or P1 Collateral Agent in accordance with the terms of the Collateral and Intercreditor Agreement, the Trustee shall give notice of such request to the Noteholders. Unless Noteholders representing more than 25% of the aggregate outstanding principal amount of the Notes object to such request within thirty days, the Trustee shall provide such direction on the immediately succeeding Business Day after such thirtieth day.</w:t>
      </w:r>
    </w:p>
    <w:p>
      <w:pPr>
        <w:spacing w:after="0" w:line="159" w:lineRule="exact"/>
        <w:rPr>
          <w:rFonts w:ascii="Times New Roman" w:cs="Times New Roman" w:eastAsia="Times New Roman" w:hAnsi="Times New Roman"/>
          <w:sz w:val="20"/>
          <w:szCs w:val="20"/>
          <w:color w:val="auto"/>
        </w:rPr>
      </w:pPr>
    </w:p>
    <w:p>
      <w:pPr>
        <w:ind w:left="1280" w:hanging="634"/>
        <w:spacing w:after="0" w:line="261" w:lineRule="auto"/>
        <w:tabs>
          <w:tab w:leader="none" w:pos="1130" w:val="left"/>
        </w:tabs>
        <w:numPr>
          <w:ilvl w:val="0"/>
          <w:numId w:val="5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the Trustee shall not consent to amendments of, supplements to, or waivers of the P1 Collateral Documents (other than Administrative Decisions) unless it first receives the affirmative vote of a majority of the aggregate outstanding principal amount of the Notes voting as a single class.</w:t>
      </w:r>
    </w:p>
    <w:p>
      <w:pPr>
        <w:spacing w:after="0" w:line="154" w:lineRule="exact"/>
        <w:rPr>
          <w:rFonts w:ascii="Times New Roman" w:cs="Times New Roman" w:eastAsia="Times New Roman" w:hAnsi="Times New Roman"/>
          <w:sz w:val="20"/>
          <w:szCs w:val="20"/>
          <w:color w:val="auto"/>
        </w:rPr>
      </w:pPr>
    </w:p>
    <w:p>
      <w:pPr>
        <w:ind w:left="1280" w:hanging="634"/>
        <w:spacing w:after="0" w:line="268" w:lineRule="auto"/>
        <w:tabs>
          <w:tab w:leader="none" w:pos="1105" w:val="left"/>
        </w:tabs>
        <w:numPr>
          <w:ilvl w:val="0"/>
          <w:numId w:val="5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 certificate of an Authorized Officer of the Company and without the requirement of any vote or consent by the Noteholders, the Trustee shall consent to any Administrative Decisions pursuant to the Collateral and Intercreditor Agreement.</w:t>
      </w:r>
    </w:p>
    <w:p>
      <w:pPr>
        <w:spacing w:after="0" w:line="147" w:lineRule="exact"/>
        <w:rPr>
          <w:rFonts w:ascii="Times New Roman" w:cs="Times New Roman" w:eastAsia="Times New Roman" w:hAnsi="Times New Roman"/>
          <w:sz w:val="20"/>
          <w:szCs w:val="20"/>
          <w:color w:val="auto"/>
        </w:rPr>
      </w:pPr>
    </w:p>
    <w:p>
      <w:pPr>
        <w:ind w:left="1280" w:hanging="634"/>
        <w:spacing w:after="0" w:line="253" w:lineRule="auto"/>
        <w:tabs>
          <w:tab w:leader="none" w:pos="1077" w:val="left"/>
        </w:tabs>
        <w:numPr>
          <w:ilvl w:val="0"/>
          <w:numId w:val="5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voting in accordance with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the Trustee shall have received a certificate from an Authorized Officer of the Company, which certificate shall set forth (1) the vote or consent the Trustee is directed to make as required by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in connection with any vote required by the Trustee as Senior Secured Debt Holder Representative under the Collateral and Intercreditor Agreement or any other P1 Financing Document and (2) the relevant subsection of this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pursuant to which such vote is required.</w:t>
      </w:r>
    </w:p>
    <w:p>
      <w:pPr>
        <w:spacing w:after="0" w:line="16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u w:val="single" w:color="auto"/>
          <w:color w:val="auto"/>
        </w:rPr>
        <w:t>Revocation and Effect of Consents</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Until an amendment, supplement or waiver becomes effective, a consent to it by a Noteholder is a continuing consent by the Noteholder of a Note and every subsequent Noteholder or portion of a Note that evidences the same debt as the consenting Noteholder’s Note, even if notation of the consent is not made on any Note. However, any such Noteholder or subsequent Noteholder may revoke the consent as to its Note if the Trustee receives written notice of revocation before the date the amendment, supplement or waiver becomes effective. An amendment, supplement or waiver becomes effective in accordance with its terms and thereafter binds every Noteholder.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33" w:name="page434"/>
    <w:bookmarkEnd w:id="433"/>
    <w:p>
      <w:pPr>
        <w:spacing w:after="0"/>
        <w:tabs>
          <w:tab w:leader="none" w:pos="44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19"/>
          <w:szCs w:val="19"/>
          <w:u w:val="single" w:color="auto"/>
          <w:color w:val="auto"/>
        </w:rPr>
        <w:t>Notation on or Exchange of Notes</w:t>
      </w:r>
    </w:p>
    <w:p>
      <w:pPr>
        <w:spacing w:after="0" w:line="202"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20"/>
          <w:szCs w:val="20"/>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68"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Failure to make the appropriate notation or issue a new Note will not affect the validity and effect of such amendment, supplement or waiver.</w:t>
      </w:r>
    </w:p>
    <w:p>
      <w:pPr>
        <w:spacing w:after="0" w:line="15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u w:val="single" w:color="auto"/>
          <w:color w:val="auto"/>
        </w:rPr>
        <w:t>Trustee to Sign Amendments, etc.</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The Trustee will sign any amended or supplemental indenture authorized pursuant to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if the amendment or supplement does not adversely affect the rights, duties, liabilities or immunities of the Trustee. In executing any amended or supplemental indenture, the Trustee will be entitled to receive and (subject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will be fully protected in relying upon an Officer’s Certificate and an Opinion of Counsel stating that the execution of such amended or supplemental indenture by the Company is authorized or permitted by this Indenture and that such supplemental indenture is the valid and legally binding obligation of the Company, enforceable against the Company in accordance with its terms, subject to customary exceptions.</w:t>
      </w:r>
    </w:p>
    <w:p>
      <w:pPr>
        <w:spacing w:after="0" w:line="16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COLLATERAL AND SECURITY</w:t>
      </w:r>
    </w:p>
    <w:p>
      <w:pPr>
        <w:spacing w:after="0" w:line="20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Senior Secured Debt</w:t>
      </w:r>
    </w:p>
    <w:p>
      <w:pPr>
        <w:spacing w:after="0" w:line="216" w:lineRule="exact"/>
        <w:rPr>
          <w:sz w:val="20"/>
          <w:szCs w:val="20"/>
          <w:color w:val="auto"/>
        </w:rPr>
      </w:pPr>
    </w:p>
    <w:p>
      <w:pPr>
        <w:ind w:left="1280" w:hanging="634"/>
        <w:spacing w:after="0" w:line="261" w:lineRule="auto"/>
        <w:tabs>
          <w:tab w:leader="none" w:pos="1077" w:val="left"/>
        </w:tabs>
        <w:numPr>
          <w:ilvl w:val="0"/>
          <w:numId w:val="5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Notes, upon issuance, will be Senior Secured Debt for purposes of the Common Terms Agreement and the Senior Security Documents. The Trustee shall be the Senior Secured Debt Holder Representative for the Notes and a Senior Secured Creditor Representative. The Noteholders shall be Senior Secured Debt Holders.</w:t>
      </w:r>
    </w:p>
    <w:p>
      <w:pPr>
        <w:spacing w:after="0" w:line="150" w:lineRule="exact"/>
        <w:rPr>
          <w:rFonts w:ascii="Times New Roman" w:cs="Times New Roman" w:eastAsia="Times New Roman" w:hAnsi="Times New Roman"/>
          <w:sz w:val="20"/>
          <w:szCs w:val="20"/>
          <w:color w:val="auto"/>
        </w:rPr>
      </w:pPr>
    </w:p>
    <w:p>
      <w:pPr>
        <w:ind w:left="1280" w:right="20" w:hanging="634"/>
        <w:spacing w:after="0" w:line="287" w:lineRule="auto"/>
        <w:tabs>
          <w:tab w:leader="none" w:pos="1163" w:val="left"/>
        </w:tabs>
        <w:numPr>
          <w:ilvl w:val="0"/>
          <w:numId w:val="5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Notes will constitute a Senior Secured Debt Instruments, Senior Secured Debt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all other Senior Secured Debt, and will be secured by the Collateral equally and ratable with all other Senior Secured Debt.</w:t>
      </w:r>
    </w:p>
    <w:p>
      <w:pPr>
        <w:spacing w:after="0" w:line="12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Release of Collateral</w:t>
      </w:r>
    </w:p>
    <w:p>
      <w:pPr>
        <w:spacing w:after="0" w:line="202" w:lineRule="exact"/>
        <w:rPr>
          <w:sz w:val="20"/>
          <w:szCs w:val="20"/>
          <w:color w:val="auto"/>
        </w:rPr>
      </w:pPr>
    </w:p>
    <w:p>
      <w:pPr>
        <w:ind w:left="1280" w:hanging="634"/>
        <w:spacing w:after="0" w:line="258" w:lineRule="auto"/>
        <w:tabs>
          <w:tab w:leader="none" w:pos="1129" w:val="left"/>
        </w:tabs>
        <w:numPr>
          <w:ilvl w:val="0"/>
          <w:numId w:val="5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Notes or each series of Notes, the P1 Collateral Agent’s Liens upon Collateral will no longer secure the Senior Secured Obligations with respect to the Notes or that series of Notes and the right of the Holders of such Senior Secured Obligations to the benefits and proceeds of the P1 Collateral Agent’s Liens on Collateral will terminate and be discharged:</w:t>
      </w:r>
    </w:p>
    <w:p>
      <w:pPr>
        <w:spacing w:after="0" w:line="158" w:lineRule="exact"/>
        <w:rPr>
          <w:rFonts w:ascii="Times New Roman" w:cs="Times New Roman" w:eastAsia="Times New Roman" w:hAnsi="Times New Roman"/>
          <w:sz w:val="20"/>
          <w:szCs w:val="20"/>
          <w:color w:val="auto"/>
        </w:rPr>
      </w:pPr>
    </w:p>
    <w:p>
      <w:pPr>
        <w:ind w:left="1920" w:hanging="636"/>
        <w:spacing w:after="0" w:line="258" w:lineRule="auto"/>
        <w:tabs>
          <w:tab w:leader="none" w:pos="1776" w:val="left"/>
        </w:tabs>
        <w:numPr>
          <w:ilvl w:val="1"/>
          <w:numId w:val="5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upon satisfaction and discharge of this Indenture as set forth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(B) upon a Legal Defeasance or Covenant Defeasance with respect to that series of Notes as set forth in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(C) upon payment in full of the applicable Notes and all other related Senior Secured Obligations that are outstanding, due and payable under this Indenture at the time the Notes are paid in full; or</w:t>
      </w:r>
    </w:p>
    <w:p>
      <w:pPr>
        <w:spacing w:after="0" w:line="158" w:lineRule="exact"/>
        <w:rPr>
          <w:rFonts w:ascii="Times New Roman" w:cs="Times New Roman" w:eastAsia="Times New Roman" w:hAnsi="Times New Roman"/>
          <w:sz w:val="20"/>
          <w:szCs w:val="20"/>
          <w:color w:val="auto"/>
        </w:rPr>
      </w:pPr>
    </w:p>
    <w:p>
      <w:pPr>
        <w:ind w:left="1920" w:hanging="636"/>
        <w:spacing w:after="0" w:line="283" w:lineRule="auto"/>
        <w:tabs>
          <w:tab w:leader="none" w:pos="1742" w:val="left"/>
        </w:tabs>
        <w:numPr>
          <w:ilvl w:val="1"/>
          <w:numId w:val="5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Common Terms Agreement, the Collateral and Intercreditor Agreement and the Senior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34" w:name="page435"/>
    <w:bookmarkEnd w:id="434"/>
    <w:p>
      <w:pPr>
        <w:ind w:left="1280" w:hanging="634"/>
        <w:spacing w:after="0" w:line="266" w:lineRule="auto"/>
        <w:tabs>
          <w:tab w:leader="none" w:pos="1064" w:val="left"/>
        </w:tabs>
        <w:numPr>
          <w:ilvl w:val="0"/>
          <w:numId w:val="5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request of the Company pursuant to an Officer’s Certificate confirming that all applicable conditions under this Indenture for the release of Collateral have been complied with, the Trustee will, based on such Officer’s Certificate, deliver a certificate to the P1 Collateral Agent instructing the P1 Collateral Agent to release the relevant Liens without the further consent of the Noteholders. No certificate by the Trustee, nor any consent by the Noteholders, shall be required in connection with any sale, transfer or other disposition of Collateral if such sale, transfer or other disposition does not constitute an Asset Sale or is otherwise permitted by the terms of the Common Terms Agreement, the Collateral and Intercreditor Agreement and the Senior Security Documents and such documents do not require delivery of such certificate. If the Collateral is then held by the Trustee, the Trustee shall, execute, deliver or acknowledge any necessary or proper instruments of termination, satisfaction or release prepared by the Company and at the expense of the Company to evidence such release.</w:t>
      </w:r>
    </w:p>
    <w:p>
      <w:pPr>
        <w:spacing w:after="0" w:line="156" w:lineRule="exact"/>
        <w:rPr>
          <w:rFonts w:ascii="Times New Roman" w:cs="Times New Roman" w:eastAsia="Times New Roman" w:hAnsi="Times New Roman"/>
          <w:sz w:val="19"/>
          <w:szCs w:val="19"/>
          <w:color w:val="auto"/>
        </w:rPr>
      </w:pPr>
    </w:p>
    <w:p>
      <w:pPr>
        <w:ind w:left="1280" w:hanging="634"/>
        <w:spacing w:after="0" w:line="258" w:lineRule="auto"/>
        <w:tabs>
          <w:tab w:leader="none" w:pos="1088" w:val="left"/>
        </w:tabs>
        <w:numPr>
          <w:ilvl w:val="0"/>
          <w:numId w:val="5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of any Collateral from the terms of this Indenture, the Common Terms Agreement, the Collateral and Intercreditor Agreement and the Senior Security Documents shall not be deemed to impair the security under this Indenture in contravention of the provisions hereof if and to the extent the Collateral is released pursuant to the terms of the Common Terms Agreement, the Collateral and Intercreditor Agreement and the Senior Security Documents.</w:t>
      </w:r>
    </w:p>
    <w:p>
      <w:pPr>
        <w:spacing w:after="0" w:line="15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SATISFACTION AND DISCHARGE</w:t>
      </w:r>
    </w:p>
    <w:p>
      <w:pPr>
        <w:spacing w:after="0" w:line="2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Satisfaction and Discharge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Indenture will be discharged and will cease to be of further effect as to all Notes issued hereunder, when:</w:t>
      </w:r>
    </w:p>
    <w:p>
      <w:pPr>
        <w:spacing w:after="0" w:line="202" w:lineRule="exact"/>
        <w:rPr>
          <w:sz w:val="20"/>
          <w:szCs w:val="20"/>
          <w:color w:val="auto"/>
        </w:rPr>
      </w:pPr>
    </w:p>
    <w:p>
      <w:pPr>
        <w:ind w:left="1060" w:hanging="414"/>
        <w:spacing w:after="0"/>
        <w:tabs>
          <w:tab w:leader="none" w:pos="1060" w:val="left"/>
        </w:tabs>
        <w:numPr>
          <w:ilvl w:val="0"/>
          <w:numId w:val="5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02" w:lineRule="exact"/>
        <w:rPr>
          <w:rFonts w:ascii="Times New Roman" w:cs="Times New Roman" w:eastAsia="Times New Roman" w:hAnsi="Times New Roman"/>
          <w:sz w:val="20"/>
          <w:szCs w:val="20"/>
          <w:color w:val="auto"/>
        </w:rPr>
      </w:pPr>
    </w:p>
    <w:p>
      <w:pPr>
        <w:ind w:left="1920" w:hanging="636"/>
        <w:spacing w:after="0" w:line="261" w:lineRule="auto"/>
        <w:tabs>
          <w:tab w:leader="none" w:pos="1691" w:val="left"/>
        </w:tabs>
        <w:numPr>
          <w:ilvl w:val="1"/>
          <w:numId w:val="5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154" w:lineRule="exact"/>
        <w:rPr>
          <w:rFonts w:ascii="Times New Roman" w:cs="Times New Roman" w:eastAsia="Times New Roman" w:hAnsi="Times New Roman"/>
          <w:sz w:val="20"/>
          <w:szCs w:val="20"/>
          <w:color w:val="auto"/>
        </w:rPr>
      </w:pPr>
    </w:p>
    <w:p>
      <w:pPr>
        <w:ind w:left="1920" w:hanging="636"/>
        <w:spacing w:after="0" w:line="253" w:lineRule="auto"/>
        <w:tabs>
          <w:tab w:leader="none" w:pos="1783" w:val="left"/>
        </w:tabs>
        <w:numPr>
          <w:ilvl w:val="1"/>
          <w:numId w:val="5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Notes that have not been delivered to the Trustee for cancellation have become due and payable by reason of the mailing of a notice of redemption or otherwise or will become due and payable within one year and the Company has irrevocably deposited or caused to be deposited with the Trustee as trust funds in trust solely for the benefit of the Noteholders,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65" w:lineRule="exact"/>
        <w:rPr>
          <w:rFonts w:ascii="Times New Roman" w:cs="Times New Roman" w:eastAsia="Times New Roman" w:hAnsi="Times New Roman"/>
          <w:sz w:val="20"/>
          <w:szCs w:val="20"/>
          <w:color w:val="auto"/>
        </w:rPr>
      </w:pPr>
    </w:p>
    <w:p>
      <w:pPr>
        <w:ind w:left="1280" w:hanging="634"/>
        <w:spacing w:after="0" w:line="261" w:lineRule="auto"/>
        <w:tabs>
          <w:tab w:leader="none" w:pos="1140" w:val="left"/>
        </w:tabs>
        <w:numPr>
          <w:ilvl w:val="0"/>
          <w:numId w:val="5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on the date of such deposit (other than a Default or Event of Default resulting from the borrowing of funds to be applied to such deposit and the granting of Liens securing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35" w:name="page436"/>
    <w:bookmarkEnd w:id="435"/>
    <w:p>
      <w:pPr>
        <w:ind w:left="1280" w:hanging="634"/>
        <w:spacing w:after="0" w:line="261" w:lineRule="auto"/>
        <w:tabs>
          <w:tab w:leader="none" w:pos="1111" w:val="left"/>
        </w:tabs>
        <w:numPr>
          <w:ilvl w:val="0"/>
          <w:numId w:val="5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deposit will not result in a breach or violation of, or constitute a default under (other than a Default or Event of Default resulting from the borrowing of funds to be applied to such deposit and the granting of Liens securing such borrowing), any material agreement or instrument to which the Company is a party or by which the Company is bound;</w:t>
      </w:r>
    </w:p>
    <w:p>
      <w:pPr>
        <w:spacing w:after="0" w:line="154"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5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paid or caused to be paid all sums payable by it under this Indenture; and</w:t>
      </w:r>
    </w:p>
    <w:p>
      <w:pPr>
        <w:spacing w:after="0" w:line="215" w:lineRule="exact"/>
        <w:rPr>
          <w:rFonts w:ascii="Times New Roman" w:cs="Times New Roman" w:eastAsia="Times New Roman" w:hAnsi="Times New Roman"/>
          <w:sz w:val="20"/>
          <w:szCs w:val="20"/>
          <w:color w:val="auto"/>
        </w:rPr>
      </w:pPr>
    </w:p>
    <w:p>
      <w:pPr>
        <w:ind w:left="1280" w:hanging="634"/>
        <w:spacing w:after="0" w:line="269" w:lineRule="auto"/>
        <w:tabs>
          <w:tab w:leader="none" w:pos="1069" w:val="left"/>
        </w:tabs>
        <w:numPr>
          <w:ilvl w:val="0"/>
          <w:numId w:val="5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delivered irrevocable instructions to the Trustee under this Indenture to apply the deposited money toward the payment of the Notes at maturity or the redemption date, as the case may be.</w:t>
      </w:r>
    </w:p>
    <w:p>
      <w:pPr>
        <w:spacing w:after="0" w:line="15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In addition, the Company must deliver to the Trustee (1) an Officer’s Certificate stating that all conditions precedent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have been satisfied, and (2) an Opinion of Counsel (which opinion of counsel may be subject to customary assumptions, qualifications and exclusions), stating that all conditions precedent set forth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have been satisfied; provided, that the Opinion of Counsel with respect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may be to the knowledge of such counsel.</w:t>
      </w:r>
    </w:p>
    <w:p>
      <w:pPr>
        <w:spacing w:after="0" w:line="16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the satisfaction and discharge of this Indenture, if money has been deposited with the Trustee pursuant to </w:t>
      </w:r>
      <w:r>
        <w:rPr>
          <w:rFonts w:ascii="Times New Roman" w:cs="Times New Roman" w:eastAsia="Times New Roman" w:hAnsi="Times New Roman"/>
          <w:sz w:val="20"/>
          <w:szCs w:val="20"/>
          <w:u w:val="single" w:color="auto"/>
          <w:color w:val="auto"/>
        </w:rPr>
        <w:t>subclause (ii)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Sections 11.2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8.6</w:t>
      </w:r>
      <w:r>
        <w:rPr>
          <w:rFonts w:ascii="Times New Roman" w:cs="Times New Roman" w:eastAsia="Times New Roman" w:hAnsi="Times New Roman"/>
          <w:sz w:val="20"/>
          <w:szCs w:val="20"/>
          <w:color w:val="auto"/>
        </w:rPr>
        <w:t xml:space="preserve"> will survive. In addition, nothing in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will be deemed to discharge those provisions of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that, by their terms, survive the satisfaction and discharge of this Indenture.</w:t>
      </w:r>
    </w:p>
    <w:p>
      <w:pPr>
        <w:spacing w:after="0" w:line="15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Application of Trust Money</w:t>
      </w:r>
    </w:p>
    <w:p>
      <w:pPr>
        <w:spacing w:after="0" w:line="20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all money deposited with the Trustee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interest and premium, if any, for whose payment such money has been deposited with the Trustee; but such money need not be segregated from other funds except to the extent required by law.</w:t>
      </w:r>
    </w:p>
    <w:p>
      <w:pPr>
        <w:spacing w:after="0" w:line="15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 xml:space="preserve">If the Trustee or Paying Agent is unable to apply any money or Government Securities in accordance with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Company has made any payment of principal of, premium, if any, or interest on, any Notes because of the reinstatement of its obligations, the Company shall be subrogated to the rights of the Noteholders of such Notes to receive such payment from the money or Government Securities held by the Trustee or Paying Agent.</w:t>
      </w:r>
    </w:p>
    <w:p>
      <w:pPr>
        <w:spacing w:after="0" w:line="16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20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u w:val="single" w:color="auto"/>
          <w:color w:val="auto"/>
        </w:rPr>
        <w:t>Notices</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Any notice or communication by the Company or the Trustee to the others is duly given if in writing and delivered in Person or by first class mail (registered or certified, return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36" w:name="page437"/>
    <w:bookmarkEnd w:id="436"/>
    <w:p>
      <w:pPr>
        <w:ind w:left="640"/>
        <w:spacing w:after="0"/>
        <w:rPr>
          <w:sz w:val="20"/>
          <w:szCs w:val="20"/>
          <w:color w:val="auto"/>
        </w:rPr>
      </w:pPr>
      <w:r>
        <w:rPr>
          <w:rFonts w:ascii="Times New Roman" w:cs="Times New Roman" w:eastAsia="Times New Roman" w:hAnsi="Times New Roman"/>
          <w:sz w:val="20"/>
          <w:szCs w:val="20"/>
          <w:color w:val="auto"/>
        </w:rPr>
        <w:t>requested), electronic mail or overnight air courier guaranteeing next day delivery, to the others’ address: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2" w:lineRule="exact"/>
        <w:rPr>
          <w:sz w:val="20"/>
          <w:szCs w:val="20"/>
          <w:color w:val="auto"/>
        </w:rPr>
      </w:pPr>
    </w:p>
    <w:p>
      <w:pPr>
        <w:ind w:left="1280"/>
        <w:spacing w:after="0"/>
        <w:tabs>
          <w:tab w:leader="none" w:pos="21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1000 Louisiana Street, 39th Floor</w:t>
      </w:r>
    </w:p>
    <w:p>
      <w:pPr>
        <w:spacing w:after="0" w:line="22" w:lineRule="exact"/>
        <w:rPr>
          <w:sz w:val="20"/>
          <w:szCs w:val="20"/>
          <w:color w:val="auto"/>
        </w:rPr>
      </w:pPr>
    </w:p>
    <w:p>
      <w:pPr>
        <w:jc w:val="center"/>
        <w:ind w:right="572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jc w:val="center"/>
        <w:ind w:right="5660"/>
        <w:spacing w:after="0"/>
        <w:tabs>
          <w:tab w:leader="none" w:pos="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Vera De Brito de Gyarfas</w:t>
      </w:r>
    </w:p>
    <w:p>
      <w:pPr>
        <w:spacing w:after="0" w:line="13" w:lineRule="exact"/>
        <w:rPr>
          <w:sz w:val="20"/>
          <w:szCs w:val="20"/>
          <w:color w:val="auto"/>
        </w:rPr>
      </w:pPr>
    </w:p>
    <w:p>
      <w:pPr>
        <w:ind w:left="1280"/>
        <w:spacing w:after="0"/>
        <w:tabs>
          <w:tab w:leader="none" w:pos="23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vdegyarfas@next-decade.com</w:t>
      </w:r>
    </w:p>
    <w:p>
      <w:pPr>
        <w:spacing w:after="0" w:line="187"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With a copy to (which copy shall be delivered as an accommodation and shall not be required to be delivered in satisfaction of any requirement hereof):</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line="202"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20"/>
          <w:szCs w:val="20"/>
          <w:color w:val="auto"/>
        </w:rPr>
        <w:t>Address:</w:t>
        <w:tab/>
        <w:t>811 Main Street</w:t>
      </w:r>
    </w:p>
    <w:p>
      <w:pPr>
        <w:spacing w:after="0" w:line="2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Houston, TX 77002</w:t>
      </w:r>
    </w:p>
    <w:p>
      <w:pPr>
        <w:spacing w:after="0" w:line="6"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Jason Webber</w:t>
      </w:r>
    </w:p>
    <w:p>
      <w:pPr>
        <w:spacing w:after="0" w:line="13" w:lineRule="exact"/>
        <w:rPr>
          <w:sz w:val="20"/>
          <w:szCs w:val="20"/>
          <w:color w:val="auto"/>
        </w:rPr>
      </w:pPr>
    </w:p>
    <w:p>
      <w:pPr>
        <w:ind w:left="1280"/>
        <w:spacing w:after="0"/>
        <w:tabs>
          <w:tab w:leader="none" w:pos="2380" w:val="left"/>
        </w:tabs>
        <w:rPr>
          <w:sz w:val="20"/>
          <w:szCs w:val="20"/>
          <w:color w:val="auto"/>
        </w:rPr>
      </w:pPr>
      <w:r>
        <w:rPr>
          <w:rFonts w:ascii="Times New Roman" w:cs="Times New Roman" w:eastAsia="Times New Roman" w:hAnsi="Times New Roman"/>
          <w:sz w:val="20"/>
          <w:szCs w:val="20"/>
          <w:color w:val="auto"/>
        </w:rPr>
        <w:t>Telephone:</w:t>
        <w:tab/>
        <w:t>(212) 906-1214</w:t>
      </w:r>
    </w:p>
    <w:p>
      <w:pPr>
        <w:spacing w:after="0" w:line="6" w:lineRule="exact"/>
        <w:rPr>
          <w:sz w:val="20"/>
          <w:szCs w:val="20"/>
          <w:color w:val="auto"/>
        </w:rPr>
      </w:pPr>
    </w:p>
    <w:p>
      <w:pPr>
        <w:ind w:left="1280"/>
        <w:spacing w:after="0"/>
        <w:tabs>
          <w:tab w:leader="none" w:pos="23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Jason.Webber@lw.com</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to the Trustee:</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02" w:lineRule="exact"/>
        <w:rPr>
          <w:sz w:val="20"/>
          <w:szCs w:val="20"/>
          <w:color w:val="auto"/>
        </w:rPr>
      </w:pPr>
    </w:p>
    <w:p>
      <w:pPr>
        <w:ind w:left="1280"/>
        <w:spacing w:after="0"/>
        <w:tabs>
          <w:tab w:leader="none" w:pos="21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1100 North Market Street</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6"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D. Amedeo Morreale</w:t>
      </w:r>
    </w:p>
    <w:p>
      <w:pPr>
        <w:spacing w:after="0" w:line="6" w:lineRule="exact"/>
        <w:rPr>
          <w:sz w:val="20"/>
          <w:szCs w:val="20"/>
          <w:color w:val="auto"/>
        </w:rPr>
      </w:pPr>
    </w:p>
    <w:p>
      <w:pPr>
        <w:ind w:left="1280"/>
        <w:spacing w:after="0"/>
        <w:tabs>
          <w:tab w:leader="none" w:pos="2340" w:val="left"/>
        </w:tabs>
        <w:rPr>
          <w:sz w:val="20"/>
          <w:szCs w:val="20"/>
          <w:color w:val="auto"/>
        </w:rPr>
      </w:pPr>
      <w:r>
        <w:rPr>
          <w:rFonts w:ascii="Times New Roman" w:cs="Times New Roman" w:eastAsia="Times New Roman" w:hAnsi="Times New Roman"/>
          <w:sz w:val="20"/>
          <w:szCs w:val="20"/>
          <w:color w:val="auto"/>
        </w:rPr>
        <w:t>Telephone:</w:t>
      </w:r>
      <w:r>
        <w:rPr>
          <w:sz w:val="20"/>
          <w:szCs w:val="20"/>
          <w:color w:val="auto"/>
        </w:rPr>
        <w:tab/>
      </w:r>
      <w:r>
        <w:rPr>
          <w:rFonts w:ascii="Times New Roman" w:cs="Times New Roman" w:eastAsia="Times New Roman" w:hAnsi="Times New Roman"/>
          <w:sz w:val="19"/>
          <w:szCs w:val="19"/>
          <w:color w:val="auto"/>
        </w:rPr>
        <w:t>(561) 724-2258</w:t>
      </w:r>
    </w:p>
    <w:p>
      <w:pPr>
        <w:spacing w:after="0" w:line="6"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dmorreale@wilmingtontrust.com</w:t>
      </w:r>
    </w:p>
    <w:p>
      <w:pPr>
        <w:spacing w:after="0" w:line="194"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The Company or the Trustee, by notice to the others, may designate additional or different addresses for subsequent notices or communications.</w:t>
      </w:r>
    </w:p>
    <w:p>
      <w:pPr>
        <w:spacing w:after="0" w:line="146"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 xml:space="preserve">All notices and communications (other than those sent to Noteholders) will be deemed to have been duly given: at the time delivered by hand, if personally delivered; five Business Days after being deposited in the mail, postage prepaid, if mailed; at the time sent, if transmitted by electronic mail; and the next Business Day after timely delivery to the courier, if sent by overnight air courier guaranteeing next day delivery;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all notices and communications to the Trustee shall not be deemed received by the Trustee unless actually received by the Trustee at its address or electronic mail address set forth above.</w:t>
      </w:r>
    </w:p>
    <w:p>
      <w:pPr>
        <w:spacing w:after="0" w:line="159"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Any notice or communication to a Noteholder may be provided electronically (including through posting on Debtdomain or other web site (collectively,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xml:space="preserve">”) in use to distribute information to Noteholders), mailed by first class mail, or by certified or registered mail, return receipt requested, or by overnight air courier guaranteeing next day delivery to its address shown on the register kept by the Registrar;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upon request of any holder to receive paper copies of such notice or communication or to receive them by email, the Company will promptly deliver paper copies or email them, as the case may be,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13" w:right="33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type w:val="continuous"/>
        </w:sectPr>
      </w:pPr>
    </w:p>
    <w:bookmarkStart w:id="437" w:name="page438"/>
    <w:bookmarkEnd w:id="437"/>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holder. Failure to mail or deliver a notice or communication to a Noteholder or any defect in it will not affect its sufficiency with respect to other Noteholders.</w:t>
      </w:r>
    </w:p>
    <w:p>
      <w:pPr>
        <w:spacing w:after="0" w:line="133"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Trustee from time to time (including, as of the Closing Date, a user ID/password authorization system) and the Approved Electronic Platform is secured through a per-deal authorization method whereby each user may access the Approved Electronic Platform only on a deal-by-deal basis, each of the Noteholders acknowledges and agrees that the distribution of material through an electronic medium is not necessarily secure, that the Trustee is not responsible for approving or vetting the representatives or contacts that are added to the Approved Electronic Platform, and that there may be confidentiality and other risks associated with such distribution. The Company hereby approves distribution of the any notice or communication through the Approved Electronic Platform and understands and assumes the risks of such distribution.</w:t>
      </w:r>
    </w:p>
    <w:p>
      <w:pPr>
        <w:spacing w:after="0" w:line="168"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0"/>
          <w:szCs w:val="20"/>
          <w:color w:val="auto"/>
        </w:rPr>
        <w:t>THE APPROVED ELECTRONIC PLATFORM AND THE NOTICES OR COMMUNICATIONS ARE PROVIDED “AS IS” AND “AS AVAILABLE”. THE COMPANY AND TRUSTEE DO NOT WARRANT THE ACCURACY OR COMPLETENESS OF THE NOTICES OR COMMUNICATIONS, OR THE ADEQUACY OF THE APPROVED ELECTRONIC PLATFORM AND EXPRESSLY DISCLAIM LIABILITY FOR ERRORS OR OMISSIONS IN THE APPROVED ELECTRONIC PLATFORM AND THE NOTICES AND COMMUNICATIONS. NO WARRANTY OF ANY KIND, EXPRESS, IMPLIED OR STATUTORY, INCLUDING ANY WARRANTY OF MERCHANTABILITY, FITNESS FOR A PARTICULAR PURPOSE, NON-INFRINGEMENT OF THIRD PARTY RIGHTS OR FREEDOM FROM VIRUSES OR OTHER CODE DEFECTS, IS MADE BY THE COMPANY OR TRUSTEE IN CONNECTION WITH THE COMMUNICATIONS OR THE APPROVED ELECTRONIC PLATFORM. IN NO EVENT SHALL THE TRUSTEE HAVE ANY LIABILITY TO ANY NOTEHOLDER OR ANY OTHER PERSON OR ENTITY FOR DAMAGES OF ANY KIND, INCLUDING DIRECT OR INDIRECT, SPECIAL, INCIDENTAL OR CONSEQUENTIAL DAMAGES, LOSSES OR EXPENSES (WHETHER IN TORT, CONTRACT OR OTHERWISE) ARISING OUT OF ANY COMPANY OR TRUSTEE’S TRANSMISSION OF NOTICES OR COMMUNICATIONS THROUGH THE INTERNET OR THE APPROVED ELECTRONIC PLATFORM EXCEPT WITH RESPECT TO ACTUAL AND DIRECT DAMAGES TO THE EXTENT DETERMINED BY A COURT OF COMPETENT JURISDICTION BY FINAL AND NON-APPEALABLE JUDGMENT TO HAVE RESULTED FROM THE WILLFUL MISCONDUCT OR GROSS NEGLIGENCE OF THE COMPANY OR TRUSTEE; PROVIDED THAT ANY NOTICES OR COMMUNICATION TO NOTEHOLDER OR, TO THE EXTENT SUCH DISCLOSURE IS OTHERWISE PERMITTED, TO ANY OTHER PERSON THROUGH AN APPROVED ELECTRONIC PLATFORM SHALL BE MADE SUBJECT TO THE ACKNOWLEDGEMENT AND ACCEPTANCE BY SUCH PERSON THAT SUCH COMMUNICATION IS BEING DISSEMINATED OR DISCLOSED ON A CONFIDENTIAL BASIS, WHICH SHALL IN ANY EVENT REQUIRE “CLICK THROUGH” OR OTHER AFFIRMATIVE ACTIONS ON THE PART OF THE RECIPIENT TO ACCESS SUCH COMMUNICATION.</w:t>
      </w:r>
    </w:p>
    <w:p>
      <w:pPr>
        <w:spacing w:after="0" w:line="173"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If a notice or communication is mailed or delivered in the manner provided above within the time prescribed, it is duly given, whether or not the addressee receives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38" w:name="page439"/>
    <w:bookmarkEnd w:id="438"/>
    <w:p>
      <w:pPr>
        <w:ind w:left="640"/>
        <w:spacing w:after="0" w:line="283" w:lineRule="auto"/>
        <w:rPr>
          <w:sz w:val="20"/>
          <w:szCs w:val="20"/>
          <w:color w:val="auto"/>
        </w:rPr>
      </w:pPr>
      <w:r>
        <w:rPr>
          <w:rFonts w:ascii="Times New Roman" w:cs="Times New Roman" w:eastAsia="Times New Roman" w:hAnsi="Times New Roman"/>
          <w:sz w:val="20"/>
          <w:szCs w:val="20"/>
          <w:color w:val="auto"/>
        </w:rPr>
        <w:t>If the Company mails or delivers a notice or communication to Noteholders, it will send a copy to the Trustee and each Agent at the same time by any of the means described above with respect to notice or communication by the Company.</w:t>
      </w:r>
    </w:p>
    <w:p>
      <w:pPr>
        <w:spacing w:after="0" w:line="13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u w:val="single" w:color="auto"/>
          <w:color w:val="auto"/>
        </w:rPr>
        <w:t>Certificate and Opinion as to Conditions Precedent</w:t>
      </w:r>
    </w:p>
    <w:p>
      <w:pPr>
        <w:spacing w:after="0" w:line="202" w:lineRule="exact"/>
        <w:rPr>
          <w:sz w:val="20"/>
          <w:szCs w:val="20"/>
          <w:color w:val="auto"/>
        </w:rPr>
      </w:pPr>
    </w:p>
    <w:p>
      <w:pPr>
        <w:ind w:left="640"/>
        <w:spacing w:after="0" w:line="283" w:lineRule="auto"/>
        <w:rPr>
          <w:sz w:val="20"/>
          <w:szCs w:val="20"/>
          <w:color w:val="auto"/>
        </w:rPr>
      </w:pPr>
      <w:r>
        <w:rPr>
          <w:rFonts w:ascii="Times New Roman" w:cs="Times New Roman" w:eastAsia="Times New Roman" w:hAnsi="Times New Roman"/>
          <w:sz w:val="20"/>
          <w:szCs w:val="20"/>
          <w:color w:val="auto"/>
        </w:rPr>
        <w:t>Upon any request or application by the Company to the Trustee to take any action under this Indenture, the Company shall furnish to the Trustee:</w:t>
      </w:r>
    </w:p>
    <w:p>
      <w:pPr>
        <w:spacing w:after="0" w:line="133" w:lineRule="exact"/>
        <w:rPr>
          <w:sz w:val="20"/>
          <w:szCs w:val="20"/>
          <w:color w:val="auto"/>
        </w:rPr>
      </w:pPr>
    </w:p>
    <w:p>
      <w:pPr>
        <w:jc w:val="both"/>
        <w:ind w:left="1280" w:hanging="634"/>
        <w:spacing w:after="0" w:line="261" w:lineRule="auto"/>
        <w:tabs>
          <w:tab w:leader="none" w:pos="1242" w:val="left"/>
        </w:tabs>
        <w:numPr>
          <w:ilvl w:val="0"/>
          <w:numId w:val="5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Officer’s Certificate in form reasonably satisfactory to the Trustee (which must include the statements set forth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stating that, in the opinion of the signers, all conditions precedent and covenants, if any, provided for in this Indenture relating to the proposed action have been complied with; and</w:t>
      </w:r>
    </w:p>
    <w:p>
      <w:pPr>
        <w:spacing w:after="0" w:line="154" w:lineRule="exact"/>
        <w:rPr>
          <w:rFonts w:ascii="Times New Roman" w:cs="Times New Roman" w:eastAsia="Times New Roman" w:hAnsi="Times New Roman"/>
          <w:sz w:val="20"/>
          <w:szCs w:val="20"/>
          <w:color w:val="auto"/>
        </w:rPr>
      </w:pPr>
    </w:p>
    <w:p>
      <w:pPr>
        <w:jc w:val="both"/>
        <w:ind w:left="1280" w:hanging="634"/>
        <w:spacing w:after="0" w:line="258" w:lineRule="auto"/>
        <w:tabs>
          <w:tab w:leader="none" w:pos="1247" w:val="left"/>
        </w:tabs>
        <w:numPr>
          <w:ilvl w:val="0"/>
          <w:numId w:val="5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Opinion of Counsel in form reasonably satisfactory to the Trustee (which must include the statements set forth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stating that, in the opinion of such counsel, all such conditions precedent and covenants have been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Opinion of Counsel shall be delivered on the date of this Indenture in connection with the original issuance of the initial Notes.</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u w:val="single" w:color="auto"/>
          <w:color w:val="auto"/>
        </w:rPr>
        <w:t>Statements Required in Certificate or Opinion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certificate or opinion with respect to compliance with a condition or covenant provided for in this Indenture must include:</w:t>
      </w:r>
    </w:p>
    <w:p>
      <w:pPr>
        <w:spacing w:after="0" w:line="202" w:lineRule="exact"/>
        <w:rPr>
          <w:sz w:val="20"/>
          <w:szCs w:val="20"/>
          <w:color w:val="auto"/>
        </w:rPr>
      </w:pPr>
    </w:p>
    <w:p>
      <w:pPr>
        <w:ind w:left="1060" w:hanging="414"/>
        <w:spacing w:after="0"/>
        <w:tabs>
          <w:tab w:leader="none" w:pos="1060" w:val="left"/>
        </w:tabs>
        <w:numPr>
          <w:ilvl w:val="0"/>
          <w:numId w:val="5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Person making such certificate or opinion has read such covenant or condition;</w:t>
      </w:r>
    </w:p>
    <w:p>
      <w:pPr>
        <w:spacing w:after="0" w:line="202" w:lineRule="exact"/>
        <w:rPr>
          <w:rFonts w:ascii="Times New Roman" w:cs="Times New Roman" w:eastAsia="Times New Roman" w:hAnsi="Times New Roman"/>
          <w:sz w:val="20"/>
          <w:szCs w:val="20"/>
          <w:color w:val="auto"/>
        </w:rPr>
      </w:pPr>
    </w:p>
    <w:p>
      <w:pPr>
        <w:ind w:left="1280" w:hanging="634"/>
        <w:spacing w:after="0" w:line="283" w:lineRule="auto"/>
        <w:tabs>
          <w:tab w:leader="none" w:pos="1073" w:val="left"/>
        </w:tabs>
        <w:numPr>
          <w:ilvl w:val="0"/>
          <w:numId w:val="5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statement as to the nature and scope of the examination or investigation upon which the statements or opinions contained in such certificate or opinion are based;</w:t>
      </w:r>
    </w:p>
    <w:p>
      <w:pPr>
        <w:spacing w:after="0" w:line="132" w:lineRule="exact"/>
        <w:rPr>
          <w:rFonts w:ascii="Times New Roman" w:cs="Times New Roman" w:eastAsia="Times New Roman" w:hAnsi="Times New Roman"/>
          <w:sz w:val="20"/>
          <w:szCs w:val="20"/>
          <w:color w:val="auto"/>
        </w:rPr>
      </w:pPr>
    </w:p>
    <w:p>
      <w:pPr>
        <w:ind w:left="1280" w:hanging="634"/>
        <w:spacing w:after="0" w:line="283" w:lineRule="auto"/>
        <w:tabs>
          <w:tab w:leader="none" w:pos="1090" w:val="left"/>
        </w:tabs>
        <w:numPr>
          <w:ilvl w:val="0"/>
          <w:numId w:val="5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32" w:lineRule="exact"/>
        <w:rPr>
          <w:rFonts w:ascii="Times New Roman" w:cs="Times New Roman" w:eastAsia="Times New Roman" w:hAnsi="Times New Roman"/>
          <w:sz w:val="20"/>
          <w:szCs w:val="20"/>
          <w:color w:val="auto"/>
        </w:rPr>
      </w:pPr>
    </w:p>
    <w:p>
      <w:pPr>
        <w:ind w:left="1080" w:hanging="434"/>
        <w:spacing w:after="0"/>
        <w:tabs>
          <w:tab w:leader="none" w:pos="1080" w:val="left"/>
        </w:tabs>
        <w:numPr>
          <w:ilvl w:val="0"/>
          <w:numId w:val="5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as to whether or not, in the opinion of such Person, such condition or covenant has been complied with.</w:t>
      </w:r>
    </w:p>
    <w:p>
      <w:pPr>
        <w:spacing w:after="0" w:line="20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u w:val="single" w:color="auto"/>
          <w:color w:val="auto"/>
        </w:rPr>
        <w:t>Rules by Trustee and Agents</w:t>
      </w:r>
    </w:p>
    <w:p>
      <w:pPr>
        <w:spacing w:after="0" w:line="202"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The Trustee may make reasonable rules for action by or at a meeting of Noteholders. The Registrar or Paying Agent may make reasonable rules and set reasonable requirements for its functions.</w:t>
      </w:r>
    </w:p>
    <w:p>
      <w:pPr>
        <w:spacing w:after="0" w:line="13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u w:val="single" w:color="auto"/>
          <w:color w:val="auto"/>
        </w:rPr>
        <w:t>No Personal Liability of Directors, Officers, Employees and Stockholders</w:t>
      </w:r>
    </w:p>
    <w:p>
      <w:pPr>
        <w:spacing w:after="0" w:line="202"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20"/>
          <w:szCs w:val="20"/>
          <w:color w:val="auto"/>
        </w:rPr>
        <w:t>No past, present or future director, manager, officer, employee, incorporator, member, partner or stockholder of the Company, as such, will have any liability for any obligations of the Company under the Notes, this Indenture, the Senior Security Documents, the P1 Financing Documents or for any claim based on, in respect of, or by reason of, such obligations or their creation.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39" w:name="page440"/>
    <w:bookmarkEnd w:id="439"/>
    <w:p>
      <w:pPr>
        <w:ind w:left="640"/>
        <w:spacing w:after="0" w:line="283" w:lineRule="auto"/>
        <w:rPr>
          <w:sz w:val="20"/>
          <w:szCs w:val="20"/>
          <w:color w:val="auto"/>
        </w:rPr>
      </w:pPr>
      <w:r>
        <w:rPr>
          <w:rFonts w:ascii="Times New Roman" w:cs="Times New Roman" w:eastAsia="Times New Roman" w:hAnsi="Times New Roman"/>
          <w:sz w:val="20"/>
          <w:szCs w:val="20"/>
          <w:color w:val="auto"/>
        </w:rPr>
        <w:t>Noteholder by accepting a Note waives and releases all such liability. The waiver and release are part of the consideration for issuance of the Notes.</w:t>
      </w:r>
    </w:p>
    <w:p>
      <w:pPr>
        <w:spacing w:after="0" w:line="13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u w:val="single" w:color="auto"/>
          <w:color w:val="auto"/>
        </w:rPr>
        <w:t>Applicable Law, Jurisdiction, etc.</w:t>
      </w:r>
    </w:p>
    <w:p>
      <w:pPr>
        <w:spacing w:after="0" w:line="202" w:lineRule="exact"/>
        <w:rPr>
          <w:sz w:val="20"/>
          <w:szCs w:val="20"/>
          <w:color w:val="auto"/>
        </w:rPr>
      </w:pPr>
    </w:p>
    <w:p>
      <w:pPr>
        <w:ind w:left="1280" w:hanging="634"/>
        <w:spacing w:after="0" w:line="261" w:lineRule="auto"/>
        <w:tabs>
          <w:tab w:leader="none" w:pos="1154" w:val="left"/>
        </w:tabs>
        <w:numPr>
          <w:ilvl w:val="0"/>
          <w:numId w:val="5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INDENTURE, AND THE RIGHTS AND OBLIGATIONS OF THE PARTIES HEREUNDER, SHALL BE GOVERNED BY, AND CONSTRUED IN ACCORDANCE WITH, THE LAW OF THE STATE OF NEW YORK, UNITED STATES OF AMERICA.</w:t>
      </w:r>
    </w:p>
    <w:p>
      <w:pPr>
        <w:spacing w:after="0" w:line="167" w:lineRule="exact"/>
        <w:rPr>
          <w:rFonts w:ascii="Times New Roman" w:cs="Times New Roman" w:eastAsia="Times New Roman" w:hAnsi="Times New Roman"/>
          <w:sz w:val="20"/>
          <w:szCs w:val="20"/>
          <w:color w:val="auto"/>
        </w:rPr>
      </w:pPr>
    </w:p>
    <w:p>
      <w:pPr>
        <w:ind w:left="1280" w:hanging="634"/>
        <w:spacing w:after="0" w:line="248" w:lineRule="auto"/>
        <w:tabs>
          <w:tab w:leader="none" w:pos="1070" w:val="left"/>
        </w:tabs>
        <w:numPr>
          <w:ilvl w:val="0"/>
          <w:numId w:val="5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xml:space="preserve">. TO THE EXTENT PERMITTED BY APPLICABLE LAW, EACH OF THE COMPANY, THE TRUSTEE, AND EACH NOTEHOLDER IRREVOCABLY AND UNCONDITIONALLY SUBMITS, FOR ITSELF AND ITS PROPERTY, TO THE EXCLUSIVE JURISDICTION OF THE COURTS OF THE STATE OF NEW YORK SITTING IN NEW YORK COUNTY AND OF THE UNITED STATES DISTRICT COURT FOR THE SOUTHERN DISTRICT OF NEW YORK, AND ANY APPELLATE COURT FROM ANY THEREOF, IN ANY ACTION OR PROCEEDING ARISING OUT OF OR RELATING TO THIS AGREEMENT OR ANY OTHER P1 FINANCING DOCUMENT, OR FOR RECOGNITION OR ENFORCEMENT OF ANY JUDGMENT, AND EACH OF THE COMPANY, THE TRUSTEE, AND EACH NOTEHOLDER IRREVOCABLY AND UNCONDITIONALLY AGREES THAT ALL CLAIMS IN RESPECT OF ANY SUCH ACTION OR PROCEEDING MAY BE HEARD AND DETERMINED IN SUCH NEW YORK STATE COURT OR, TO THE FULLEST EXTENT PERMITTED BY LAW, IN SUCH FEDERAL COURT. EACH OF THE COMPANY, THE TRUSTEE, AND EACH NOTEHOLDER HERETO AGREES THAT A FINAL JUDGMENT IN ANY SUCH ACTION OR PROCEEDING SHALL BE CONCLUSIVE AND MAY BE ENFORCED IN OTHER JURISDICTIONS BY SUIT ON THE JUDGMENT OR IN ANY OTHER MANNER PROVIDED BY LAW. NOTHING IN THIS AGREEMENT OR IN ANY OTHER P1 FINANCING DOCUMENT SHALL AFFECT ANY RIGHT THAT ANY PARTY HERETO MAY OTHERWISE HAVE TO BRING ANY ACTION OR PROCEEDING RELATING TO THIS AGREEMENT OR ANY OTHER P1 FINANCING DOCUMENT AGAINST THE COMPANY OR ITS PROPERTIES IN THE COURTS OF ANY JURISDICTION IF APPLICABLE LAW DOES NOT PERMIT A CLAIM, ACTION OR PROCEEDING REFERRED TO IN THE FIRST SENTENCE OF THIS </w:t>
      </w:r>
      <w:r>
        <w:rPr>
          <w:rFonts w:ascii="Times New Roman" w:cs="Times New Roman" w:eastAsia="Times New Roman" w:hAnsi="Times New Roman"/>
          <w:sz w:val="20"/>
          <w:szCs w:val="20"/>
          <w:u w:val="single" w:color="auto"/>
          <w:color w:val="auto"/>
        </w:rPr>
        <w:t>SECTION 12.6(b)</w:t>
      </w:r>
      <w:r>
        <w:rPr>
          <w:rFonts w:ascii="Times New Roman" w:cs="Times New Roman" w:eastAsia="Times New Roman" w:hAnsi="Times New Roman"/>
          <w:sz w:val="20"/>
          <w:szCs w:val="20"/>
          <w:color w:val="auto"/>
        </w:rPr>
        <w:t xml:space="preserve"> TO BE FILED, HEARD OR DETERMINED IN OR BY THE COURTS SPECIFIED THEREIN.</w:t>
      </w:r>
    </w:p>
    <w:p>
      <w:pPr>
        <w:spacing w:after="0" w:line="182" w:lineRule="exact"/>
        <w:rPr>
          <w:rFonts w:ascii="Times New Roman" w:cs="Times New Roman" w:eastAsia="Times New Roman" w:hAnsi="Times New Roman"/>
          <w:sz w:val="20"/>
          <w:szCs w:val="20"/>
          <w:color w:val="auto"/>
        </w:rPr>
      </w:pPr>
    </w:p>
    <w:p>
      <w:pPr>
        <w:jc w:val="both"/>
        <w:ind w:left="1280" w:hanging="634"/>
        <w:spacing w:after="0" w:line="269" w:lineRule="auto"/>
        <w:tabs>
          <w:tab w:leader="none" w:pos="1343" w:val="left"/>
        </w:tabs>
        <w:numPr>
          <w:ilvl w:val="0"/>
          <w:numId w:val="5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VENUE</w:t>
      </w:r>
      <w:r>
        <w:rPr>
          <w:rFonts w:ascii="Times New Roman" w:cs="Times New Roman" w:eastAsia="Times New Roman" w:hAnsi="Times New Roman"/>
          <w:sz w:val="19"/>
          <w:szCs w:val="19"/>
          <w:color w:val="auto"/>
        </w:rPr>
        <w:t xml:space="preserve">. THE COMPANY, THE TRUSTEE, AND EACH NOTEHOLDER IRREVOCABLY AND UNCONDITIONALLY WAIVES, TO THE FULLEST EXTENT PERMITTED BY LAW, ANY OBJECTION THAT IT MAY NOW OR HEREAFTER HAVE TO THE LAYING OF VENUE OF ANY ACTION OR PROCEEDING ARISING OUT OF OR RELATING TO THIS AGREEMENT OR ANY OTHER P1 FINANCING DOCUMENT IN ANY COURT REFERRED TO IN </w:t>
      </w:r>
      <w:r>
        <w:rPr>
          <w:rFonts w:ascii="Times New Roman" w:cs="Times New Roman" w:eastAsia="Times New Roman" w:hAnsi="Times New Roman"/>
          <w:sz w:val="19"/>
          <w:szCs w:val="19"/>
          <w:u w:val="single" w:color="auto"/>
          <w:color w:val="auto"/>
        </w:rPr>
        <w:t>SECTION 12.6(b)</w:t>
      </w:r>
      <w:r>
        <w:rPr>
          <w:rFonts w:ascii="Times New Roman" w:cs="Times New Roman" w:eastAsia="Times New Roman" w:hAnsi="Times New Roman"/>
          <w:sz w:val="19"/>
          <w:szCs w:val="19"/>
          <w:color w:val="auto"/>
        </w:rPr>
        <w:t>. THE COMPANY, THE TRUSTEE, AND EACH NOTEHOLDER HEREBY IRREVOCABLY WAIVES, TO THE FULLEST EXTENT PERMITTED BY APPLICABLE LAW, THE DEFENSE OF AN INCONVENIENT FORUM TO THE MAINTENANCE OF SUCH ACTION OR PROCEEDING IN ANY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40" w:name="page441"/>
    <w:bookmarkEnd w:id="440"/>
    <w:p>
      <w:pPr>
        <w:ind w:left="1280" w:hanging="634"/>
        <w:spacing w:after="0" w:line="283" w:lineRule="auto"/>
        <w:tabs>
          <w:tab w:leader="none" w:pos="1070" w:val="left"/>
        </w:tabs>
        <w:numPr>
          <w:ilvl w:val="0"/>
          <w:numId w:val="5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The Company irrevocably consents to the service of any and all process in any such action or proceeding by the mailing of copies of such process to such Person at its then effective notice addresses pursuant to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jc w:val="both"/>
        <w:ind w:left="1280" w:hanging="634"/>
        <w:spacing w:after="0" w:line="250" w:lineRule="auto"/>
        <w:tabs>
          <w:tab w:leader="none" w:pos="1248" w:val="left"/>
        </w:tabs>
        <w:numPr>
          <w:ilvl w:val="0"/>
          <w:numId w:val="5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OF THE COMPANY, THE TRUSTEE, AND EACH NOTEHOLDER HEREBY IRREVOCABLY WAIVES, TO THE FULLEST EXTENT PERMITTED BY LAW, ANY RIGHT IT MAY HAVE TO A TRIAL BY JURY IN ANY LEGAL PROCEEDING DIRECTLY OR INDIRECTLY ARISING OUT OF OR RELATING TO THIS INDENTURE, ANY OTHER P1 FINANCING DOCUMENT OR THE TRANSACTIONS CONTEMPLATED HEREBY OR THEREBY (WHETHER BASED ON CONTRACT, TORT OR ANY OTHER THEORY). EACH OF THE COMPANY AND THE TRUSTEE (i) CERTIFIES THAT NO REPRESENTATIVE, AGENT OR ATTORNEY OF ANY OTHER PERSON HAS REPRESENTED TO IT, EXPRESSLY OR OTHERWISE, THAT SUCH OTHER PERSON WOULD NOT, IN THE EVENT OF LITIGATION, SEEK TO ENFORCE THE FOREGOING WAIVER AND (ii)</w:t>
      </w:r>
    </w:p>
    <w:p>
      <w:pPr>
        <w:spacing w:after="0" w:line="2" w:lineRule="exact"/>
        <w:rPr>
          <w:rFonts w:ascii="Times New Roman" w:cs="Times New Roman" w:eastAsia="Times New Roman" w:hAnsi="Times New Roman"/>
          <w:sz w:val="20"/>
          <w:szCs w:val="20"/>
          <w:color w:val="auto"/>
        </w:rPr>
      </w:pPr>
    </w:p>
    <w:p>
      <w:pPr>
        <w:jc w:val="both"/>
        <w:ind w:left="128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ACKNOWLEDGES THAT IT AND THE OTHER PARTIES HERETO HAVE BEEN INDUCED TO ENTER INTO THIS AGREEMENT AND THE OTHER P1 FINANCING DOCUMENTS BY, AMONG OTHER THINGS, THE MUTUAL WAIVERS AND CERTIFICATIONS IN THIS </w:t>
      </w:r>
      <w:r>
        <w:rPr>
          <w:rFonts w:ascii="Times New Roman" w:cs="Times New Roman" w:eastAsia="Times New Roman" w:hAnsi="Times New Roman"/>
          <w:sz w:val="20"/>
          <w:szCs w:val="20"/>
          <w:u w:val="single" w:color="auto"/>
          <w:color w:val="auto"/>
        </w:rPr>
        <w:t>SECTION 12.6(e)</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19"/>
          <w:szCs w:val="19"/>
          <w:u w:val="single" w:color="auto"/>
          <w:color w:val="auto"/>
        </w:rPr>
        <w:t>No Adverse Interpretation of Other Agreements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Indenture may not be used to interpret any other indenture, loan or debt agreement of the Company or of any other Person.</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Except as expressly set forth herein, no such other indenture, loan or debt agreement may be used to interpret this Indenture.</w:t>
      </w:r>
    </w:p>
    <w:p>
      <w:pPr>
        <w:spacing w:after="0" w:line="18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9"/>
          <w:szCs w:val="19"/>
          <w:u w:val="single" w:color="auto"/>
          <w:color w:val="auto"/>
        </w:rPr>
        <w:t>Successors</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All agreements of the Company in this Indenture and the Notes will bind its successors. All agreements of the Trustee in this Indenture will bind its successors.</w:t>
      </w:r>
    </w:p>
    <w:p>
      <w:pPr>
        <w:spacing w:after="0" w:line="13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19"/>
          <w:szCs w:val="19"/>
          <w:u w:val="single" w:color="auto"/>
          <w:color w:val="auto"/>
        </w:rPr>
        <w:t>Severability</w:t>
      </w:r>
    </w:p>
    <w:p>
      <w:pPr>
        <w:spacing w:after="0" w:line="202" w:lineRule="exact"/>
        <w:rPr>
          <w:sz w:val="20"/>
          <w:szCs w:val="20"/>
          <w:color w:val="auto"/>
        </w:rPr>
      </w:pPr>
    </w:p>
    <w:p>
      <w:pPr>
        <w:jc w:val="both"/>
        <w:ind w:left="640" w:right="20"/>
        <w:spacing w:after="0" w:line="283" w:lineRule="auto"/>
        <w:rPr>
          <w:sz w:val="20"/>
          <w:szCs w:val="20"/>
          <w:color w:val="auto"/>
        </w:rPr>
      </w:pPr>
      <w:r>
        <w:rPr>
          <w:rFonts w:ascii="Times New Roman" w:cs="Times New Roman" w:eastAsia="Times New Roman" w:hAnsi="Times New Roman"/>
          <w:sz w:val="20"/>
          <w:szCs w:val="20"/>
          <w:color w:val="auto"/>
        </w:rPr>
        <w:t>In case any provision in this Indenture or in the Notes is invalid, illegal or unenforceable, the validity, legality and enforceability of the remaining provisions will not in any way be affected or impaired thereby.</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12.10</w:t>
      </w:r>
      <w:r>
        <w:rPr>
          <w:sz w:val="20"/>
          <w:szCs w:val="20"/>
          <w:color w:val="auto"/>
        </w:rPr>
        <w:tab/>
      </w:r>
      <w:r>
        <w:rPr>
          <w:rFonts w:ascii="Times New Roman" w:cs="Times New Roman" w:eastAsia="Times New Roman" w:hAnsi="Times New Roman"/>
          <w:sz w:val="19"/>
          <w:szCs w:val="19"/>
          <w:u w:val="single" w:color="auto"/>
          <w:color w:val="auto"/>
        </w:rPr>
        <w:t>Counterpart Originals</w:t>
      </w:r>
    </w:p>
    <w:p>
      <w:pPr>
        <w:spacing w:after="0" w:line="2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Parties may sign any number of copies of this Indenture. Each signed copy will be an original, but all of them together represent the same agreement. The exchange of copies of this Indenture and of signature pages in electronic format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“pdf” or “tif”) transmission shall constitute effective execution and delivery of this Indenture as to the Parties hereto and may be used in lieu of the original Indenture for all purposes. Signatures of the Parties hereto transmitted in electronic format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“pdf” or “tif”) shall be deemed to be their original signatures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41" w:name="page442"/>
    <w:bookmarkEnd w:id="441"/>
    <w:p>
      <w:pPr>
        <w:spacing w:after="0"/>
        <w:tabs>
          <w:tab w:leader="none" w:pos="620" w:val="left"/>
        </w:tabs>
        <w:rPr>
          <w:sz w:val="20"/>
          <w:szCs w:val="20"/>
          <w:color w:val="auto"/>
        </w:rPr>
      </w:pPr>
      <w:r>
        <w:rPr>
          <w:rFonts w:ascii="Times New Roman" w:cs="Times New Roman" w:eastAsia="Times New Roman" w:hAnsi="Times New Roman"/>
          <w:sz w:val="20"/>
          <w:szCs w:val="20"/>
          <w:color w:val="auto"/>
        </w:rPr>
        <w:t>12.11</w:t>
      </w:r>
      <w:r>
        <w:rPr>
          <w:sz w:val="20"/>
          <w:szCs w:val="20"/>
          <w:color w:val="auto"/>
        </w:rPr>
        <w:tab/>
      </w:r>
      <w:r>
        <w:rPr>
          <w:rFonts w:ascii="Times New Roman" w:cs="Times New Roman" w:eastAsia="Times New Roman" w:hAnsi="Times New Roman"/>
          <w:sz w:val="19"/>
          <w:szCs w:val="19"/>
          <w:u w:val="single" w:color="auto"/>
          <w:color w:val="auto"/>
        </w:rPr>
        <w:t>Trustee’s Receipt of Funds to the Extent not Required to be Applied to Payment of the Notes</w:t>
      </w:r>
    </w:p>
    <w:p>
      <w:pPr>
        <w:spacing w:after="0" w:line="202" w:lineRule="exact"/>
        <w:rPr>
          <w:sz w:val="20"/>
          <w:szCs w:val="20"/>
          <w:color w:val="auto"/>
        </w:rPr>
      </w:pPr>
    </w:p>
    <w:p>
      <w:pPr>
        <w:jc w:val="both"/>
        <w:ind w:left="640" w:right="20"/>
        <w:spacing w:after="0" w:line="281" w:lineRule="auto"/>
        <w:rPr>
          <w:sz w:val="20"/>
          <w:szCs w:val="20"/>
          <w:color w:val="auto"/>
        </w:rPr>
      </w:pPr>
      <w:r>
        <w:rPr>
          <w:rFonts w:ascii="Times New Roman" w:cs="Times New Roman" w:eastAsia="Times New Roman" w:hAnsi="Times New Roman"/>
          <w:sz w:val="19"/>
          <w:szCs w:val="19"/>
          <w:color w:val="auto"/>
        </w:rPr>
        <w:t>To the extent the Trustee receives any money from the Company or pursuant to any of the P1 Financing Documents, and such money is not required to be used to redeem or repay the Notes as set forth in the certificate of an Authorized Officer of the Company, such moneys shall be deposited into the P1 Accounts under the P1 Accounts Agreement as specified by the Company in such certificate.</w:t>
      </w:r>
    </w:p>
    <w:p>
      <w:pPr>
        <w:spacing w:after="0" w:line="15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12.12</w:t>
      </w:r>
      <w:r>
        <w:rPr>
          <w:sz w:val="20"/>
          <w:szCs w:val="20"/>
          <w:color w:val="auto"/>
        </w:rPr>
        <w:tab/>
      </w:r>
      <w:r>
        <w:rPr>
          <w:rFonts w:ascii="Times New Roman" w:cs="Times New Roman" w:eastAsia="Times New Roman" w:hAnsi="Times New Roman"/>
          <w:sz w:val="19"/>
          <w:szCs w:val="19"/>
          <w:u w:val="single" w:color="auto"/>
          <w:color w:val="auto"/>
        </w:rPr>
        <w:t>Table of Contents, Headings, etc.</w:t>
      </w:r>
    </w:p>
    <w:p>
      <w:pPr>
        <w:spacing w:after="0" w:line="202"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20"/>
          <w:szCs w:val="20"/>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12.13</w:t>
      </w:r>
      <w:r>
        <w:rPr>
          <w:sz w:val="20"/>
          <w:szCs w:val="20"/>
          <w:color w:val="auto"/>
        </w:rPr>
        <w:tab/>
      </w:r>
      <w:r>
        <w:rPr>
          <w:rFonts w:ascii="Times New Roman" w:cs="Times New Roman" w:eastAsia="Times New Roman" w:hAnsi="Times New Roman"/>
          <w:sz w:val="19"/>
          <w:szCs w:val="19"/>
          <w:u w:val="single" w:color="auto"/>
          <w:color w:val="auto"/>
        </w:rPr>
        <w:t>USA Patriot Act</w:t>
      </w:r>
    </w:p>
    <w:p>
      <w:pPr>
        <w:spacing w:after="0" w:line="20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20"/>
          <w:szCs w:val="20"/>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Signatures on following pag</w:t>
      </w:r>
      <w:r>
        <w:rPr>
          <w:rFonts w:ascii="Times New Roman" w:cs="Times New Roman" w:eastAsia="Times New Roman" w:hAnsi="Times New Roman"/>
          <w:sz w:val="20"/>
          <w:szCs w:val="20"/>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42" w:name="page443"/>
    <w:bookmarkEnd w:id="442"/>
    <w:p>
      <w:pPr>
        <w:ind w:left="386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RIO GRANDE LNG, LLC</w:t>
      </w:r>
    </w:p>
    <w:p>
      <w:pPr>
        <w:spacing w:after="0" w:line="200" w:lineRule="exact"/>
        <w:rPr>
          <w:sz w:val="20"/>
          <w:szCs w:val="20"/>
          <w:color w:val="auto"/>
        </w:rPr>
      </w:pPr>
    </w:p>
    <w:p>
      <w:pPr>
        <w:spacing w:after="0" w:line="30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-10795</wp:posOffset>
            </wp:positionV>
            <wp:extent cx="1257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80" w:lineRule="exact"/>
        <w:rPr>
          <w:sz w:val="20"/>
          <w:szCs w:val="20"/>
          <w:color w:val="auto"/>
        </w:rPr>
      </w:pPr>
    </w:p>
    <w:p>
      <w:pPr>
        <w:ind w:left="3040" w:right="1259"/>
        <w:spacing w:after="0" w:line="273" w:lineRule="auto"/>
        <w:rPr>
          <w:sz w:val="20"/>
          <w:szCs w:val="20"/>
          <w:color w:val="auto"/>
        </w:rPr>
      </w:pPr>
      <w:r>
        <w:rPr>
          <w:rFonts w:ascii="Times New Roman" w:cs="Times New Roman" w:eastAsia="Times New Roman" w:hAnsi="Times New Roman"/>
          <w:sz w:val="20"/>
          <w:szCs w:val="20"/>
          <w:b w:val="1"/>
          <w:bCs w:val="1"/>
          <w:color w:val="auto"/>
        </w:rPr>
        <w:t>WILMINGTON TRUST, NATIONAL ASSOCIATION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Trustee</w:t>
      </w:r>
    </w:p>
    <w:p>
      <w:pPr>
        <w:spacing w:after="0" w:line="200" w:lineRule="exact"/>
        <w:rPr>
          <w:sz w:val="20"/>
          <w:szCs w:val="20"/>
          <w:color w:val="auto"/>
        </w:rPr>
      </w:pPr>
    </w:p>
    <w:p>
      <w:pPr>
        <w:spacing w:after="0" w:line="2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-10795</wp:posOffset>
            </wp:positionV>
            <wp:extent cx="1257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Name: Amedeo Morreale</w:t>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409" w:right="1440" w:bottom="1440" w:gutter="0" w:footer="0" w:header="0"/>
        </w:sectPr>
      </w:pPr>
    </w:p>
    <w:bookmarkStart w:id="443" w:name="page444"/>
    <w:bookmarkEnd w:id="44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[Face of Note]</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CUSIP / PPN: 76711*AA8</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6.67% Senior Secured Notes due 2033</w:t>
      </w:r>
    </w:p>
    <w:p>
      <w:pPr>
        <w:sectPr>
          <w:pgSz w:w="11900" w:h="16838" w:orient="portrait"/>
          <w:cols w:equalWidth="0" w:num="1">
            <w:col w:w="11240"/>
          </w:cols>
          <w:pgMar w:left="320" w:top="1409" w:right="339" w:bottom="1440" w:gutter="0" w:footer="0" w:header="0"/>
        </w:sect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_________</w:t>
      </w:r>
    </w:p>
    <w:p>
      <w:pPr>
        <w:spacing w:after="0" w:line="95" w:lineRule="exact"/>
        <w:rPr>
          <w:sz w:val="20"/>
          <w:szCs w:val="20"/>
          <w:color w:val="auto"/>
        </w:rPr>
      </w:pPr>
    </w:p>
    <w:p>
      <w:pPr>
        <w:sectPr>
          <w:pgSz w:w="11900" w:h="16838" w:orient="portrait"/>
          <w:cols w:equalWidth="0" w:num="2">
            <w:col w:w="9500" w:space="720"/>
            <w:col w:w="1020"/>
          </w:cols>
          <w:pgMar w:left="320" w:top="140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RIO GRANDE LNG, LLC</w:t>
      </w:r>
    </w:p>
    <w:p>
      <w:pPr>
        <w:sectPr>
          <w:pgSz w:w="11900" w:h="16838" w:orient="portrait"/>
          <w:cols w:equalWidth="0" w:num="1">
            <w:col w:w="11240"/>
          </w:cols>
          <w:pgMar w:left="320" w:top="1409" w:right="33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promises to pay to ________ or registered assigns, the principal sum of ___________________________________________ DOLLARS 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7, 2033.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Payment Dates: March 30 and September 30, commencing September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Record Dates: March 15 and September 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 ____</w:t>
      </w:r>
    </w:p>
    <w:p>
      <w:pPr>
        <w:spacing w:after="0" w:line="10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one of the Notes referred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within-mentioned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57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Amedeo Morreale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type w:val="continuous"/>
        </w:sectPr>
      </w:pPr>
    </w:p>
    <w:bookmarkStart w:id="444" w:name="page445"/>
    <w:bookmarkEnd w:id="444"/>
    <w:p>
      <w:pPr>
        <w:jc w:val="center"/>
        <w:spacing w:after="0"/>
        <w:rPr>
          <w:sz w:val="20"/>
          <w:szCs w:val="20"/>
          <w:color w:val="auto"/>
        </w:rPr>
      </w:pPr>
      <w:r>
        <w:rPr>
          <w:rFonts w:ascii="Times New Roman" w:cs="Times New Roman" w:eastAsia="Times New Roman" w:hAnsi="Times New Roman"/>
          <w:sz w:val="20"/>
          <w:szCs w:val="20"/>
          <w:color w:val="auto"/>
        </w:rPr>
        <w:t>[Back of Note]</w:t>
      </w:r>
    </w:p>
    <w:p>
      <w:pPr>
        <w:spacing w:after="0" w:line="2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____% Senior [Secured] Notes due ____</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NOTES EVIDENCED BY THIS CERTIFICATE HAVE NOT BEEN REGISTERED UNDER THE UNITED STATES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xml:space="preserve">”), AND MAY NOT BE SOLD OR OTHERWISE TRANSFERRED IN THE ABSENCE OF SUCH REGISTRATION OR AN APPLICABLE EXEMPTION THEREFROM. SUCH NOTES MAY NOT BE REOFFERED, SOLD, PLEDGED, OR OTHERWISE TRANSFERRED EXCEPT (A) TO THE COMPANY (UPON REDEMPTION OR OTHERWISE), (B) PURSUANT TO RULE 144 UNDER THE SECURITIES ACT (IF AVAILABLE) OR PURSUANT TO ANOTHER APPLICABLE EXEMPTION FROM REGISTRATION UNDER THE SECURITIES ACT, OR (C) PURSUANT TO AN EFFECTIVE REGISTRATION STATEMENT UNDER THE SECURITIES ACT, AND, IN EACH CASE, IN ACCORDANCE WITH ALL APPLICABLE SECURITIES LAWS OF THE STATES OF THE UNITED STATES AND OTHER JURISDICTIONS;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SALE OR TRANSFER SHALL BE SUBJECT TO THE RESTRICTIONS CONTAINED IN SECTIONS 2.3 AND 2.6 OF THE INDENTURE AMONG THE PARTIES THERETO.</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Capitalized terms used herein have the meanings assigned to them in the Indenture referred to below unless otherwise indicated.</w:t>
      </w:r>
    </w:p>
    <w:p>
      <w:pPr>
        <w:spacing w:after="0" w:line="212" w:lineRule="exact"/>
        <w:rPr>
          <w:sz w:val="20"/>
          <w:szCs w:val="20"/>
          <w:color w:val="auto"/>
        </w:rPr>
      </w:pPr>
    </w:p>
    <w:p>
      <w:pPr>
        <w:jc w:val="both"/>
        <w:ind w:left="920" w:hanging="1943"/>
        <w:spacing w:after="0" w:line="249" w:lineRule="auto"/>
        <w:tabs>
          <w:tab w:leader="none" w:pos="900" w:val="left"/>
        </w:tabs>
        <w:rPr>
          <w:sz w:val="20"/>
          <w:szCs w:val="20"/>
          <w:color w:val="auto"/>
        </w:rPr>
      </w:pPr>
      <w:r>
        <w:rPr>
          <w:rFonts w:ascii="Times New Roman" w:cs="Times New Roman" w:eastAsia="Times New Roman" w:hAnsi="Times New Roman"/>
          <w:sz w:val="20"/>
          <w:szCs w:val="20"/>
          <w:i w:val="1"/>
          <w:iCs w:val="1"/>
          <w:color w:val="auto"/>
        </w:rPr>
        <w:t>Interest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promises to pay interest on the principal amount of this Note at 6.67% per annum from July 7, 2023 until maturity. The Company will pay 180 days of interest semi-annually in arrears on March 30 and September 30 of each year, or if any such day is not a Business Day, on the next succeeding Business Day (each, an “</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xml:space="preserve">”). Interest on the Notes will accrue from the most recent date to which interest has been paid or, if no interest has been paid, from the date of issuance;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first Interest Payment Date shall be September 30, 2023. The Company will pay interest (including post-petition interest in any proceeding under any Debtor Relief Law) on overdue principal and premium, if any, from time to time on demand at a rate that is 2.0% per annum in excess of the rate then in effect to the extent lawful; it will pay interest (including post-petition interest in any proceeding under any Debtor Relief Law) on overdue installments of interest (without regard to any applicable grace periods) from time to time on demand at the same rate to the extent lawful. Interest will be computed on the basis of a 360-day year of twelve thirty-day months.</w:t>
      </w:r>
    </w:p>
    <w:p>
      <w:pPr>
        <w:spacing w:after="0" w:line="200" w:lineRule="exact"/>
        <w:rPr>
          <w:sz w:val="20"/>
          <w:szCs w:val="20"/>
          <w:color w:val="auto"/>
        </w:rPr>
      </w:pPr>
    </w:p>
    <w:p>
      <w:pPr>
        <w:spacing w:after="0" w:line="222" w:lineRule="exact"/>
        <w:rPr>
          <w:sz w:val="20"/>
          <w:szCs w:val="20"/>
          <w:color w:val="auto"/>
        </w:rPr>
      </w:pPr>
    </w:p>
    <w:p>
      <w:pPr>
        <w:jc w:val="both"/>
        <w:ind w:left="1860" w:hanging="1943"/>
        <w:spacing w:after="0" w:line="251" w:lineRule="auto"/>
        <w:tabs>
          <w:tab w:leader="none" w:pos="1840" w:val="left"/>
        </w:tabs>
        <w:rPr>
          <w:sz w:val="20"/>
          <w:szCs w:val="20"/>
          <w:color w:val="auto"/>
        </w:rPr>
      </w:pPr>
      <w:r>
        <w:rPr>
          <w:rFonts w:ascii="Times New Roman" w:cs="Times New Roman" w:eastAsia="Times New Roman" w:hAnsi="Times New Roman"/>
          <w:sz w:val="20"/>
          <w:szCs w:val="20"/>
          <w:i w:val="1"/>
          <w:iCs w:val="1"/>
          <w:color w:val="auto"/>
        </w:rPr>
        <w:t>Method of Payment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The Company will pay principal and interest on the Notes (except defaulted interest) to the Persons who are registered Noteholders at the close of business on the March 15 or September 15 next preceding the Interest Payment Date, even if such Notes are canceled after such record date and on or before such Interest Payment Date, except as provided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of the Indenture with respect to defaulted interest. The Notes will be payable as to principal, premium, if any, and interest at the office or agency of the Paying Agent or Registrar maintained for such purpose within or without the City and State of New York, or, at the option of the Company, payment of interest may be made by check mailed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45" w:name="page446"/>
    <w:bookmarkEnd w:id="445"/>
    <w:p>
      <w:pPr>
        <w:jc w:val="both"/>
        <w:ind w:left="1960"/>
        <w:spacing w:after="0" w:line="253" w:lineRule="auto"/>
        <w:rPr>
          <w:sz w:val="20"/>
          <w:szCs w:val="20"/>
          <w:color w:val="auto"/>
        </w:rPr>
      </w:pPr>
      <w:r>
        <w:rPr>
          <w:rFonts w:ascii="Times New Roman" w:cs="Times New Roman" w:eastAsia="Times New Roman" w:hAnsi="Times New Roman"/>
          <w:sz w:val="20"/>
          <w:szCs w:val="20"/>
          <w:color w:val="auto"/>
        </w:rPr>
        <w:t xml:space="preserve">Noteholders at their addresses set forth in the register of Noteholders;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payment by wire transfer of immediately available funds will be required with respect to principal of and interest, premium, if any, on, all Notes and all other Notes the Noteholders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Paying Agent</w:t>
      </w:r>
    </w:p>
    <w:p>
      <w:pPr>
        <w:spacing w:after="0" w:line="26" w:lineRule="exact"/>
        <w:rPr>
          <w:sz w:val="20"/>
          <w:szCs w:val="20"/>
          <w:color w:val="auto"/>
        </w:rPr>
      </w:pPr>
    </w:p>
    <w:p>
      <w:pPr>
        <w:jc w:val="both"/>
        <w:ind w:left="1440" w:hanging="1943"/>
        <w:spacing w:after="0" w:line="249" w:lineRule="auto"/>
        <w:tabs>
          <w:tab w:leader="none" w:pos="1420" w:val="left"/>
        </w:tabs>
        <w:rPr>
          <w:sz w:val="20"/>
          <w:szCs w:val="20"/>
          <w:color w:val="auto"/>
        </w:rPr>
      </w:pPr>
      <w:r>
        <w:rPr>
          <w:rFonts w:ascii="Times New Roman" w:cs="Times New Roman" w:eastAsia="Times New Roman" w:hAnsi="Times New Roman"/>
          <w:sz w:val="20"/>
          <w:szCs w:val="20"/>
          <w:i w:val="1"/>
          <w:iCs w:val="1"/>
          <w:color w:val="auto"/>
        </w:rPr>
        <w:t>and Registrar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Initially, Wilmington Trust, National Association, the Trustee under the Indenture, will act as Paying Agent and Registrar. The Company may change any Paying Agent or Registrar without notice to any Noteholder. The Company may act in any such capacity.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Indenture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Senior Security</w:t>
      </w:r>
    </w:p>
    <w:p>
      <w:pPr>
        <w:spacing w:after="0" w:line="6" w:lineRule="exact"/>
        <w:rPr>
          <w:sz w:val="20"/>
          <w:szCs w:val="20"/>
          <w:color w:val="auto"/>
        </w:rPr>
      </w:pPr>
    </w:p>
    <w:p>
      <w:pPr>
        <w:jc w:val="both"/>
        <w:ind w:left="1200" w:hanging="1943"/>
        <w:spacing w:after="0" w:line="239" w:lineRule="auto"/>
        <w:tabs>
          <w:tab w:leader="none" w:pos="1180" w:val="left"/>
        </w:tabs>
        <w:rPr>
          <w:sz w:val="20"/>
          <w:szCs w:val="20"/>
          <w:color w:val="auto"/>
        </w:rPr>
      </w:pPr>
      <w:r>
        <w:rPr>
          <w:rFonts w:ascii="Times New Roman" w:cs="Times New Roman" w:eastAsia="Times New Roman" w:hAnsi="Times New Roman"/>
          <w:sz w:val="20"/>
          <w:szCs w:val="20"/>
          <w:i w:val="1"/>
          <w:iCs w:val="1"/>
          <w:color w:val="auto"/>
        </w:rPr>
        <w:t>Documents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Company issued the Notes under an Indenture dated as of July 12, 2023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the Company and the Trustee. The terms of the Notes include those stated in the Indenture.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The Notes are subject to all such terms, and Noteholders are referred to the Indenture for a statement of such terms. To the extent any provision of this Note conflicts with the express provisions of the Indenture, the provisions of the Indenture shall govern and be controlling. The Notes are secured obligations of the Company. The Notes are secured by a pledge of Collateral pursuant to the Senior Security Documents referred to in the Indenture. The Indenture does not limit the aggregate principal amount of Notes that may be issued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Optional</w:t>
      </w:r>
    </w:p>
    <w:p>
      <w:pPr>
        <w:spacing w:after="0" w:line="26" w:lineRule="exact"/>
        <w:rPr>
          <w:sz w:val="20"/>
          <w:szCs w:val="20"/>
          <w:color w:val="auto"/>
        </w:rPr>
      </w:pPr>
    </w:p>
    <w:p>
      <w:pPr>
        <w:jc w:val="both"/>
        <w:ind w:left="1260" w:hanging="1943"/>
        <w:spacing w:after="0" w:line="251" w:lineRule="auto"/>
        <w:tabs>
          <w:tab w:leader="none" w:pos="124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At any time or from time to time prior to the Par Call Date of the Notes, the Company may, at its option, redeem all or a part of the Notes, at a redemption price equal to the Make-Whole Price (subject to the right of Noteholders of record on the relevant record date to receive interest due on an Interest Payment Date that is on or prior to the redemption date, without duplication).</w:t>
      </w:r>
    </w:p>
    <w:p>
      <w:pPr>
        <w:spacing w:after="0" w:line="16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“Make-Whole Price” shall mean the greater of:</w:t>
      </w:r>
    </w:p>
    <w:p>
      <w:pPr>
        <w:spacing w:after="0" w:line="216" w:lineRule="exact"/>
        <w:rPr>
          <w:sz w:val="20"/>
          <w:szCs w:val="20"/>
          <w:color w:val="auto"/>
        </w:rPr>
      </w:pPr>
    </w:p>
    <w:p>
      <w:pPr>
        <w:ind w:left="3260" w:hanging="660"/>
        <w:spacing w:after="0" w:line="253" w:lineRule="auto"/>
        <w:tabs>
          <w:tab w:leader="none" w:pos="3048" w:val="left"/>
        </w:tabs>
        <w:numPr>
          <w:ilvl w:val="0"/>
          <w:numId w:val="5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50 basis points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(ii) interest accrued to, but excluding, the redemption date; and</w:t>
      </w:r>
    </w:p>
    <w:p>
      <w:pPr>
        <w:spacing w:after="0" w:line="164"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5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principal amount of the Notes to be redeemed,</w:t>
      </w: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plus, in either case, accrued and unpaid interest thereon to, but excluding,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714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5" w:lineRule="exact"/>
        <w:rPr>
          <w:sz w:val="20"/>
          <w:szCs w:val="20"/>
          <w:color w:val="auto"/>
        </w:rPr>
      </w:pPr>
    </w:p>
    <w:p>
      <w:pPr>
        <w:ind w:left="220" w:hanging="212"/>
        <w:spacing w:after="0"/>
        <w:tabs>
          <w:tab w:leader="none" w:pos="220" w:val="left"/>
        </w:tabs>
        <w:numPr>
          <w:ilvl w:val="0"/>
          <w:numId w:val="5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 add Supplemental Indenture references in future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46" w:name="page447"/>
    <w:bookmarkEnd w:id="446"/>
    <w:p>
      <w:pPr>
        <w:jc w:val="both"/>
        <w:ind w:left="1960"/>
        <w:spacing w:after="0" w:line="258" w:lineRule="auto"/>
        <w:rPr>
          <w:sz w:val="20"/>
          <w:szCs w:val="20"/>
          <w:color w:val="auto"/>
        </w:rPr>
      </w:pPr>
      <w:r>
        <w:rPr>
          <w:rFonts w:ascii="Times New Roman" w:cs="Times New Roman" w:eastAsia="Times New Roman" w:hAnsi="Times New Roman"/>
          <w:sz w:val="20"/>
          <w:szCs w:val="20"/>
          <w:color w:val="auto"/>
        </w:rPr>
        <w:t>On or after April 7, 2033 (three months prior to the Maturity Date) (the “Par Call Date”), the Company may redeem the Notes, in whole or in part, at any time and from time to time, at a redemption price equal to 100% of the principal amount of the Notes being redeemed plus accrued and unpaid interest thereon to, but excluding, the redemption date.</w:t>
      </w:r>
    </w:p>
    <w:p>
      <w:pPr>
        <w:spacing w:after="0" w:line="159"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The notice of redemption with respect to the foregoing redemption need not set forth the Make-Whole Price but only the manner of calculation thereof. The Company will notify the Trustee of the Make-Whole Price with respect to any redemption promptly after the calculation, and the Trustee shall not be responsible for such calculation.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Mandatory</w:t>
      </w:r>
    </w:p>
    <w:p>
      <w:pPr>
        <w:spacing w:after="0" w:line="3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Company is not required to make mandatory redemption payments with respect to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Repurchase at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of</w:t>
      </w:r>
    </w:p>
    <w:p>
      <w:pPr>
        <w:spacing w:after="0" w:line="13" w:lineRule="exact"/>
        <w:rPr>
          <w:sz w:val="20"/>
          <w:szCs w:val="20"/>
          <w:color w:val="auto"/>
        </w:rPr>
      </w:pPr>
    </w:p>
    <w:p>
      <w:pPr>
        <w:jc w:val="both"/>
        <w:ind w:left="1240" w:hanging="1943"/>
        <w:spacing w:after="0" w:line="248" w:lineRule="auto"/>
        <w:tabs>
          <w:tab w:leader="none" w:pos="1220" w:val="left"/>
        </w:tabs>
        <w:rPr>
          <w:sz w:val="20"/>
          <w:szCs w:val="20"/>
          <w:color w:val="auto"/>
        </w:rPr>
      </w:pPr>
      <w:r>
        <w:rPr>
          <w:rFonts w:ascii="Times New Roman" w:cs="Times New Roman" w:eastAsia="Times New Roman" w:hAnsi="Times New Roman"/>
          <w:sz w:val="20"/>
          <w:szCs w:val="20"/>
          <w:i w:val="1"/>
          <w:iCs w:val="1"/>
          <w:color w:val="auto"/>
        </w:rPr>
        <w:t>Noteholder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Upon the occurrence of a Change of Control Triggering Event, the Company will make an offer (a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of payment (a “</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to each Noteholder to repurchase all or any part (equal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$100,000 and integral multiples of $1,000 in excess thereof) of that Noteholder’s Notes at a purchase price in cash equal to not less than 101% of the aggregate principal amount of Notes repurchased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and unpaid interest, if any, to but not including, the date of repurchase (the “</w:t>
      </w:r>
      <w:r>
        <w:rPr>
          <w:rFonts w:ascii="Times New Roman" w:cs="Times New Roman" w:eastAsia="Times New Roman" w:hAnsi="Times New Roman"/>
          <w:sz w:val="20"/>
          <w:szCs w:val="20"/>
          <w:b w:val="1"/>
          <w:bCs w:val="1"/>
          <w:color w:val="auto"/>
        </w:rPr>
        <w:t>Change of Control Payment Date</w:t>
      </w:r>
      <w:r>
        <w:rPr>
          <w:rFonts w:ascii="Times New Roman" w:cs="Times New Roman" w:eastAsia="Times New Roman" w:hAnsi="Times New Roman"/>
          <w:sz w:val="20"/>
          <w:szCs w:val="20"/>
          <w:color w:val="auto"/>
        </w:rPr>
        <w:t>,” which date will be no earlier than the date of such Change of Control). No later than thirty days following any Change of Control Triggering Event, the Company will mail or deliver electronically or will cause the Trustee to mail or deliver electronically, a notice to each Noteholder setting forth the procedures governing the Change of Control Offer as required by the Indenture.</w:t>
      </w:r>
    </w:p>
    <w:p>
      <w:pPr>
        <w:spacing w:after="0" w:line="200" w:lineRule="exact"/>
        <w:rPr>
          <w:sz w:val="20"/>
          <w:szCs w:val="20"/>
          <w:color w:val="auto"/>
        </w:rPr>
      </w:pPr>
    </w:p>
    <w:p>
      <w:pPr>
        <w:spacing w:after="0" w:line="219" w:lineRule="exact"/>
        <w:rPr>
          <w:sz w:val="20"/>
          <w:szCs w:val="20"/>
          <w:color w:val="auto"/>
        </w:rPr>
      </w:pPr>
    </w:p>
    <w:p>
      <w:pPr>
        <w:ind w:left="1960"/>
        <w:spacing w:after="0" w:line="269" w:lineRule="auto"/>
        <w:rPr>
          <w:sz w:val="20"/>
          <w:szCs w:val="20"/>
          <w:color w:val="auto"/>
        </w:rPr>
      </w:pPr>
      <w:r>
        <w:rPr>
          <w:rFonts w:ascii="Times New Roman" w:cs="Times New Roman" w:eastAsia="Times New Roman" w:hAnsi="Times New Roman"/>
          <w:sz w:val="20"/>
          <w:szCs w:val="20"/>
          <w:color w:val="auto"/>
        </w:rPr>
        <w:t xml:space="preserve">The Company will be required to make a LNG SPA Termination Offer, Loss Proceeds Offers, Asset Sale Offers, and PLD Proceeds Offers to the extent provided in </w:t>
      </w:r>
      <w:r>
        <w:rPr>
          <w:rFonts w:ascii="Times New Roman" w:cs="Times New Roman" w:eastAsia="Times New Roman" w:hAnsi="Times New Roman"/>
          <w:sz w:val="20"/>
          <w:szCs w:val="20"/>
          <w:u w:val="single" w:color="auto"/>
          <w:color w:val="auto"/>
        </w:rPr>
        <w:t>Sections 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4.15</w:t>
      </w:r>
      <w:r>
        <w:rPr>
          <w:rFonts w:ascii="Times New Roman" w:cs="Times New Roman" w:eastAsia="Times New Roman" w:hAnsi="Times New Roman"/>
          <w:sz w:val="20"/>
          <w:szCs w:val="20"/>
          <w:color w:val="auto"/>
        </w:rPr>
        <w:t>, respectively, of the Indenture.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Notice of</w:t>
      </w:r>
    </w:p>
    <w:p>
      <w:pPr>
        <w:spacing w:after="0" w:line="32" w:lineRule="exact"/>
        <w:rPr>
          <w:sz w:val="20"/>
          <w:szCs w:val="20"/>
          <w:color w:val="auto"/>
        </w:rPr>
      </w:pPr>
    </w:p>
    <w:p>
      <w:pPr>
        <w:jc w:val="both"/>
        <w:ind w:left="1300" w:hanging="1943"/>
        <w:spacing w:after="0" w:line="250" w:lineRule="auto"/>
        <w:tabs>
          <w:tab w:leader="none" w:pos="1280" w:val="left"/>
        </w:tabs>
        <w:rPr>
          <w:sz w:val="20"/>
          <w:szCs w:val="20"/>
          <w:color w:val="auto"/>
        </w:rPr>
      </w:pPr>
      <w:r>
        <w:rPr>
          <w:rFonts w:ascii="Times New Roman" w:cs="Times New Roman" w:eastAsia="Times New Roman" w:hAnsi="Times New Roman"/>
          <w:sz w:val="20"/>
          <w:szCs w:val="20"/>
          <w:i w:val="1"/>
          <w:iCs w:val="1"/>
          <w:color w:val="auto"/>
        </w:rPr>
        <w:t>Redemption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Notice of redemption will be mailed or delivered electronically at least fifteen days but not more than sixty days before the redemption date to each Noteholder whose Notes are to be redeemed at its registered address, except that redemption notices may be mailed or delivered electronically more than sixty days prior to a redemption date if the notice is issued in connection with a defeasance of the Notes or a satisfaction or discharge of the Indenture. Notes in denominations larger than $100,000 may be redeemed in part but only in whole multiples of $1,000 in excess thereof, unless all of the Notes held by a Noteholder are to be redeemed.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Denominations,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w:t>
      </w:r>
    </w:p>
    <w:p>
      <w:pPr>
        <w:spacing w:after="0" w:line="6" w:lineRule="exact"/>
        <w:rPr>
          <w:sz w:val="20"/>
          <w:szCs w:val="20"/>
          <w:color w:val="auto"/>
        </w:rPr>
      </w:pPr>
    </w:p>
    <w:p>
      <w:pPr>
        <w:jc w:val="both"/>
        <w:ind w:left="1180" w:right="20" w:hanging="1943"/>
        <w:spacing w:after="0" w:line="260" w:lineRule="auto"/>
        <w:tabs>
          <w:tab w:leader="none" w:pos="1160" w:val="left"/>
        </w:tabs>
        <w:rPr>
          <w:sz w:val="20"/>
          <w:szCs w:val="20"/>
          <w:color w:val="auto"/>
        </w:rPr>
      </w:pPr>
      <w:r>
        <w:rPr>
          <w:rFonts w:ascii="Times New Roman" w:cs="Times New Roman" w:eastAsia="Times New Roman" w:hAnsi="Times New Roman"/>
          <w:sz w:val="20"/>
          <w:szCs w:val="20"/>
          <w:i w:val="1"/>
          <w:iCs w:val="1"/>
          <w:color w:val="auto"/>
        </w:rPr>
        <w:t>Exchange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Notes are in registered form without coupons in denominations of $100,000 and integral multiples of $1,000 in excess thereof. The transfer of Notes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47" w:name="page448"/>
    <w:bookmarkEnd w:id="447"/>
    <w:p>
      <w:pPr>
        <w:jc w:val="both"/>
        <w:ind w:left="1960"/>
        <w:spacing w:after="0" w:line="253" w:lineRule="auto"/>
        <w:rPr>
          <w:sz w:val="20"/>
          <w:szCs w:val="20"/>
          <w:color w:val="auto"/>
        </w:rPr>
      </w:pPr>
      <w:r>
        <w:rPr>
          <w:rFonts w:ascii="Times New Roman" w:cs="Times New Roman" w:eastAsia="Times New Roman" w:hAnsi="Times New Roman"/>
          <w:sz w:val="20"/>
          <w:szCs w:val="20"/>
          <w:color w:val="auto"/>
        </w:rPr>
        <w:t>registered and Notes may be exchanged as provided in the Indenture. The Registrar and the Trustee may require a Noteholder, among other things, to furnish appropriate endorsements and transfer documents and the Company may require a Noteholder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fifteen days before a selection of Notes to be redeemed or during the period between a record date and the corresponding Interest Payment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Persons Deemed</w:t>
      </w:r>
    </w:p>
    <w:p>
      <w:pPr>
        <w:spacing w:after="0" w:line="2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i w:val="1"/>
          <w:iCs w:val="1"/>
          <w:color w:val="auto"/>
        </w:rPr>
        <w:t>Owners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The registered Noteholder of a Note may be treated as its owner for all purposes.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Trustee Dealings</w:t>
      </w:r>
    </w:p>
    <w:p>
      <w:pPr>
        <w:spacing w:after="0" w:line="26" w:lineRule="exact"/>
        <w:rPr>
          <w:sz w:val="20"/>
          <w:szCs w:val="20"/>
          <w:color w:val="auto"/>
        </w:rPr>
      </w:pPr>
    </w:p>
    <w:p>
      <w:pPr>
        <w:jc w:val="both"/>
        <w:ind w:left="1480" w:hanging="1943"/>
        <w:spacing w:after="0" w:line="260" w:lineRule="auto"/>
        <w:tabs>
          <w:tab w:leader="none" w:pos="1460" w:val="left"/>
        </w:tabs>
        <w:rPr>
          <w:sz w:val="20"/>
          <w:szCs w:val="20"/>
          <w:color w:val="auto"/>
        </w:rPr>
      </w:pPr>
      <w:r>
        <w:rPr>
          <w:rFonts w:ascii="Times New Roman" w:cs="Times New Roman" w:eastAsia="Times New Roman" w:hAnsi="Times New Roman"/>
          <w:sz w:val="20"/>
          <w:szCs w:val="20"/>
          <w:i w:val="1"/>
          <w:iCs w:val="1"/>
          <w:color w:val="auto"/>
        </w:rPr>
        <w:t>with Company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Trustee, in its individual or any other capacity, may make loans to, accept deposits from, and perform services for the Company or its Affiliates, and may otherwise deal with the Company or its Affiliates, as if it were not the Trustee.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 Recourse</w:t>
      </w:r>
    </w:p>
    <w:p>
      <w:pPr>
        <w:spacing w:after="0" w:line="32" w:lineRule="exact"/>
        <w:rPr>
          <w:sz w:val="20"/>
          <w:szCs w:val="20"/>
          <w:color w:val="auto"/>
        </w:rPr>
      </w:pPr>
    </w:p>
    <w:p>
      <w:pPr>
        <w:jc w:val="both"/>
        <w:ind w:left="1680" w:hanging="1943"/>
        <w:spacing w:after="0" w:line="249" w:lineRule="auto"/>
        <w:tabs>
          <w:tab w:leader="none" w:pos="1660" w:val="left"/>
        </w:tabs>
        <w:rPr>
          <w:sz w:val="20"/>
          <w:szCs w:val="20"/>
          <w:color w:val="auto"/>
        </w:rPr>
      </w:pPr>
      <w:r>
        <w:rPr>
          <w:rFonts w:ascii="Times New Roman" w:cs="Times New Roman" w:eastAsia="Times New Roman" w:hAnsi="Times New Roman"/>
          <w:sz w:val="20"/>
          <w:szCs w:val="20"/>
          <w:i w:val="1"/>
          <w:iCs w:val="1"/>
          <w:color w:val="auto"/>
        </w:rPr>
        <w:t>Against Others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No past, present or future director, manager, officer, employee, incorporator, member, partner or stockholder of the Company, as such, will have any liability for any obligations of the Company under the Notes, this Indenture, the Senior Security Documents, the P1 Financing Documents or for any claim based on, in respect of, or by reason of, such obligations or their creation. Each Noteholder by accepting a Note waives and releases all such liability. The waiver and release are part of the consideration for issuance of the Notes.</w:t>
      </w:r>
    </w:p>
    <w:p>
      <w:pPr>
        <w:spacing w:after="0" w:line="165" w:lineRule="exact"/>
        <w:rPr>
          <w:sz w:val="20"/>
          <w:szCs w:val="20"/>
          <w:color w:val="auto"/>
        </w:rPr>
      </w:pPr>
    </w:p>
    <w:p>
      <w:pPr>
        <w:jc w:val="both"/>
        <w:ind w:left="1540" w:hanging="1943"/>
        <w:spacing w:after="0" w:line="283"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Authentication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This Note will not be valid until authenticated by the manual or electronic signature of the Trustee or an authenticating agent.</w:t>
      </w:r>
    </w:p>
    <w:p>
      <w:pPr>
        <w:spacing w:after="0" w:line="133" w:lineRule="exact"/>
        <w:rPr>
          <w:sz w:val="20"/>
          <w:szCs w:val="20"/>
          <w:color w:val="auto"/>
        </w:rPr>
      </w:pPr>
    </w:p>
    <w:p>
      <w:pPr>
        <w:jc w:val="both"/>
        <w:ind w:left="1540" w:hanging="1943"/>
        <w:spacing w:after="0" w:line="261" w:lineRule="auto"/>
        <w:tabs>
          <w:tab w:leader="none" w:pos="1520" w:val="left"/>
        </w:tabs>
        <w:rPr>
          <w:sz w:val="20"/>
          <w:szCs w:val="20"/>
          <w:color w:val="auto"/>
        </w:rPr>
      </w:pPr>
      <w:r>
        <w:rPr>
          <w:rFonts w:ascii="Times New Roman" w:cs="Times New Roman" w:eastAsia="Times New Roman" w:hAnsi="Times New Roman"/>
          <w:sz w:val="20"/>
          <w:szCs w:val="20"/>
          <w:i w:val="1"/>
          <w:iCs w:val="1"/>
          <w:color w:val="auto"/>
        </w:rPr>
        <w:t>Abbreviations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Customary abbreviations may be used in the name of a Noteholder or an assignee, such as: TEN COM (= tenants in common), TEN ENT (= tenants by the entireties), JT TEN (= joint tenants with right of survivorship and not as tenants in common), CUST (= Custodian), and U/G/M/A (= Uniform Gifts to Minors 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CUSIP Numbers /</w:t>
      </w:r>
    </w:p>
    <w:p>
      <w:pPr>
        <w:spacing w:after="0" w:line="26" w:lineRule="exact"/>
        <w:rPr>
          <w:sz w:val="20"/>
          <w:szCs w:val="20"/>
          <w:color w:val="auto"/>
        </w:rPr>
      </w:pPr>
    </w:p>
    <w:p>
      <w:pPr>
        <w:jc w:val="both"/>
        <w:ind w:left="840" w:hanging="1943"/>
        <w:spacing w:after="0" w:line="251" w:lineRule="auto"/>
        <w:tabs>
          <w:tab w:leader="none" w:pos="820" w:val="left"/>
        </w:tabs>
        <w:rPr>
          <w:sz w:val="20"/>
          <w:szCs w:val="20"/>
          <w:color w:val="auto"/>
        </w:rPr>
      </w:pPr>
      <w:r>
        <w:rPr>
          <w:rFonts w:ascii="Times New Roman" w:cs="Times New Roman" w:eastAsia="Times New Roman" w:hAnsi="Times New Roman"/>
          <w:sz w:val="20"/>
          <w:szCs w:val="20"/>
          <w:i w:val="1"/>
          <w:iCs w:val="1"/>
          <w:color w:val="auto"/>
        </w:rPr>
        <w:t>PPNs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Pursuant to a recommendation promulgated by the Committee on Uniform Security Identification Procedures, the Company has caused CUSIP numbers or private placement numbers (“PPNs”) to be printed on the Notes, and the Trustee may use CUSIP numbers or PPNs in notices of redemption as a convenience to Noteholders. No representation is made as to the accuracy of such numbers either as printed on the Notes or as contained in any notice of redemption, and reliance may be placed only on the other identification numbers placed thereon.</w:t>
      </w:r>
    </w:p>
    <w:p>
      <w:pPr>
        <w:spacing w:after="0" w:line="162" w:lineRule="exact"/>
        <w:rPr>
          <w:sz w:val="20"/>
          <w:szCs w:val="20"/>
          <w:color w:val="auto"/>
        </w:rPr>
      </w:pPr>
    </w:p>
    <w:p>
      <w:pPr>
        <w:jc w:val="both"/>
        <w:ind w:left="1600" w:hanging="1943"/>
        <w:spacing w:after="0" w:line="269" w:lineRule="auto"/>
        <w:tabs>
          <w:tab w:leader="none" w:pos="1580" w:val="left"/>
        </w:tabs>
        <w:rPr>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THE LAW OF THE STATE OF NEW YORK WILL GOVERN AND BE USED TO CONSTRUE THE INDENTURE AND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48" w:name="page449"/>
    <w:bookmarkEnd w:id="448"/>
    <w:p>
      <w:pPr>
        <w:ind w:left="1940"/>
        <w:spacing w:after="0"/>
        <w:rPr>
          <w:sz w:val="20"/>
          <w:szCs w:val="20"/>
          <w:color w:val="auto"/>
        </w:rPr>
      </w:pPr>
      <w:r>
        <w:rPr>
          <w:rFonts w:ascii="Times New Roman" w:cs="Times New Roman" w:eastAsia="Times New Roman" w:hAnsi="Times New Roman"/>
          <w:sz w:val="20"/>
          <w:szCs w:val="20"/>
          <w:color w:val="auto"/>
        </w:rPr>
        <w:t>The Company will furnish to any Noteholder upon written request and without charge a copy of the Indenture.</w:t>
      </w:r>
    </w:p>
    <w:p>
      <w:pPr>
        <w:spacing w:after="0" w:line="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Requests may be made to:</w:t>
      </w:r>
    </w:p>
    <w:p>
      <w:pPr>
        <w:spacing w:after="0" w:line="18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02" w:lineRule="exact"/>
        <w:rPr>
          <w:sz w:val="20"/>
          <w:szCs w:val="20"/>
          <w:color w:val="auto"/>
        </w:rPr>
      </w:pPr>
    </w:p>
    <w:p>
      <w:pPr>
        <w:ind w:left="2580"/>
        <w:spacing w:after="0"/>
        <w:tabs>
          <w:tab w:leader="none" w:pos="34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1000 Louisiana Street, 39th Floor</w:t>
      </w:r>
    </w:p>
    <w:p>
      <w:pPr>
        <w:spacing w:after="0" w:line="28"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6" w:lineRule="exact"/>
        <w:rPr>
          <w:sz w:val="20"/>
          <w:szCs w:val="20"/>
          <w:color w:val="auto"/>
        </w:rPr>
      </w:pPr>
    </w:p>
    <w:p>
      <w:pPr>
        <w:jc w:val="center"/>
        <w:ind w:right="3040"/>
        <w:spacing w:after="0"/>
        <w:tabs>
          <w:tab w:leader="none" w:pos="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Vera De Brito de Gyarfas</w:t>
      </w:r>
    </w:p>
    <w:p>
      <w:pPr>
        <w:spacing w:after="0" w:line="6" w:lineRule="exact"/>
        <w:rPr>
          <w:sz w:val="20"/>
          <w:szCs w:val="20"/>
          <w:color w:val="auto"/>
        </w:rPr>
      </w:pPr>
    </w:p>
    <w:p>
      <w:pPr>
        <w:ind w:left="2580"/>
        <w:spacing w:after="0"/>
        <w:tabs>
          <w:tab w:leader="none" w:pos="36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vdegyarfas@next-decade.com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20"/>
          </w:cols>
          <w:pgMar w:left="320" w:top="1413" w:right="359" w:bottom="1440" w:gutter="0" w:footer="0" w:header="0"/>
        </w:sectPr>
      </w:pPr>
    </w:p>
    <w:bookmarkStart w:id="449" w:name="page450"/>
    <w:bookmarkEnd w:id="449"/>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934720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irrevocably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14605</wp:posOffset>
            </wp:positionV>
            <wp:extent cx="59150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appoint to transfer this Note on the books of the Company. The agent may substitute another to act for him.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1774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7890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14605</wp:posOffset>
            </wp:positionV>
            <wp:extent cx="26746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0140"/>
          </w:cols>
          <w:pgMar w:left="320" w:top="1440" w:right="1439" w:bottom="1440" w:gutter="0" w:footer="0" w:header="0"/>
        </w:sectPr>
      </w:pPr>
    </w:p>
    <w:bookmarkStart w:id="450" w:name="page451"/>
    <w:bookmarkEnd w:id="450"/>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Option of Noteholder to Elect Purchase</w:t>
      </w:r>
    </w:p>
    <w:p>
      <w:pPr>
        <w:spacing w:after="0" w:line="36"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this Note purchased by the Company pursuant to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4.12, 4.13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xml:space="preserve"> of the Indenture, check the appropriate box below:</w:t>
      </w:r>
    </w:p>
    <w:p>
      <w:pPr>
        <w:spacing w:after="0" w:line="161" w:lineRule="exact"/>
        <w:rPr>
          <w:sz w:val="20"/>
          <w:szCs w:val="20"/>
          <w:color w:val="auto"/>
        </w:rPr>
      </w:pPr>
    </w:p>
    <w:p>
      <w:pPr>
        <w:ind w:left="940" w:hanging="210"/>
        <w:spacing w:after="0" w:line="207" w:lineRule="exact"/>
        <w:tabs>
          <w:tab w:leader="none" w:pos="940" w:val="left"/>
        </w:tabs>
        <w:numPr>
          <w:ilvl w:val="0"/>
          <w:numId w:val="538"/>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4.12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4.15</w:t>
      </w:r>
    </w:p>
    <w:p>
      <w:pPr>
        <w:spacing w:after="0" w:line="306" w:lineRule="exact"/>
        <w:rPr>
          <w:sz w:val="20"/>
          <w:szCs w:val="20"/>
          <w:color w:val="auto"/>
        </w:rPr>
      </w:pPr>
    </w:p>
    <w:p>
      <w:pPr>
        <w:ind w:lef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only part of the Note purchased by the Company pursuant to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xml:space="preserve"> of the Indenture, state the amount you elect to have purchased:</w:t>
      </w:r>
    </w:p>
    <w:p>
      <w:pPr>
        <w:spacing w:after="0" w:line="200" w:lineRule="exact"/>
        <w:rPr>
          <w:sz w:val="20"/>
          <w:szCs w:val="20"/>
          <w:color w:val="auto"/>
        </w:rPr>
      </w:pPr>
    </w:p>
    <w:p>
      <w:pPr>
        <w:spacing w:after="0" w:line="3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17145</wp:posOffset>
            </wp:positionV>
            <wp:extent cx="44316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wp:posOffset>
            </wp:positionV>
            <wp:extent cx="21774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14605</wp:posOffset>
            </wp:positionV>
            <wp:extent cx="26657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w:t>
      </w:r>
    </w:p>
    <w:p>
      <w:pPr>
        <w:spacing w:after="0" w:line="2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160"/>
          </w:cols>
          <w:pgMar w:left="320" w:top="1440" w:right="419" w:bottom="1440" w:gutter="0" w:footer="0" w:header="0"/>
        </w:sectPr>
      </w:pPr>
    </w:p>
    <w:bookmarkStart w:id="451" w:name="page452"/>
    <w:bookmarkEnd w:id="451"/>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FORM OF CERTIFICATE OF TRANSFER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1100 North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19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Rio Grande LNG, LLC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Louisiana Street, 39th Floor</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308"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____% Senior Secured Notes due ____ issued by Rio Grande LNG, LLC</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Reference is hereby made to the Indenture, dated as of July 12, 2023, (as amended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LLC, as issuer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Capitalized terms used but not defined herein shall have the meanings given to them in the Indenture.</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________________________, (the “</w:t>
      </w:r>
      <w:r>
        <w:rPr>
          <w:rFonts w:ascii="Times New Roman" w:cs="Times New Roman" w:eastAsia="Times New Roman" w:hAnsi="Times New Roman"/>
          <w:sz w:val="20"/>
          <w:szCs w:val="20"/>
          <w:b w:val="1"/>
          <w:bCs w:val="1"/>
          <w:color w:val="auto"/>
        </w:rPr>
        <w:t>Transferor</w:t>
      </w:r>
      <w:r>
        <w:rPr>
          <w:rFonts w:ascii="Times New Roman" w:cs="Times New Roman" w:eastAsia="Times New Roman" w:hAnsi="Times New Roman"/>
          <w:sz w:val="20"/>
          <w:szCs w:val="20"/>
          <w:color w:val="auto"/>
        </w:rPr>
        <w:t>”) owns and proposes to transfer the Note[s] or interest in such Note[s] specified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in the principal amount of $___________ in such Note[s] or interests (the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to (the “</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as further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specified in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In connection with the Transfer, the Transferor hereby certifies that: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[CHECK ALL THAT APPLY]</w:t>
      </w:r>
    </w:p>
    <w:p>
      <w:pPr>
        <w:spacing w:after="0" w:line="198" w:lineRule="exact"/>
        <w:rPr>
          <w:sz w:val="20"/>
          <w:szCs w:val="20"/>
          <w:color w:val="auto"/>
        </w:rPr>
      </w:pPr>
    </w:p>
    <w:p>
      <w:pPr>
        <w:ind w:left="640" w:hanging="632"/>
        <w:spacing w:after="0" w:line="252" w:lineRule="auto"/>
        <w:tabs>
          <w:tab w:leader="none" w:pos="229" w:val="left"/>
        </w:tabs>
        <w:numPr>
          <w:ilvl w:val="0"/>
          <w:numId w:val="539"/>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 Restricted Definitive Note pursuant to Rule 144A</w:t>
      </w:r>
      <w:r>
        <w:rPr>
          <w:rFonts w:ascii="Times New Roman" w:cs="Times New Roman" w:eastAsia="Times New Roman" w:hAnsi="Times New Roman"/>
          <w:sz w:val="20"/>
          <w:szCs w:val="20"/>
          <w:color w:val="auto"/>
        </w:rPr>
        <w:t>. The Transfer is being effected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and in accordance with Rule 144A (“</w:t>
      </w:r>
      <w:r>
        <w:rPr>
          <w:rFonts w:ascii="Times New Roman" w:cs="Times New Roman" w:eastAsia="Times New Roman" w:hAnsi="Times New Roman"/>
          <w:sz w:val="20"/>
          <w:szCs w:val="20"/>
          <w:b w:val="1"/>
          <w:bCs w:val="1"/>
          <w:color w:val="auto"/>
        </w:rPr>
        <w:t>Rule 144A</w:t>
      </w:r>
      <w:r>
        <w:rPr>
          <w:rFonts w:ascii="Times New Roman" w:cs="Times New Roman" w:eastAsia="Times New Roman" w:hAnsi="Times New Roman"/>
          <w:sz w:val="20"/>
          <w:szCs w:val="20"/>
          <w:color w:val="auto"/>
        </w:rPr>
        <w:t>”)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and, accordingly, the Transferor hereby further certifies that Definitive Note is being transferred to a Person that the Transferor reasonably believes is purchasing the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Definitive Note will be subject to the restrictions on transfer enumerated in the Private Placement Legend printed on the Restricted Definitive Note and in the Indenture and the Securities Act.</w:t>
      </w:r>
    </w:p>
    <w:p>
      <w:pPr>
        <w:spacing w:after="0" w:line="162" w:lineRule="exact"/>
        <w:rPr>
          <w:rFonts w:ascii="MS PGothic" w:cs="MS PGothic" w:eastAsia="MS PGothic" w:hAnsi="MS PGothic"/>
          <w:sz w:val="20"/>
          <w:szCs w:val="20"/>
          <w:color w:val="auto"/>
        </w:rPr>
      </w:pPr>
    </w:p>
    <w:p>
      <w:pPr>
        <w:jc w:val="right"/>
        <w:ind w:left="640" w:hanging="632"/>
        <w:spacing w:after="0" w:line="267" w:lineRule="auto"/>
        <w:tabs>
          <w:tab w:leader="none" w:pos="256" w:val="left"/>
        </w:tabs>
        <w:numPr>
          <w:ilvl w:val="0"/>
          <w:numId w:val="539"/>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u w:val="single" w:color="auto"/>
          <w:color w:val="auto"/>
        </w:rPr>
        <w:t>Check if Transferee will take delivery of a Restricted Definitive Note pursuant to Regulation S</w:t>
      </w:r>
      <w:r>
        <w:rPr>
          <w:rFonts w:ascii="Times New Roman" w:cs="Times New Roman" w:eastAsia="Times New Roman" w:hAnsi="Times New Roman"/>
          <w:sz w:val="19"/>
          <w:szCs w:val="19"/>
          <w:color w:val="auto"/>
        </w:rPr>
        <w:t>. The Transfer is being effected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and in accordance with Rule 903 or Rule 904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52" w:name="page453"/>
    <w:bookmarkEnd w:id="452"/>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Securities Act and (iv) if the proposed transfer is being made prior to the expiration of the Restricted Period, the transfer is not being made to a United States Person or for the account or benefit of a United States Person. Upon consummation of the proposed transfer in accordance with the terms of the Indenture, the transferred Definitive Note will be subject to the restrictions on Transfer enumerated in the Private Placement Legend printed on the Restricted Definitive Note and in the Indenture and the Securities Act.</w:t>
      </w:r>
    </w:p>
    <w:p>
      <w:pPr>
        <w:spacing w:after="0" w:line="155" w:lineRule="exact"/>
        <w:rPr>
          <w:sz w:val="20"/>
          <w:szCs w:val="20"/>
          <w:color w:val="auto"/>
        </w:rPr>
      </w:pPr>
    </w:p>
    <w:p>
      <w:pPr>
        <w:ind w:left="640" w:hanging="632"/>
        <w:spacing w:after="0" w:line="260" w:lineRule="auto"/>
        <w:tabs>
          <w:tab w:leader="none" w:pos="229" w:val="left"/>
        </w:tabs>
        <w:numPr>
          <w:ilvl w:val="0"/>
          <w:numId w:val="540"/>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and complete if Transferee will take delivery of a Restricted Definitive Note pursuant to any provision of the Securities Act other than Rule 144A or Regulation S</w:t>
      </w:r>
      <w:r>
        <w:rPr>
          <w:rFonts w:ascii="Times New Roman" w:cs="Times New Roman" w:eastAsia="Times New Roman" w:hAnsi="Times New Roman"/>
          <w:sz w:val="20"/>
          <w:szCs w:val="20"/>
          <w:color w:val="auto"/>
        </w:rPr>
        <w:t>. The Transfer is being effected in compliance with the transfer restrictions applicable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Definitive Notes and pursuant to and in accordance with the Securities Act and any applicable blue sky securities laws of any state of the United States, and accordingly the Transferor hereby further certifies that (check one):</w:t>
      </w:r>
    </w:p>
    <w:p>
      <w:pPr>
        <w:spacing w:after="0" w:line="155" w:lineRule="exact"/>
        <w:rPr>
          <w:sz w:val="20"/>
          <w:szCs w:val="20"/>
          <w:color w:val="auto"/>
        </w:rPr>
      </w:pPr>
    </w:p>
    <w:p>
      <w:pPr>
        <w:ind w:left="1280" w:right="2340" w:hanging="637"/>
        <w:spacing w:after="0" w:line="434" w:lineRule="auto"/>
        <w:tabs>
          <w:tab w:leader="none" w:pos="864" w:val="left"/>
        </w:tabs>
        <w:numPr>
          <w:ilvl w:val="0"/>
          <w:numId w:val="54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such Transfer is being effected pursuant to and in accordance with Rule 144 under the Securities Act; or</w:t>
      </w:r>
    </w:p>
    <w:p>
      <w:pPr>
        <w:spacing w:after="0" w:line="45" w:lineRule="exact"/>
        <w:rPr>
          <w:rFonts w:ascii="MS PGothic" w:cs="MS PGothic" w:eastAsia="MS PGothic" w:hAnsi="MS PGothic"/>
          <w:sz w:val="20"/>
          <w:szCs w:val="20"/>
          <w:color w:val="auto"/>
        </w:rPr>
      </w:pPr>
    </w:p>
    <w:p>
      <w:pPr>
        <w:ind w:left="860" w:hanging="217"/>
        <w:spacing w:after="0"/>
        <w:tabs>
          <w:tab w:leader="none" w:pos="860" w:val="left"/>
        </w:tabs>
        <w:numPr>
          <w:ilvl w:val="0"/>
          <w:numId w:val="54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such Transfer is being effected to the Company;</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or</w:t>
      </w:r>
    </w:p>
    <w:p>
      <w:pPr>
        <w:spacing w:after="0" w:line="202" w:lineRule="exact"/>
        <w:rPr>
          <w:sz w:val="20"/>
          <w:szCs w:val="20"/>
          <w:color w:val="auto"/>
        </w:rPr>
      </w:pPr>
    </w:p>
    <w:p>
      <w:pPr>
        <w:ind w:left="1280" w:hanging="637"/>
        <w:spacing w:after="0" w:line="283" w:lineRule="auto"/>
        <w:tabs>
          <w:tab w:leader="none" w:pos="877" w:val="left"/>
        </w:tabs>
        <w:numPr>
          <w:ilvl w:val="0"/>
          <w:numId w:val="54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such Transfer is being effected pursuant to an effective registration statement under the Securities Act and in compliance with the prospectus delivery requirements of the Securities Act;</w:t>
      </w:r>
    </w:p>
    <w:p>
      <w:pPr>
        <w:spacing w:after="0" w:line="1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or</w:t>
      </w:r>
    </w:p>
    <w:p>
      <w:pPr>
        <w:spacing w:after="0" w:line="202" w:lineRule="exact"/>
        <w:rPr>
          <w:sz w:val="20"/>
          <w:szCs w:val="20"/>
          <w:color w:val="auto"/>
        </w:rPr>
      </w:pPr>
    </w:p>
    <w:p>
      <w:pPr>
        <w:ind w:left="1280" w:hanging="637"/>
        <w:spacing w:after="0" w:line="252" w:lineRule="auto"/>
        <w:tabs>
          <w:tab w:leader="none" w:pos="916" w:val="left"/>
        </w:tabs>
        <w:numPr>
          <w:ilvl w:val="1"/>
          <w:numId w:val="54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Restricted Definitive Notes and the requirements of the exemption claimed, which certification is supported by (1) a certificate executed by the Transferee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Definitive Note will be subject to the restrictions on transfer enumerated in the Private Placement Legend printed on the Restricted Definitive Notes and in the Indenture and the Securities Act.</w:t>
      </w:r>
    </w:p>
    <w:p>
      <w:pPr>
        <w:spacing w:after="0" w:line="159" w:lineRule="exact"/>
        <w:rPr>
          <w:rFonts w:ascii="MS PGothic" w:cs="MS PGothic" w:eastAsia="MS PGothic" w:hAnsi="MS PGothic"/>
          <w:sz w:val="20"/>
          <w:szCs w:val="20"/>
          <w:color w:val="auto"/>
        </w:rPr>
      </w:pPr>
    </w:p>
    <w:p>
      <w:pPr>
        <w:ind w:left="240" w:hanging="232"/>
        <w:spacing w:after="0"/>
        <w:tabs>
          <w:tab w:leader="none" w:pos="240" w:val="left"/>
        </w:tabs>
        <w:numPr>
          <w:ilvl w:val="0"/>
          <w:numId w:val="543"/>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u w:val="single" w:color="auto"/>
          <w:color w:val="auto"/>
        </w:rPr>
        <w:t>Check if Transferee will take delivery of an Unrestricted Definitive Note</w:t>
      </w:r>
      <w:r>
        <w:rPr>
          <w:rFonts w:ascii="Times New Roman" w:cs="Times New Roman" w:eastAsia="Times New Roman" w:hAnsi="Times New Roman"/>
          <w:sz w:val="20"/>
          <w:szCs w:val="20"/>
          <w:color w:val="auto"/>
        </w:rPr>
        <w:t>.</w:t>
      </w:r>
    </w:p>
    <w:p>
      <w:pPr>
        <w:spacing w:after="0" w:line="202" w:lineRule="exact"/>
        <w:rPr>
          <w:rFonts w:ascii="MS PGothic" w:cs="MS PGothic" w:eastAsia="MS PGothic" w:hAnsi="MS PGothic"/>
          <w:sz w:val="20"/>
          <w:szCs w:val="20"/>
          <w:color w:val="auto"/>
        </w:rPr>
      </w:pPr>
    </w:p>
    <w:p>
      <w:pPr>
        <w:ind w:left="1280" w:hanging="637"/>
        <w:spacing w:after="0" w:line="260" w:lineRule="auto"/>
        <w:tabs>
          <w:tab w:leader="none" w:pos="870" w:val="left"/>
        </w:tabs>
        <w:numPr>
          <w:ilvl w:val="1"/>
          <w:numId w:val="543"/>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Transfer is pursuant to Rule 144</w:t>
      </w:r>
      <w:r>
        <w:rPr>
          <w:rFonts w:ascii="Times New Roman" w:cs="Times New Roman" w:eastAsia="Times New Roman" w:hAnsi="Times New Roman"/>
          <w:sz w:val="20"/>
          <w:szCs w:val="20"/>
          <w:color w:val="auto"/>
        </w:rPr>
        <w:t>. (i) The Transfer is being effected pursuant to and in accordance with Rule 144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53" w:name="page454"/>
    <w:bookmarkEnd w:id="453"/>
    <w:p>
      <w:pPr>
        <w:jc w:val="both"/>
        <w:ind w:left="1280"/>
        <w:spacing w:after="0" w:line="261" w:lineRule="auto"/>
        <w:rPr>
          <w:sz w:val="20"/>
          <w:szCs w:val="20"/>
          <w:color w:val="auto"/>
        </w:rPr>
      </w:pPr>
      <w:r>
        <w:rPr>
          <w:rFonts w:ascii="Times New Roman" w:cs="Times New Roman" w:eastAsia="Times New Roman" w:hAnsi="Times New Roman"/>
          <w:sz w:val="20"/>
          <w:szCs w:val="20"/>
          <w:color w:val="auto"/>
        </w:rPr>
        <w:t>the Securities Act. Upon consummation of the proposed Transfer in accordance with the terms of the Indenture, the transferred Definitive Note will no longer be subject to the restrictions on transfer enumerated in the Private Placement Legend printed on Restricted Definitive Notes and in the Indenture.</w:t>
      </w:r>
    </w:p>
    <w:p>
      <w:pPr>
        <w:spacing w:after="0" w:line="150" w:lineRule="exact"/>
        <w:rPr>
          <w:sz w:val="20"/>
          <w:szCs w:val="20"/>
          <w:color w:val="auto"/>
        </w:rPr>
      </w:pPr>
    </w:p>
    <w:p>
      <w:pPr>
        <w:ind w:left="1280" w:hanging="637"/>
        <w:spacing w:after="0" w:line="254" w:lineRule="auto"/>
        <w:tabs>
          <w:tab w:leader="none" w:pos="870" w:val="left"/>
        </w:tabs>
        <w:numPr>
          <w:ilvl w:val="0"/>
          <w:numId w:val="544"/>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Transfer is Pursuant to Regulation S</w:t>
      </w:r>
      <w:r>
        <w:rPr>
          <w:rFonts w:ascii="Times New Roman" w:cs="Times New Roman" w:eastAsia="Times New Roman" w:hAnsi="Times New Roman"/>
          <w:sz w:val="20"/>
          <w:szCs w:val="20"/>
          <w:color w:val="auto"/>
        </w:rPr>
        <w:t>. (i) The Transfer is being effected pursuant to and in accordance with Rule 903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Definitive Note will no longer be subject to the restrictions on transfer enumerated in the Private Placement Legend printed on Restricted Definitive Notes and in the Indenture.</w:t>
      </w:r>
    </w:p>
    <w:p>
      <w:pPr>
        <w:spacing w:after="0" w:line="159" w:lineRule="exact"/>
        <w:rPr>
          <w:rFonts w:ascii="MS PGothic" w:cs="MS PGothic" w:eastAsia="MS PGothic" w:hAnsi="MS PGothic"/>
          <w:sz w:val="20"/>
          <w:szCs w:val="20"/>
          <w:color w:val="auto"/>
        </w:rPr>
      </w:pPr>
    </w:p>
    <w:p>
      <w:pPr>
        <w:ind w:left="1280" w:hanging="637"/>
        <w:spacing w:after="0" w:line="254" w:lineRule="auto"/>
        <w:tabs>
          <w:tab w:leader="none" w:pos="884" w:val="left"/>
        </w:tabs>
        <w:numPr>
          <w:ilvl w:val="0"/>
          <w:numId w:val="544"/>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Transfer is Pursuant to Other Exemption</w:t>
      </w:r>
      <w:r>
        <w:rPr>
          <w:rFonts w:ascii="Times New Roman" w:cs="Times New Roman" w:eastAsia="Times New Roman" w:hAnsi="Times New Roman"/>
          <w:sz w:val="20"/>
          <w:szCs w:val="20"/>
          <w:color w:val="auto"/>
        </w:rPr>
        <w:t>. (i) The Transfer is being effected pursuant to and in compliance with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Definitive Note will not be subject to the restrictions on transfer enumerated in the Private Placement Legend printed on the Restricted Definitive Notes and in the Indenture.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262890</wp:posOffset>
            </wp:positionV>
            <wp:extent cx="1257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5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54" w:name="page455"/>
    <w:bookmarkEnd w:id="454"/>
    <w:p>
      <w:pPr>
        <w:ind w:right="2479" w:firstLine="3587"/>
        <w:spacing w:after="0" w:line="484" w:lineRule="auto"/>
        <w:rPr>
          <w:sz w:val="20"/>
          <w:szCs w:val="20"/>
          <w:color w:val="auto"/>
        </w:rPr>
      </w:pPr>
      <w:r>
        <w:rPr>
          <w:rFonts w:ascii="Times New Roman" w:cs="Times New Roman" w:eastAsia="Times New Roman" w:hAnsi="Times New Roman"/>
          <w:sz w:val="20"/>
          <w:szCs w:val="20"/>
          <w:b w:val="1"/>
          <w:bCs w:val="1"/>
          <w:color w:val="auto"/>
        </w:rPr>
        <w:t xml:space="preserve">ANNEX A TO CERTIFICATE OF TRANSFER </w:t>
      </w:r>
      <w:r>
        <w:rPr>
          <w:rFonts w:ascii="Times New Roman" w:cs="Times New Roman" w:eastAsia="Times New Roman" w:hAnsi="Times New Roman"/>
          <w:sz w:val="20"/>
          <w:szCs w:val="20"/>
          <w:color w:val="auto"/>
        </w:rPr>
        <w:t>The Transferor owns and proposes to transfer a Restricted Definitive Note.</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After the Transfer the Transferee will hold: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[CHECK ONE]</w:t>
      </w:r>
    </w:p>
    <w:p>
      <w:pPr>
        <w:spacing w:after="0" w:line="216" w:lineRule="exact"/>
        <w:rPr>
          <w:sz w:val="20"/>
          <w:szCs w:val="20"/>
          <w:color w:val="auto"/>
        </w:rPr>
      </w:pPr>
    </w:p>
    <w:p>
      <w:pPr>
        <w:ind w:left="860" w:hanging="217"/>
        <w:spacing w:after="0"/>
        <w:tabs>
          <w:tab w:leader="none" w:pos="860" w:val="left"/>
        </w:tabs>
        <w:numPr>
          <w:ilvl w:val="0"/>
          <w:numId w:val="54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Restricted Definitive Note; or</w:t>
      </w:r>
    </w:p>
    <w:p>
      <w:pPr>
        <w:spacing w:after="0" w:line="202" w:lineRule="exact"/>
        <w:rPr>
          <w:rFonts w:ascii="MS PGothic" w:cs="MS PGothic" w:eastAsia="MS PGothic" w:hAnsi="MS PGothic"/>
          <w:sz w:val="20"/>
          <w:szCs w:val="20"/>
          <w:color w:val="auto"/>
        </w:rPr>
      </w:pPr>
    </w:p>
    <w:p>
      <w:pPr>
        <w:ind w:left="860" w:hanging="217"/>
        <w:spacing w:after="0"/>
        <w:tabs>
          <w:tab w:leader="none" w:pos="860" w:val="left"/>
        </w:tabs>
        <w:numPr>
          <w:ilvl w:val="0"/>
          <w:numId w:val="54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 Unrestricted Definitive Note,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0139"/>
          </w:cols>
          <w:pgMar w:left="320" w:top="1409" w:right="1440" w:bottom="1440" w:gutter="0" w:footer="0" w:header="0"/>
        </w:sectPr>
      </w:pPr>
    </w:p>
    <w:bookmarkStart w:id="455" w:name="page456"/>
    <w:bookmarkEnd w:id="455"/>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FORM OF CERTIFICATE OF EXCHANGE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1100 North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23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Rio Grande LNG, LLC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Louisiana Street, 39th Floor</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99"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____% Senior Secured Notes due ____ issued by Rio Grande LNG, LLC</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(CUSIP / PPN __________)</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Reference is hereby made to the Indenture, dated as of July 12, 2023 (as amended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LLC, as issuer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Capitalized terms used but not defined herein shall have the meanings given to them in the Indenture.</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________________________, (the “</w:t>
      </w:r>
      <w:r>
        <w:rPr>
          <w:rFonts w:ascii="Times New Roman" w:cs="Times New Roman" w:eastAsia="Times New Roman" w:hAnsi="Times New Roman"/>
          <w:sz w:val="20"/>
          <w:szCs w:val="20"/>
          <w:b w:val="1"/>
          <w:bCs w:val="1"/>
          <w:color w:val="auto"/>
        </w:rPr>
        <w:t>Owner</w:t>
      </w:r>
      <w:r>
        <w:rPr>
          <w:rFonts w:ascii="Times New Roman" w:cs="Times New Roman" w:eastAsia="Times New Roman" w:hAnsi="Times New Roman"/>
          <w:sz w:val="20"/>
          <w:szCs w:val="20"/>
          <w:color w:val="auto"/>
        </w:rPr>
        <w:t>”) owns and proposes to exchange the Note[s] or interest in such Note[s] specified herein,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principal amount of $___________ in such Note[s] or interests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In connection with the Exchange, the Owner hereby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certifies that: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Exchange of Restricted Definitive Notes</w:t>
      </w:r>
    </w:p>
    <w:p>
      <w:pPr>
        <w:spacing w:after="0" w:line="202" w:lineRule="exact"/>
        <w:rPr>
          <w:sz w:val="20"/>
          <w:szCs w:val="20"/>
          <w:color w:val="auto"/>
        </w:rPr>
      </w:pPr>
    </w:p>
    <w:p>
      <w:pPr>
        <w:ind w:left="1280" w:hanging="637"/>
        <w:spacing w:after="0" w:line="254" w:lineRule="auto"/>
        <w:tabs>
          <w:tab w:leader="none" w:pos="897" w:val="left"/>
        </w:tabs>
        <w:numPr>
          <w:ilvl w:val="0"/>
          <w:numId w:val="546"/>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Check if Exchange is from Restricted Definitive Note to Unrestricted Definitive Note</w:t>
      </w:r>
      <w:r>
        <w:rPr>
          <w:rFonts w:ascii="Times New Roman" w:cs="Times New Roman" w:eastAsia="Times New Roman" w:hAnsi="Times New Roman"/>
          <w:sz w:val="20"/>
          <w:szCs w:val="20"/>
          <w:color w:val="auto"/>
        </w:rPr>
        <w:t>. In connection with the Owner’s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9"/>
          <w:szCs w:val="19"/>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269875</wp:posOffset>
            </wp:positionV>
            <wp:extent cx="1257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[Insert Name of Transferor]</w:t>
      </w:r>
    </w:p>
    <w:p>
      <w:pPr>
        <w:spacing w:after="0" w:line="200" w:lineRule="exact"/>
        <w:rPr>
          <w:sz w:val="20"/>
          <w:szCs w:val="20"/>
          <w:color w:val="auto"/>
        </w:rPr>
      </w:pPr>
    </w:p>
    <w:p>
      <w:pPr>
        <w:spacing w:after="0" w:line="28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0139"/>
          </w:cols>
          <w:pgMar w:left="320" w:top="1413" w:right="1440" w:bottom="1440" w:gutter="0" w:footer="0" w:header="0"/>
        </w:sectPr>
      </w:pPr>
    </w:p>
    <w:bookmarkStart w:id="457" w:name="page458"/>
    <w:bookmarkEnd w:id="457"/>
    <w:p>
      <w:pPr>
        <w:jc w:val="center"/>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Notes and Supplemental</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Indentures for Additional Notes</w:t>
      </w:r>
    </w:p>
    <w:p>
      <w:pPr>
        <w:spacing w:after="0" w:line="9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Reference is made in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to the Indenture dated as of July 12, 2023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LLC,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right="160" w:hanging="652"/>
        <w:spacing w:after="0" w:line="253" w:lineRule="auto"/>
        <w:tabs>
          <w:tab w:leader="none" w:pos="419" w:val="left"/>
        </w:tabs>
        <w:numPr>
          <w:ilvl w:val="0"/>
          <w:numId w:val="5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Issue Date, subject to compliance with the Indenture, including </w:t>
      </w:r>
      <w:r>
        <w:rPr>
          <w:rFonts w:ascii="Times New Roman" w:cs="Times New Roman" w:eastAsia="Times New Roman" w:hAnsi="Times New Roman"/>
          <w:sz w:val="20"/>
          <w:szCs w:val="20"/>
          <w:u w:val="single" w:color="auto"/>
          <w:color w:val="auto"/>
        </w:rPr>
        <w:t>Sections 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4.7</w:t>
      </w:r>
      <w:r>
        <w:rPr>
          <w:rFonts w:ascii="Times New Roman" w:cs="Times New Roman" w:eastAsia="Times New Roman" w:hAnsi="Times New Roman"/>
          <w:sz w:val="20"/>
          <w:szCs w:val="20"/>
          <w:color w:val="auto"/>
        </w:rPr>
        <w:t xml:space="preserve"> thereof and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the Company may issue Additional Notes, in one or more series, under this Indenture or under one or more Supplemental Indentures that comply with the provisions of this Indenture. Additional Notes may be issued as a separate series or the same series as the Initial Notes or other Additional Notes, as shall be specified in the form of the Additional Note or in any Supplemental Indenture governing the terms of the Additional Notes permitted to be issued by this Indenture. Additional Notes may be issued in accordance with the following provisions, which are deemed to be part of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of the Indenture:</w:t>
      </w:r>
    </w:p>
    <w:p>
      <w:pPr>
        <w:spacing w:after="0" w:line="178" w:lineRule="exact"/>
        <w:rPr>
          <w:rFonts w:ascii="Times New Roman" w:cs="Times New Roman" w:eastAsia="Times New Roman" w:hAnsi="Times New Roman"/>
          <w:sz w:val="20"/>
          <w:szCs w:val="20"/>
          <w:color w:val="auto"/>
        </w:rPr>
      </w:pPr>
    </w:p>
    <w:p>
      <w:pPr>
        <w:ind w:left="660" w:right="220" w:hanging="652"/>
        <w:spacing w:after="0" w:line="283" w:lineRule="auto"/>
        <w:tabs>
          <w:tab w:leader="none" w:pos="441" w:val="left"/>
        </w:tabs>
        <w:numPr>
          <w:ilvl w:val="0"/>
          <w:numId w:val="5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Capitalized terms used and not otherwise defined in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which are defined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other Sections of the Indenture have the meanings set forth therein and the following terms have the meanings set forth below:</w:t>
      </w:r>
    </w:p>
    <w:p>
      <w:pPr>
        <w:spacing w:after="0" w:line="14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Authorizing Resolution</w:t>
      </w:r>
      <w:r>
        <w:rPr>
          <w:rFonts w:ascii="Times New Roman" w:cs="Times New Roman" w:eastAsia="Times New Roman" w:hAnsi="Times New Roman"/>
          <w:sz w:val="20"/>
          <w:szCs w:val="20"/>
          <w:color w:val="auto"/>
        </w:rPr>
        <w:t>” means a resolution duly adopted by (1) the authorized governing body of the Company or (2) any pricing or other committee of the authorized governing body of the Company duly authorized to act for it hereunder, a copy of which is delivered to the Trustee, accompanied by an Officer’s Certificate that such resolution has been duly adopted, has not been amended, modified, supplemented or rescinded and is in full force and effect.</w:t>
      </w:r>
    </w:p>
    <w:p>
      <w:pPr>
        <w:spacing w:after="0" w:line="151"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Registered Additional Note</w:t>
      </w:r>
      <w:r>
        <w:rPr>
          <w:rFonts w:ascii="Times New Roman" w:cs="Times New Roman" w:eastAsia="Times New Roman" w:hAnsi="Times New Roman"/>
          <w:sz w:val="20"/>
          <w:szCs w:val="20"/>
          <w:color w:val="auto"/>
        </w:rPr>
        <w:t xml:space="preserve">” means any Additional Note registered on the Additional Note Register maintained by the Company pursuant to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w:t>
      </w:r>
    </w:p>
    <w:p>
      <w:pPr>
        <w:spacing w:after="0" w:line="238" w:lineRule="exact"/>
        <w:rPr>
          <w:sz w:val="20"/>
          <w:szCs w:val="20"/>
          <w:color w:val="auto"/>
        </w:rPr>
      </w:pPr>
    </w:p>
    <w:p>
      <w:pPr>
        <w:jc w:val="both"/>
        <w:ind w:left="580" w:hanging="647"/>
        <w:spacing w:after="0" w:line="257" w:lineRule="auto"/>
        <w:tabs>
          <w:tab w:leader="none" w:pos="56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22"/>
          <w:szCs w:val="22"/>
          <w:b w:val="1"/>
          <w:bCs w:val="1"/>
          <w:color w:val="auto"/>
        </w:rPr>
        <w:t>Terms of Additional Notes</w:t>
      </w:r>
      <w:r>
        <w:rPr>
          <w:rFonts w:ascii="Times New Roman" w:cs="Times New Roman" w:eastAsia="Times New Roman" w:hAnsi="Times New Roman"/>
          <w:sz w:val="19"/>
          <w:szCs w:val="19"/>
          <w:color w:val="auto"/>
        </w:rPr>
        <w:t>. (a) The terms and conditions of any Additional Notes shall be established in or pursuant 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Authorizing Resolution, and set forth in an Officer’s Certificate, or established in one or more Supplemental Indentures approved pursuant to an Authorizing Resolution, and as set forth in an Officer’s Certificate, prior to the issuance of Additional Notes of any series, which shall include, as applicable:</w:t>
      </w:r>
    </w:p>
    <w:p>
      <w:pPr>
        <w:spacing w:after="0" w:line="160" w:lineRule="exact"/>
        <w:rPr>
          <w:sz w:val="20"/>
          <w:szCs w:val="20"/>
          <w:color w:val="auto"/>
        </w:rPr>
      </w:pPr>
    </w:p>
    <w:p>
      <w:pPr>
        <w:ind w:left="1960" w:right="260" w:hanging="656"/>
        <w:spacing w:after="0" w:line="269" w:lineRule="auto"/>
        <w:tabs>
          <w:tab w:leader="none" w:pos="1697" w:val="left"/>
        </w:tabs>
        <w:numPr>
          <w:ilvl w:val="0"/>
          <w:numId w:val="5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of the Additional Notes of the series (which shall distinguish the Additional Notes of the series from all other Notes, except if issued as the same series as the Initial Notes or other Additional Notes);</w:t>
      </w:r>
    </w:p>
    <w:p>
      <w:pPr>
        <w:spacing w:after="0" w:line="172" w:lineRule="exact"/>
        <w:rPr>
          <w:rFonts w:ascii="Times New Roman" w:cs="Times New Roman" w:eastAsia="Times New Roman" w:hAnsi="Times New Roman"/>
          <w:sz w:val="20"/>
          <w:szCs w:val="20"/>
          <w:color w:val="auto"/>
        </w:rPr>
      </w:pPr>
    </w:p>
    <w:p>
      <w:pPr>
        <w:ind w:left="1960" w:right="140" w:hanging="656"/>
        <w:spacing w:after="0" w:line="261" w:lineRule="auto"/>
        <w:tabs>
          <w:tab w:leader="none" w:pos="1752" w:val="left"/>
        </w:tabs>
        <w:numPr>
          <w:ilvl w:val="0"/>
          <w:numId w:val="5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limit upon the aggregate principal amount of the Additional Notes of the series which may be authenticated and delivered under the Indenture (except for Additional Notes authenticated and delivered upon registration of transfer of, or in exchange for, or in lieu of, other Additional Notes of the series);</w:t>
      </w:r>
    </w:p>
    <w:p>
      <w:pPr>
        <w:spacing w:after="0" w:line="181" w:lineRule="exact"/>
        <w:rPr>
          <w:rFonts w:ascii="Times New Roman" w:cs="Times New Roman" w:eastAsia="Times New Roman" w:hAnsi="Times New Roman"/>
          <w:sz w:val="20"/>
          <w:szCs w:val="20"/>
          <w:color w:val="auto"/>
        </w:rPr>
      </w:pPr>
    </w:p>
    <w:p>
      <w:pPr>
        <w:ind w:left="1960" w:right="160" w:hanging="656"/>
        <w:spacing w:after="0" w:line="261" w:lineRule="auto"/>
        <w:tabs>
          <w:tab w:leader="none" w:pos="1807" w:val="left"/>
        </w:tabs>
        <w:numPr>
          <w:ilvl w:val="0"/>
          <w:numId w:val="5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or dates (or the manner of determining the same) on which the principal of the Additional Notes of the series is payable (which, if so provided in or pursuant to such Authorizing Resolution or in any Supplemental Indenture,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58" w:name="page459"/>
    <w:bookmarkEnd w:id="458"/>
    <w:p>
      <w:pPr>
        <w:ind w:left="1960"/>
        <w:spacing w:after="0" w:line="283" w:lineRule="auto"/>
        <w:rPr>
          <w:sz w:val="20"/>
          <w:szCs w:val="20"/>
          <w:color w:val="auto"/>
        </w:rPr>
      </w:pPr>
      <w:r>
        <w:rPr>
          <w:rFonts w:ascii="Times New Roman" w:cs="Times New Roman" w:eastAsia="Times New Roman" w:hAnsi="Times New Roman"/>
          <w:sz w:val="20"/>
          <w:szCs w:val="20"/>
          <w:color w:val="auto"/>
        </w:rPr>
        <w:t>be determined by the Company from time to time and set forth in the Additional Notes of the series issued from time to time);</w:t>
      </w:r>
    </w:p>
    <w:p>
      <w:pPr>
        <w:spacing w:after="0" w:line="146" w:lineRule="exact"/>
        <w:rPr>
          <w:sz w:val="20"/>
          <w:szCs w:val="20"/>
          <w:color w:val="auto"/>
        </w:rPr>
      </w:pPr>
    </w:p>
    <w:p>
      <w:pPr>
        <w:ind w:left="1960" w:right="20" w:hanging="656"/>
        <w:spacing w:after="0" w:line="253" w:lineRule="auto"/>
        <w:tabs>
          <w:tab w:leader="none" w:pos="1796" w:val="left"/>
        </w:tabs>
        <w:numPr>
          <w:ilvl w:val="0"/>
          <w:numId w:val="5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or rates (or the method of determining the same) at which the Additional Notes of the series shall bear interest, if any, and the date or dates from which such interest shall accrue (which, in the case of either or both, if so provided in or pursuant to such Authorizing Resolution or in any Supplemental Indenture, may be determined by the Company from time to time and set forth in the Additional Notes of the series issued from time to time), the Interest Payment Dates (or the manner of determining the same) on which such interest, if any, shall be payable, the record dates (or the manner of determining the same), if any, for the determination of Holders to whom interest is payable on any Interest Payment Date;</w:t>
      </w:r>
    </w:p>
    <w:p>
      <w:pPr>
        <w:spacing w:after="0" w:line="179" w:lineRule="exact"/>
        <w:rPr>
          <w:rFonts w:ascii="Times New Roman" w:cs="Times New Roman" w:eastAsia="Times New Roman" w:hAnsi="Times New Roman"/>
          <w:sz w:val="20"/>
          <w:szCs w:val="20"/>
          <w:color w:val="auto"/>
        </w:rPr>
      </w:pPr>
    </w:p>
    <w:p>
      <w:pPr>
        <w:ind w:left="1960" w:right="200" w:hanging="656"/>
        <w:spacing w:after="0" w:line="276" w:lineRule="auto"/>
        <w:tabs>
          <w:tab w:leader="none" w:pos="1741" w:val="left"/>
        </w:tabs>
        <w:numPr>
          <w:ilvl w:val="0"/>
          <w:numId w:val="5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place or places where, subject to the Indenture, the principal of (and premium, if any) and interest, if any, on Additional Notes of the series shall be payable, any Additional Notes of the series may be surrendered for registration of transfer and Additional Notes of the series may be surrendered for exchange and the place or places where notices or demands to or upon the Company in respect of the Additional Notes of the series may be served;</w:t>
      </w:r>
    </w:p>
    <w:p>
      <w:pPr>
        <w:spacing w:after="0" w:line="169" w:lineRule="exact"/>
        <w:rPr>
          <w:rFonts w:ascii="Times New Roman" w:cs="Times New Roman" w:eastAsia="Times New Roman" w:hAnsi="Times New Roman"/>
          <w:sz w:val="19"/>
          <w:szCs w:val="19"/>
          <w:color w:val="auto"/>
        </w:rPr>
      </w:pPr>
    </w:p>
    <w:p>
      <w:pPr>
        <w:ind w:left="1960" w:right="20" w:hanging="656"/>
        <w:spacing w:after="0" w:line="261" w:lineRule="auto"/>
        <w:tabs>
          <w:tab w:leader="none" w:pos="1796" w:val="left"/>
        </w:tabs>
        <w:numPr>
          <w:ilvl w:val="0"/>
          <w:numId w:val="5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or periods within which, the price or prices at which, and the terms and conditions upon which Additional Notes of the series may be redeemed, in whole or in part, at the option of the Company, pursuant to any sinking fund or otherwise;</w:t>
      </w:r>
    </w:p>
    <w:p>
      <w:pPr>
        <w:spacing w:after="0" w:line="181" w:lineRule="exact"/>
        <w:rPr>
          <w:rFonts w:ascii="Times New Roman" w:cs="Times New Roman" w:eastAsia="Times New Roman" w:hAnsi="Times New Roman"/>
          <w:sz w:val="20"/>
          <w:szCs w:val="20"/>
          <w:color w:val="auto"/>
        </w:rPr>
      </w:pPr>
    </w:p>
    <w:p>
      <w:pPr>
        <w:ind w:left="1960" w:hanging="656"/>
        <w:spacing w:after="0" w:line="253" w:lineRule="auto"/>
        <w:tabs>
          <w:tab w:leader="none" w:pos="1851" w:val="left"/>
        </w:tabs>
        <w:numPr>
          <w:ilvl w:val="0"/>
          <w:numId w:val="5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if any, of the Company to redeem, repay, prepay or purchase Additional Notes of the series pursuant to any mandatory prepayment, purchase or redemption provision, sinking fund or analogous provisions or at the option of a Holder thereof and the period or periods within which, the price or prices at which, and the terms and conditions upon which Additional Notes of the series shall be redeemed, repaid, prepaid or purchased, in whole or in part, pursuant to such obligation, or at the option of a Holder thereof;</w:t>
      </w:r>
    </w:p>
    <w:p>
      <w:pPr>
        <w:spacing w:after="0" w:line="178" w:lineRule="exact"/>
        <w:rPr>
          <w:rFonts w:ascii="Times New Roman" w:cs="Times New Roman" w:eastAsia="Times New Roman" w:hAnsi="Times New Roman"/>
          <w:sz w:val="20"/>
          <w:szCs w:val="20"/>
          <w:color w:val="auto"/>
        </w:rPr>
      </w:pPr>
    </w:p>
    <w:p>
      <w:pPr>
        <w:ind w:left="1960" w:right="1100" w:hanging="656"/>
        <w:spacing w:after="0" w:line="283" w:lineRule="auto"/>
        <w:tabs>
          <w:tab w:leader="none" w:pos="1905" w:val="left"/>
        </w:tabs>
        <w:numPr>
          <w:ilvl w:val="0"/>
          <w:numId w:val="5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other than denominations of U.S. $100,000 and any integral multiple of $ 1,000 in excess thereof, the denominations in which Additional Notes of the series shall be issuable;</w:t>
      </w:r>
    </w:p>
    <w:p>
      <w:pPr>
        <w:spacing w:after="0" w:line="159" w:lineRule="exact"/>
        <w:rPr>
          <w:rFonts w:ascii="Times New Roman" w:cs="Times New Roman" w:eastAsia="Times New Roman" w:hAnsi="Times New Roman"/>
          <w:sz w:val="20"/>
          <w:szCs w:val="20"/>
          <w:color w:val="auto"/>
        </w:rPr>
      </w:pPr>
    </w:p>
    <w:p>
      <w:pPr>
        <w:ind w:left="1960" w:right="120" w:hanging="656"/>
        <w:spacing w:after="0" w:line="261" w:lineRule="auto"/>
        <w:tabs>
          <w:tab w:leader="none" w:pos="1796" w:val="left"/>
        </w:tabs>
        <w:numPr>
          <w:ilvl w:val="0"/>
          <w:numId w:val="5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other than the principal amount thereof, the portion of the principal amount of Additional Notes of the series which shall be payable upon declaration of acceleration of the maturity thereof or the method by which such portion shall be determined;</w:t>
      </w:r>
    </w:p>
    <w:p>
      <w:pPr>
        <w:spacing w:after="0" w:line="167" w:lineRule="exact"/>
        <w:rPr>
          <w:rFonts w:ascii="Times New Roman" w:cs="Times New Roman" w:eastAsia="Times New Roman" w:hAnsi="Times New Roman"/>
          <w:sz w:val="20"/>
          <w:szCs w:val="20"/>
          <w:color w:val="auto"/>
        </w:rPr>
      </w:pPr>
    </w:p>
    <w:p>
      <w:pPr>
        <w:ind w:left="1960" w:hanging="656"/>
        <w:spacing w:after="0" w:line="283" w:lineRule="auto"/>
        <w:tabs>
          <w:tab w:leader="none" w:pos="1741" w:val="left"/>
        </w:tabs>
        <w:numPr>
          <w:ilvl w:val="0"/>
          <w:numId w:val="5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amount of payments of principal of (or any premium) or any interest on the Additional Notes of the series may be determined with reference to an index, the manner in which such amounts shall be determined;</w:t>
      </w:r>
    </w:p>
    <w:p>
      <w:pPr>
        <w:spacing w:after="0" w:line="159" w:lineRule="exact"/>
        <w:rPr>
          <w:rFonts w:ascii="Times New Roman" w:cs="Times New Roman" w:eastAsia="Times New Roman" w:hAnsi="Times New Roman"/>
          <w:sz w:val="20"/>
          <w:szCs w:val="20"/>
          <w:color w:val="auto"/>
        </w:rPr>
      </w:pPr>
    </w:p>
    <w:p>
      <w:pPr>
        <w:ind w:left="1960" w:right="120" w:hanging="656"/>
        <w:spacing w:after="0" w:line="261" w:lineRule="auto"/>
        <w:tabs>
          <w:tab w:leader="none" w:pos="1796" w:val="left"/>
        </w:tabs>
        <w:numPr>
          <w:ilvl w:val="0"/>
          <w:numId w:val="5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under what circumstances, and the terms and conditions on which, the Company will pay additional amounts on the Additional Notes of the series in respect of any tax, assessment or governmental charge withheld or deducted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00"/>
          </w:cols>
          <w:pgMar w:left="320" w:top="1413" w:right="379" w:bottom="1440" w:gutter="0" w:footer="0" w:header="0"/>
        </w:sectPr>
      </w:pPr>
    </w:p>
    <w:bookmarkStart w:id="459" w:name="page460"/>
    <w:bookmarkEnd w:id="459"/>
    <w:p>
      <w:pPr>
        <w:ind w:left="1960" w:right="20"/>
        <w:spacing w:after="0" w:line="258" w:lineRule="auto"/>
        <w:rPr>
          <w:sz w:val="20"/>
          <w:szCs w:val="20"/>
          <w:color w:val="auto"/>
        </w:rPr>
      </w:pPr>
      <w:r>
        <w:rPr>
          <w:rFonts w:ascii="Times New Roman" w:cs="Times New Roman" w:eastAsia="Times New Roman" w:hAnsi="Times New Roman"/>
          <w:sz w:val="20"/>
          <w:szCs w:val="20"/>
          <w:color w:val="auto"/>
        </w:rPr>
        <w:t>whether the Company will have the option to redeem such Additional Notes rather than pay such additional amounts or to redeem such Additional Notes in the event of the imposition of any certification, documentation, information or other reporting requirement and, if so, under what circumstances and the terms and conditions on which the Company may exercise such option; and</w:t>
      </w:r>
    </w:p>
    <w:p>
      <w:pPr>
        <w:spacing w:after="0" w:line="172" w:lineRule="exact"/>
        <w:rPr>
          <w:sz w:val="20"/>
          <w:szCs w:val="20"/>
          <w:color w:val="auto"/>
        </w:rPr>
      </w:pPr>
    </w:p>
    <w:p>
      <w:pPr>
        <w:ind w:left="1960" w:right="120" w:hanging="656"/>
        <w:spacing w:after="0" w:line="258" w:lineRule="auto"/>
        <w:tabs>
          <w:tab w:leader="none" w:pos="1851" w:val="left"/>
        </w:tabs>
        <w:numPr>
          <w:ilvl w:val="1"/>
          <w:numId w:val="5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terms of the series of Additional Notes which terms must be consistent with the provisions of the Indenture and, with respect to the matters set forth in </w:t>
      </w:r>
      <w:r>
        <w:rPr>
          <w:rFonts w:ascii="Times New Roman" w:cs="Times New Roman" w:eastAsia="Times New Roman" w:hAnsi="Times New Roman"/>
          <w:sz w:val="20"/>
          <w:szCs w:val="20"/>
          <w:u w:val="single" w:color="auto"/>
          <w:color w:val="auto"/>
        </w:rPr>
        <w:t>Articles 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(if any Additional Note is secured by any Collateral) (and any defined terms used therein) must be the same as those provisions (and any defined terms used therein).</w:t>
      </w:r>
    </w:p>
    <w:p>
      <w:pPr>
        <w:spacing w:after="0" w:line="185" w:lineRule="exact"/>
        <w:rPr>
          <w:rFonts w:ascii="Times New Roman" w:cs="Times New Roman" w:eastAsia="Times New Roman" w:hAnsi="Times New Roman"/>
          <w:sz w:val="20"/>
          <w:szCs w:val="20"/>
          <w:color w:val="auto"/>
        </w:rPr>
      </w:pPr>
    </w:p>
    <w:p>
      <w:pPr>
        <w:ind w:left="1300" w:right="60" w:hanging="644"/>
        <w:spacing w:after="0" w:line="253" w:lineRule="auto"/>
        <w:tabs>
          <w:tab w:leader="none" w:pos="1070" w:val="left"/>
        </w:tabs>
        <w:numPr>
          <w:ilvl w:val="0"/>
          <w:numId w:val="5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Additional Notes of any one series shall be substantially identical except that such Additional Notes may differ as to date of issue and the date from which interest, if any, shall accrue. The terms of such Additional Notes, as set forth above, may be determined by the Company from time to time if so provided in or pursuant to such Authorizing Resolution or in any Supplemental Indenture for Additional Notes. All Additional Notes of any one series need not, but may, be issued at the same time.</w:t>
      </w:r>
    </w:p>
    <w:p>
      <w:pPr>
        <w:spacing w:after="0" w:line="191" w:lineRule="exact"/>
        <w:rPr>
          <w:rFonts w:ascii="Times New Roman" w:cs="Times New Roman" w:eastAsia="Times New Roman" w:hAnsi="Times New Roman"/>
          <w:sz w:val="20"/>
          <w:szCs w:val="20"/>
          <w:color w:val="auto"/>
        </w:rPr>
      </w:pPr>
    </w:p>
    <w:p>
      <w:pPr>
        <w:ind w:left="1300" w:right="140" w:hanging="644"/>
        <w:spacing w:after="0" w:line="261" w:lineRule="auto"/>
        <w:tabs>
          <w:tab w:leader="none" w:pos="1069" w:val="left"/>
        </w:tabs>
        <w:numPr>
          <w:ilvl w:val="0"/>
          <w:numId w:val="5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terms of any series of Additional Notes are established by action taken pursuant to an Authorizing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6" w:lineRule="exact"/>
        <w:rPr>
          <w:sz w:val="20"/>
          <w:szCs w:val="20"/>
          <w:color w:val="auto"/>
        </w:rPr>
      </w:pPr>
    </w:p>
    <w:p>
      <w:pPr>
        <w:jc w:val="both"/>
        <w:ind w:left="480" w:hanging="647"/>
        <w:spacing w:after="0" w:line="272" w:lineRule="auto"/>
        <w:tabs>
          <w:tab w:leader="none" w:pos="46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22"/>
          <w:szCs w:val="22"/>
          <w:b w:val="1"/>
          <w:bCs w:val="1"/>
          <w:color w:val="auto"/>
        </w:rPr>
        <w:t>Issuance of Additional Notes</w:t>
      </w:r>
      <w:r>
        <w:rPr>
          <w:rFonts w:ascii="Times New Roman" w:cs="Times New Roman" w:eastAsia="Times New Roman" w:hAnsi="Times New Roman"/>
          <w:sz w:val="19"/>
          <w:szCs w:val="19"/>
          <w:color w:val="auto"/>
        </w:rPr>
        <w:t>. (a) When authorized by an Authorizing Resolution, Additional Notes may be issued either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to the Indenture or pursuant to a Supplemental Indenture, in each case, without the consent of the Holders of any Notes, subject to compliance with the provisions of this Indenture.</w:t>
      </w:r>
    </w:p>
    <w:p>
      <w:pPr>
        <w:spacing w:after="0" w:line="145" w:lineRule="exact"/>
        <w:rPr>
          <w:sz w:val="20"/>
          <w:szCs w:val="20"/>
          <w:color w:val="auto"/>
        </w:rPr>
      </w:pPr>
    </w:p>
    <w:p>
      <w:pPr>
        <w:ind w:left="1300" w:right="20" w:hanging="644"/>
        <w:spacing w:after="0" w:line="258" w:lineRule="auto"/>
        <w:tabs>
          <w:tab w:leader="none" w:pos="1081" w:val="left"/>
        </w:tabs>
        <w:numPr>
          <w:ilvl w:val="0"/>
          <w:numId w:val="5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authenticating or delivering any Additional Notes under the Indenture, or in executing, or accepting the additional trusts created by, any Supplemental Indenture for Additional Notes permitted by the Indenture, the Trustee shall be entitled to receive, and shall be fully protected in relying upon, and the Company shall cause to be provided, an Opinion of Counsel that (subject to customary exceptions and assumptions):</w:t>
      </w:r>
    </w:p>
    <w:p>
      <w:pPr>
        <w:spacing w:after="0" w:line="172" w:lineRule="exact"/>
        <w:rPr>
          <w:rFonts w:ascii="Times New Roman" w:cs="Times New Roman" w:eastAsia="Times New Roman" w:hAnsi="Times New Roman"/>
          <w:sz w:val="20"/>
          <w:szCs w:val="20"/>
          <w:color w:val="auto"/>
        </w:rPr>
      </w:pPr>
    </w:p>
    <w:p>
      <w:pPr>
        <w:ind w:left="1960" w:right="80" w:hanging="656"/>
        <w:spacing w:after="0" w:line="257" w:lineRule="auto"/>
        <w:tabs>
          <w:tab w:leader="none" w:pos="1697" w:val="left"/>
        </w:tabs>
        <w:numPr>
          <w:ilvl w:val="1"/>
          <w:numId w:val="5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Additional Notes, when authenticated and delivered by the Trustee and issued by the Company and paid for by the purchaser(s) thereof, in each case in the manner and subject to any conditions specified in such opinion of counsel, will constitute valid and legally binding obligations of the Company, enforceable in accordance with their terms, subject to bankruptcy, insolvency, reorganization and other laws of general applicability relating to or affecting the enforcement of creditors’ rights and to general equity principles; and</w:t>
      </w:r>
    </w:p>
    <w:p>
      <w:pPr>
        <w:spacing w:after="0" w:line="172" w:lineRule="exact"/>
        <w:rPr>
          <w:rFonts w:ascii="Times New Roman" w:cs="Times New Roman" w:eastAsia="Times New Roman" w:hAnsi="Times New Roman"/>
          <w:sz w:val="20"/>
          <w:szCs w:val="20"/>
          <w:color w:val="auto"/>
        </w:rPr>
      </w:pPr>
    </w:p>
    <w:p>
      <w:pPr>
        <w:ind w:left="1960" w:right="220" w:hanging="656"/>
        <w:spacing w:after="0" w:line="258" w:lineRule="auto"/>
        <w:tabs>
          <w:tab w:leader="none" w:pos="1752" w:val="left"/>
        </w:tabs>
        <w:numPr>
          <w:ilvl w:val="1"/>
          <w:numId w:val="5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the Company of such Additional Notes and any Supplemental Indenture for Additional Notes (A) have been duly authorized by all necessary limited liability company, managing member or other action on the part of the Company or its members and (B) will not violate the limited liability company agreement, certificate of formation or other organizational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60" w:name="page461"/>
    <w:bookmarkEnd w:id="460"/>
    <w:p>
      <w:pPr>
        <w:ind w:left="1960"/>
        <w:spacing w:after="0"/>
        <w:rPr>
          <w:sz w:val="20"/>
          <w:szCs w:val="20"/>
          <w:color w:val="auto"/>
        </w:rPr>
      </w:pPr>
      <w:r>
        <w:rPr>
          <w:rFonts w:ascii="Times New Roman" w:cs="Times New Roman" w:eastAsia="Times New Roman" w:hAnsi="Times New Roman"/>
          <w:sz w:val="20"/>
          <w:szCs w:val="20"/>
          <w:color w:val="auto"/>
        </w:rPr>
        <w:t>of the Company, any law binding on the Company, or the Indenture and the other P1 Financing Documents.</w:t>
      </w:r>
    </w:p>
    <w:p>
      <w:pPr>
        <w:spacing w:after="0" w:line="229" w:lineRule="exact"/>
        <w:rPr>
          <w:sz w:val="20"/>
          <w:szCs w:val="20"/>
          <w:color w:val="auto"/>
        </w:rPr>
      </w:pPr>
    </w:p>
    <w:p>
      <w:pPr>
        <w:jc w:val="both"/>
        <w:ind w:left="1280"/>
        <w:spacing w:after="0" w:line="253" w:lineRule="auto"/>
        <w:rPr>
          <w:sz w:val="20"/>
          <w:szCs w:val="20"/>
          <w:color w:val="auto"/>
        </w:rPr>
      </w:pPr>
      <w:r>
        <w:rPr>
          <w:rFonts w:ascii="Times New Roman" w:cs="Times New Roman" w:eastAsia="Times New Roman" w:hAnsi="Times New Roman"/>
          <w:sz w:val="20"/>
          <w:szCs w:val="20"/>
          <w:color w:val="auto"/>
        </w:rPr>
        <w:t>In executing any amendment, modification or supplement of any Additional Notes or any Supplemental Indenture for Additional Notes, the Trustee shall be entitled to receive, and shall be fully protected in relying upon, and the Company shall cause to be provided, an Opinion of Counsel (subject to customary exceptions and assumptions) stating that the amendment, modification or supplement of any Additional Notes or Supplemental Indenture for Additional Notes is authorized or permitted by the Indenture and that such supplemental indenture is the valid and legally binding obligation of the Company, enforceable against the Company in accordance with its terms.</w:t>
      </w:r>
    </w:p>
    <w:p>
      <w:pPr>
        <w:spacing w:after="0" w:line="165" w:lineRule="exact"/>
        <w:rPr>
          <w:sz w:val="20"/>
          <w:szCs w:val="20"/>
          <w:color w:val="auto"/>
        </w:rPr>
      </w:pPr>
    </w:p>
    <w:p>
      <w:pPr>
        <w:ind w:left="1300" w:right="80" w:hanging="644"/>
        <w:spacing w:after="0" w:line="253" w:lineRule="auto"/>
        <w:tabs>
          <w:tab w:leader="none" w:pos="1066" w:val="left"/>
        </w:tabs>
        <w:numPr>
          <w:ilvl w:val="0"/>
          <w:numId w:val="5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and the Company, at any time and from time to time, may enter into one or more Supplemental Indentures, in form satisfactory to the Trustee and the Company, (i) to establish the forms or terms of Additional Notes of any series permitted by this Indenture or (ii) to amend such forms or terms in any manner, solely to the extent such amendment is permitted by the terms of this Indenture. The Trustee may, but shall not be obligated to, enter into any such Supplemental Indenture for Additional Notes which materially and adversely affects the Trustee’s own rights, duties or immunities under this Indenture or otherwise.</w:t>
      </w:r>
    </w:p>
    <w:p>
      <w:pPr>
        <w:spacing w:after="0" w:line="178" w:lineRule="exact"/>
        <w:rPr>
          <w:rFonts w:ascii="Times New Roman" w:cs="Times New Roman" w:eastAsia="Times New Roman" w:hAnsi="Times New Roman"/>
          <w:sz w:val="20"/>
          <w:szCs w:val="20"/>
          <w:color w:val="auto"/>
        </w:rPr>
      </w:pPr>
    </w:p>
    <w:p>
      <w:pPr>
        <w:ind w:left="1300" w:right="80" w:hanging="644"/>
        <w:spacing w:after="0" w:line="276" w:lineRule="auto"/>
        <w:tabs>
          <w:tab w:leader="none" w:pos="1081" w:val="left"/>
        </w:tabs>
        <w:numPr>
          <w:ilvl w:val="0"/>
          <w:numId w:val="5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execution of any Supplemental Indenture for Additional Notes, any such Supplemental Indenture shall form a part of this Indenture for purposes of such Additional Notes and upon the execution of any amendment, modification or supplement of any Supplemental Indenture for Additional Notes in accordance with this Indenture, the Holders of Additional Notes of any series affected thereby theretofore or thereafter authenticated and delivered hereunder shall be bound thereby.</w:t>
      </w:r>
    </w:p>
    <w:p>
      <w:pPr>
        <w:spacing w:after="0" w:line="169" w:lineRule="exact"/>
        <w:rPr>
          <w:rFonts w:ascii="Times New Roman" w:cs="Times New Roman" w:eastAsia="Times New Roman" w:hAnsi="Times New Roman"/>
          <w:sz w:val="19"/>
          <w:szCs w:val="19"/>
          <w:color w:val="auto"/>
        </w:rPr>
      </w:pPr>
    </w:p>
    <w:p>
      <w:pPr>
        <w:ind w:left="1300" w:right="20" w:hanging="644"/>
        <w:spacing w:after="0" w:line="253" w:lineRule="auto"/>
        <w:tabs>
          <w:tab w:leader="none" w:pos="1059" w:val="left"/>
        </w:tabs>
        <w:numPr>
          <w:ilvl w:val="0"/>
          <w:numId w:val="5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Notes of any series authenticated and delivered after the execution of any Supplemental Indenture for Additional Notes may, and shall if required by the Trustee, bear a notation in form approved by the Trustee as to any matter provided for in such Supplemental Indentures. If the Company shall so determine, new Additional Notes of any series, so modified as to conform, in the opinion of the Trustee and the authorized governing body of the Company, to any such Supplemental Indenture for Additional Notes may be prepared and executed by the Company and authenticated and delivered by the Trustee in exchange for outstanding Additional Notes of such series.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w:t>
      </w:r>
    </w:p>
    <w:p>
      <w:pPr>
        <w:spacing w:after="0" w:line="238" w:lineRule="exact"/>
        <w:rPr>
          <w:sz w:val="20"/>
          <w:szCs w:val="20"/>
          <w:color w:val="auto"/>
        </w:rPr>
      </w:pPr>
    </w:p>
    <w:p>
      <w:pPr>
        <w:ind w:left="460" w:hanging="647"/>
        <w:spacing w:after="0" w:line="256" w:lineRule="auto"/>
        <w:tabs>
          <w:tab w:leader="none" w:pos="44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22"/>
          <w:szCs w:val="22"/>
          <w:b w:val="1"/>
          <w:bCs w:val="1"/>
          <w:color w:val="auto"/>
        </w:rPr>
        <w:t>Form of Additional Notes</w:t>
      </w:r>
      <w:r>
        <w:rPr>
          <w:rFonts w:ascii="Times New Roman" w:cs="Times New Roman" w:eastAsia="Times New Roman" w:hAnsi="Times New Roman"/>
          <w:sz w:val="19"/>
          <w:szCs w:val="19"/>
          <w:color w:val="auto"/>
        </w:rPr>
        <w:t>. (a) Any Additional Notes of the same series as the Initial Notes will be in the form or forms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u w:val="single" w:color="auto"/>
          <w:color w:val="auto"/>
        </w:rPr>
        <w:t>Sections 2.1(a)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as applicable, of the Indenture.</w:t>
      </w:r>
    </w:p>
    <w:p>
      <w:pPr>
        <w:spacing w:after="0" w:line="157" w:lineRule="exact"/>
        <w:rPr>
          <w:sz w:val="20"/>
          <w:szCs w:val="20"/>
          <w:color w:val="auto"/>
        </w:rPr>
      </w:pPr>
    </w:p>
    <w:p>
      <w:pPr>
        <w:ind w:left="1300" w:right="200" w:hanging="644"/>
        <w:spacing w:after="0" w:line="253" w:lineRule="auto"/>
        <w:tabs>
          <w:tab w:leader="none" w:pos="1070" w:val="left"/>
        </w:tabs>
        <w:numPr>
          <w:ilvl w:val="0"/>
          <w:numId w:val="5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Notes of a separate series from the Initial Notes will be in such form or forms, subject to the compliance with all other provisions of the Indenture, as shall be established in or pursuant to an Authorizing Resolution (and set forth in an Authorizing Resolution or, to the extent established pursuant to (rather than as set forth in) such Authorizing Resolution, in an Officer’s Certificate as to such establishment) or in one or more Supplemental Indentures for the Additional Notes permitted to be issued by this Indenture approved pursuant to an Authorizing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61" w:name="page462"/>
    <w:bookmarkEnd w:id="461"/>
    <w:p>
      <w:pPr>
        <w:ind w:left="1080" w:hanging="424"/>
        <w:spacing w:after="0"/>
        <w:tabs>
          <w:tab w:leader="none" w:pos="1080" w:val="left"/>
        </w:tabs>
        <w:numPr>
          <w:ilvl w:val="0"/>
          <w:numId w:val="5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provided in </w:t>
      </w:r>
      <w:r>
        <w:rPr>
          <w:rFonts w:ascii="Times New Roman" w:cs="Times New Roman" w:eastAsia="Times New Roman" w:hAnsi="Times New Roman"/>
          <w:sz w:val="19"/>
          <w:szCs w:val="19"/>
          <w:u w:val="single" w:color="auto"/>
          <w:color w:val="auto"/>
        </w:rPr>
        <w:t>Section 2.1(b)</w:t>
      </w:r>
      <w:r>
        <w:rPr>
          <w:rFonts w:ascii="Times New Roman" w:cs="Times New Roman" w:eastAsia="Times New Roman" w:hAnsi="Times New Roman"/>
          <w:sz w:val="19"/>
          <w:szCs w:val="19"/>
          <w:color w:val="auto"/>
        </w:rPr>
        <w:t xml:space="preserve"> above, the Additional Notes of each series shall be issued as Registered Additional Notes.</w:t>
      </w:r>
    </w:p>
    <w:p>
      <w:pPr>
        <w:spacing w:after="0" w:line="240" w:lineRule="exact"/>
        <w:rPr>
          <w:rFonts w:ascii="Times New Roman" w:cs="Times New Roman" w:eastAsia="Times New Roman" w:hAnsi="Times New Roman"/>
          <w:sz w:val="19"/>
          <w:szCs w:val="19"/>
          <w:color w:val="auto"/>
        </w:rPr>
      </w:pPr>
    </w:p>
    <w:p>
      <w:pPr>
        <w:ind w:left="1300" w:right="80" w:hanging="644"/>
        <w:spacing w:after="0" w:line="253" w:lineRule="auto"/>
        <w:tabs>
          <w:tab w:leader="none" w:pos="1070" w:val="left"/>
        </w:tabs>
        <w:numPr>
          <w:ilvl w:val="0"/>
          <w:numId w:val="5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Notes may be issued, in each case, with such appropriate insertions, omissions, substitutions and other variations as are required or permitted by the Indenture or any Supplemental Indenture for Additional Notes, shall have such legends as may be required by applicable law, and may have such letters, numbers or other marks of identification and such other legends or endorsements placed thereon as may be required to comply with the rules of any securities exchange, clearing organization, or to conform to usage, as may, consistently herewith, be determined by the officers of the Company executing such Additional Notes, as evidenced by their execution of such Additional Notes.</w:t>
      </w:r>
    </w:p>
    <w:p>
      <w:pPr>
        <w:spacing w:after="0" w:line="178"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5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Additional Note shall be dated the date of its authentication.</w:t>
      </w:r>
    </w:p>
    <w:p>
      <w:pPr>
        <w:spacing w:after="0" w:line="229" w:lineRule="exact"/>
        <w:rPr>
          <w:rFonts w:ascii="Times New Roman" w:cs="Times New Roman" w:eastAsia="Times New Roman" w:hAnsi="Times New Roman"/>
          <w:sz w:val="20"/>
          <w:szCs w:val="20"/>
          <w:color w:val="auto"/>
        </w:rPr>
      </w:pPr>
    </w:p>
    <w:p>
      <w:pPr>
        <w:ind w:left="1300" w:right="120" w:hanging="644"/>
        <w:spacing w:after="0" w:line="251" w:lineRule="auto"/>
        <w:tabs>
          <w:tab w:leader="none" w:pos="1044" w:val="left"/>
        </w:tabs>
        <w:numPr>
          <w:ilvl w:val="0"/>
          <w:numId w:val="5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in issuing the Additional Notes may use “CUSIP,” “CINS,” “ISIN,” “PPN” and other reference numbers (if then generally in use), and, if so, the Trustee shall use “CUSIP,” “CINS,” “ISIN,” “PPN” and other such reference numbers in notices as a convenience to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may state that no representation is made as to the correctness of such numbers either as printed on the Additional Notes or as contained in any notice of a redemption and that reliance may be placed only on the other identification numbers printed on the Additional Notes, and any such redemption shall not be affected by any defect in or omission of such numbers. The Company will promptly notify the Trustee of any changes in the “CUSIP,” “CINS,” “ISIN,” “PPN” or the other such reference numbers.</w:t>
      </w:r>
    </w:p>
    <w:p>
      <w:pPr>
        <w:spacing w:after="0" w:line="19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Form of Trustee Authentication for Additional Notes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left="640" w:right="1460" w:firstLine="16"/>
        <w:spacing w:after="0" w:line="489" w:lineRule="auto"/>
        <w:tabs>
          <w:tab w:leader="none" w:pos="1066" w:val="left"/>
        </w:tabs>
        <w:numPr>
          <w:ilvl w:val="0"/>
          <w:numId w:val="5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certificate of authentication on all Additional Notes shall be in substantially the following form: “This is one of the Additional Notes of the series designated therein referred to in the within-mentioned Indenture.”</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ò</w:t>
      </w:r>
      <w:r>
        <w:rPr>
          <w:rFonts w:ascii="Times New Roman" w:cs="Times New Roman" w:eastAsia="Times New Roman" w:hAnsi="Times New Roman"/>
          <w:sz w:val="20"/>
          <w:szCs w:val="20"/>
          <w:color w:val="auto"/>
        </w:rPr>
        <w:t xml:space="preserve"> ],</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as Trustee</w:t>
      </w:r>
    </w:p>
    <w:p>
      <w:pPr>
        <w:spacing w:after="0" w:line="183" w:lineRule="exact"/>
        <w:rPr>
          <w:sz w:val="20"/>
          <w:szCs w:val="20"/>
          <w:color w:val="auto"/>
        </w:rPr>
      </w:pPr>
    </w:p>
    <w:p>
      <w:pPr>
        <w:ind w:left="1960"/>
        <w:spacing w:after="0"/>
        <w:tabs>
          <w:tab w:leader="none" w:pos="2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w:t>
      </w:r>
    </w:p>
    <w:p>
      <w:pPr>
        <w:spacing w:after="0" w:line="2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w:t>
      </w:r>
    </w:p>
    <w:p>
      <w:pPr>
        <w:spacing w:after="0" w:line="224" w:lineRule="exact"/>
        <w:rPr>
          <w:sz w:val="20"/>
          <w:szCs w:val="20"/>
          <w:color w:val="auto"/>
        </w:rPr>
      </w:pPr>
    </w:p>
    <w:p>
      <w:pPr>
        <w:jc w:val="both"/>
        <w:ind w:left="460" w:hanging="647"/>
        <w:spacing w:after="0" w:line="255" w:lineRule="auto"/>
        <w:tabs>
          <w:tab w:leader="none" w:pos="44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22"/>
          <w:szCs w:val="22"/>
          <w:b w:val="1"/>
          <w:bCs w:val="1"/>
          <w:color w:val="auto"/>
        </w:rPr>
        <w:t>Persons Deemed Owners</w:t>
      </w:r>
      <w:r>
        <w:rPr>
          <w:rFonts w:ascii="Times New Roman" w:cs="Times New Roman" w:eastAsia="Times New Roman" w:hAnsi="Times New Roman"/>
          <w:sz w:val="19"/>
          <w:szCs w:val="19"/>
          <w:color w:val="auto"/>
        </w:rPr>
        <w:t>. The Company, the Trustee and any paying agent, the Additional Note registrar and any other agent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Company or the Trustee in respect of the Additional Notes of any series may treat the Person in whose name any Registered Additional Note of such series is registered as the owner of such Registered Additional Note for the purpose of receiving payment of principal of (and premium, if any) and interest, if any, on such Registered Additional Note and for all other purposes whatsoever, whether or not such Registered Additional Note be overdue, and neither the Company nor the Trustee nor any paying agent, Additional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62" w:name="page463"/>
    <w:bookmarkEnd w:id="462"/>
    <w:p>
      <w:pPr>
        <w:ind w:left="660"/>
        <w:spacing w:after="0" w:line="283" w:lineRule="auto"/>
        <w:rPr>
          <w:sz w:val="20"/>
          <w:szCs w:val="20"/>
          <w:color w:val="auto"/>
        </w:rPr>
      </w:pPr>
      <w:r>
        <w:rPr>
          <w:rFonts w:ascii="Times New Roman" w:cs="Times New Roman" w:eastAsia="Times New Roman" w:hAnsi="Times New Roman"/>
          <w:sz w:val="20"/>
          <w:szCs w:val="20"/>
          <w:color w:val="auto"/>
        </w:rPr>
        <w:t>registrar or other agent of the Company or the Trustee in respect of the Registered Additional Notes of such series shall be affected by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63" w:name="page464"/>
    <w:bookmarkEnd w:id="463"/>
    <w:p>
      <w:pPr>
        <w:jc w:val="center"/>
        <w:spacing w:after="0"/>
        <w:rPr>
          <w:sz w:val="20"/>
          <w:szCs w:val="20"/>
          <w:color w:val="auto"/>
        </w:rPr>
      </w:pPr>
      <w:r>
        <w:rPr>
          <w:rFonts w:ascii="Times New Roman" w:cs="Times New Roman" w:eastAsia="Times New Roman" w:hAnsi="Times New Roman"/>
          <w:sz w:val="20"/>
          <w:szCs w:val="20"/>
          <w:b w:val="1"/>
          <w:bCs w:val="1"/>
          <w:color w:val="auto"/>
        </w:rPr>
        <w:t>EXHIBIT 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CERTIFICATE FROM</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ACQUIRING INSTITUTIONAL ACCREDITED INVESTOR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Trust, National Association, as Trustee and Registrar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1100 North Market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Wilmington, DE 19890</w:t>
      </w:r>
    </w:p>
    <w:p>
      <w:pPr>
        <w:spacing w:after="0" w:line="24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Rio Grande LNG, LLC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1000 Louisiana Street, 39th Floor</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Houston, Texas 77002</w:t>
      </w:r>
    </w:p>
    <w:p>
      <w:pPr>
        <w:spacing w:after="0" w:line="227"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____% Senior Secured Notes due ____ issued by Rio Grande LNG, LLC</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Reference is hereby made to the Indenture, dated as of July 12, 2023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between Rio Grande LNG, as issuer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Capitalized terms used but not defined herein shall have the meanings given to them in the Indenture.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our proposed purchase of $ _______ aggregate principal amount of a Definitive Note,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confirm that:</w:t>
      </w:r>
    </w:p>
    <w:p>
      <w:pPr>
        <w:spacing w:after="0" w:line="21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9"/>
          <w:szCs w:val="19"/>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w:t>
      </w:r>
    </w:p>
    <w:p>
      <w:pPr>
        <w:spacing w:after="0" w:line="6" w:lineRule="exact"/>
        <w:rPr>
          <w:sz w:val="20"/>
          <w:szCs w:val="20"/>
          <w:color w:val="auto"/>
        </w:rPr>
      </w:pPr>
    </w:p>
    <w:p>
      <w:pPr>
        <w:jc w:val="both"/>
        <w:ind w:left="660" w:hanging="4"/>
        <w:spacing w:after="0" w:line="261" w:lineRule="auto"/>
        <w:tabs>
          <w:tab w:leader="none" w:pos="987" w:val="left"/>
        </w:tabs>
        <w:numPr>
          <w:ilvl w:val="0"/>
          <w:numId w:val="5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from us in a transaction meeting the requirements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w:t>
      </w:r>
    </w:p>
    <w:p>
      <w:pPr>
        <w:spacing w:after="0" w:line="2" w:lineRule="exact"/>
        <w:rPr>
          <w:rFonts w:ascii="Times New Roman" w:cs="Times New Roman" w:eastAsia="Times New Roman" w:hAnsi="Times New Roman"/>
          <w:sz w:val="19"/>
          <w:szCs w:val="19"/>
          <w:color w:val="auto"/>
        </w:rPr>
      </w:pPr>
    </w:p>
    <w:p>
      <w:pPr>
        <w:ind w:left="960" w:hanging="304"/>
        <w:spacing w:after="0"/>
        <w:tabs>
          <w:tab w:leader="none" w:pos="960" w:val="left"/>
        </w:tabs>
        <w:numPr>
          <w:ilvl w:val="0"/>
          <w:numId w:val="5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this paragraph a notice advising such purchaser that resales thereof are restricted as stated herein.</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We understand that, on any proposed resale of the Notes,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64" w:name="page465"/>
    <w:bookmarkEnd w:id="464"/>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We are an institutional “accredited investor” (as defined in Rule 501(a)(1), (2), (3), (7) or (9)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59"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20"/>
          <w:szCs w:val="20"/>
          <w:color w:val="auto"/>
        </w:rPr>
        <w:t>We are acquiring the Notes purchased by us for our own account or for one or more accounts (each of which is an institutional “accredited investor”) as to each of which we exercise sole investment discretion.</w:t>
      </w:r>
    </w:p>
    <w:p>
      <w:pPr>
        <w:spacing w:after="0" w:line="1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235585</wp:posOffset>
            </wp:positionV>
            <wp:extent cx="1257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[Insert Name of Accredited Investor]</w:t>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257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65" w:name="page466"/>
    <w:bookmarkEnd w:id="465"/>
    <w:p>
      <w:pPr>
        <w:jc w:val="center"/>
        <w:spacing w:after="0"/>
        <w:rPr>
          <w:sz w:val="20"/>
          <w:szCs w:val="20"/>
          <w:color w:val="auto"/>
        </w:rPr>
      </w:pPr>
      <w:r>
        <w:rPr>
          <w:rFonts w:ascii="Times New Roman" w:cs="Times New Roman" w:eastAsia="Times New Roman" w:hAnsi="Times New Roman"/>
          <w:sz w:val="20"/>
          <w:szCs w:val="20"/>
          <w:b w:val="1"/>
          <w:bCs w:val="1"/>
          <w:color w:val="auto"/>
        </w:rPr>
        <w:t>EXHIBIT 2.15-A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(For Non-U.S. Noteholders that are Not Partnerships for U.S. Federal Income Tax Purposes)</w:t>
      </w:r>
    </w:p>
    <w:p>
      <w:pPr>
        <w:spacing w:after="0" w:line="20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9"/>
          <w:szCs w:val="19"/>
          <w:color w:val="auto"/>
        </w:rPr>
        <w:t>Date [__________]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 19890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 as the Issuer</w:t>
      </w:r>
    </w:p>
    <w:p>
      <w:pPr>
        <w:spacing w:after="0" w:line="220"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Graham A. McArthur, Senior Vice President, Treasurer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gmcarthur@next-decade.com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13"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corporatesecretary@next-decade.com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Indenture, dated as of July 12, 2023 (as amended, amended and restated, modified,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by and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registrar and paying agent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from time to time. All capitalized terms used herein shall have the respective meanings specified in the Indenture (or, if not defined therein, the Common Terms Agreement) unless otherwise defined herein or unless the context requires otherwise.</w:t>
      </w:r>
    </w:p>
    <w:p>
      <w:pPr>
        <w:spacing w:after="0" w:line="16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9"/>
          <w:szCs w:val="19"/>
          <w:color w:val="auto"/>
        </w:rPr>
        <w:t>Pursuant to the provisions of Section 2.15 of the Indenture, the undersigned hereby certifies that (i) it is the sole record and beneficial owner of the Notes in respect of which it is providing this certificate, (ii) it is not a “bank” within the meaning of Section 881(c)(3)</w:t>
      </w:r>
    </w:p>
    <w:p>
      <w:pPr>
        <w:spacing w:after="0" w:line="1" w:lineRule="exact"/>
        <w:rPr>
          <w:sz w:val="20"/>
          <w:szCs w:val="20"/>
          <w:color w:val="auto"/>
        </w:rPr>
      </w:pPr>
    </w:p>
    <w:p>
      <w:pPr>
        <w:ind w:firstLine="8"/>
        <w:spacing w:after="0" w:line="253" w:lineRule="auto"/>
        <w:tabs>
          <w:tab w:leader="none" w:pos="326" w:val="left"/>
        </w:tabs>
        <w:numPr>
          <w:ilvl w:val="0"/>
          <w:numId w:val="5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(iii) it is not a “ten percent shareholder” of the Company within the meaning of Section 871(h)(3)(B) of the Code, and (iv) it is not a “controlled foreign corporation” related to the Company as described in Section 881(c)(3)(C) of the Code.</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The undersigned has furnished the Trustee and the Company with a certificate of its non-U.S. Person status on IRS Form W-8BEN or IRS Form W-8BEN-E, as applicable. By executing this certificate, the undersigned agrees that (1) if the information provided in this certificate changes, the undersigned shall promptly so inform the Company and the Trustee, and (2) the undersigned shall have at all times furnished the Company and the Trustee with a properly completed and currently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66" w:name="page467"/>
    <w:bookmarkEnd w:id="466"/>
    <w:p>
      <w:pPr>
        <w:spacing w:after="0" w:line="283" w:lineRule="auto"/>
        <w:rPr>
          <w:sz w:val="20"/>
          <w:szCs w:val="20"/>
          <w:color w:val="auto"/>
        </w:rPr>
      </w:pPr>
      <w:r>
        <w:rPr>
          <w:rFonts w:ascii="Times New Roman" w:cs="Times New Roman" w:eastAsia="Times New Roman" w:hAnsi="Times New Roman"/>
          <w:sz w:val="20"/>
          <w:szCs w:val="20"/>
          <w:color w:val="auto"/>
        </w:rPr>
        <w:t>certificate in either the calendar year in which each payment is to be made to the undersigned, or in either of the two calendar years preceding such payments.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67" w:name="page468"/>
    <w:bookmarkEnd w:id="467"/>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and delivered this Certificate as a duly authorized representative of the [</w:t>
      </w:r>
      <w:r>
        <w:rPr>
          <w:rFonts w:ascii="Times New Roman" w:cs="Times New Roman" w:eastAsia="Times New Roman" w:hAnsi="Times New Roman"/>
          <w:sz w:val="20"/>
          <w:szCs w:val="20"/>
          <w:b w:val="1"/>
          <w:bCs w:val="1"/>
          <w:i w:val="1"/>
          <w:iCs w:val="1"/>
          <w:color w:val="auto"/>
        </w:rPr>
        <w:t>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Noteholder</w:t>
      </w:r>
      <w:r>
        <w:rPr>
          <w:rFonts w:ascii="Times New Roman" w:cs="Times New Roman" w:eastAsia="Times New Roman" w:hAnsi="Times New Roman"/>
          <w:sz w:val="20"/>
          <w:szCs w:val="20"/>
          <w:color w:val="auto"/>
        </w:rPr>
        <w:t>] as of the date and year first written above.</w:t>
      </w:r>
    </w:p>
    <w:p>
      <w:pPr>
        <w:spacing w:after="0" w:line="18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OF NOTEHOLDER]</w:t>
      </w:r>
    </w:p>
    <w:p>
      <w:pPr>
        <w:spacing w:after="0" w:line="200" w:lineRule="exact"/>
        <w:rPr>
          <w:sz w:val="20"/>
          <w:szCs w:val="20"/>
          <w:color w:val="auto"/>
        </w:rPr>
      </w:pPr>
    </w:p>
    <w:p>
      <w:pPr>
        <w:spacing w:after="0" w:line="2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5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68" w:name="page469"/>
    <w:bookmarkEnd w:id="468"/>
    <w:p>
      <w:pPr>
        <w:jc w:val="center"/>
        <w:spacing w:after="0"/>
        <w:rPr>
          <w:sz w:val="20"/>
          <w:szCs w:val="20"/>
          <w:color w:val="auto"/>
        </w:rPr>
      </w:pPr>
      <w:r>
        <w:rPr>
          <w:rFonts w:ascii="Times New Roman" w:cs="Times New Roman" w:eastAsia="Times New Roman" w:hAnsi="Times New Roman"/>
          <w:sz w:val="20"/>
          <w:szCs w:val="20"/>
          <w:b w:val="1"/>
          <w:bCs w:val="1"/>
          <w:color w:val="auto"/>
        </w:rPr>
        <w:t>EXHIBIT 2.15-B</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(For Non-U.S. Participants that are Not Partnerships for U.S. Federal Income Tax Purposes)</w:t>
      </w:r>
    </w:p>
    <w:p>
      <w:pPr>
        <w:spacing w:after="0" w:line="20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9"/>
          <w:szCs w:val="19"/>
          <w:color w:val="auto"/>
        </w:rPr>
        <w:t>Date [__________]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 19890</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 as the Issuer</w:t>
      </w:r>
    </w:p>
    <w:p>
      <w:pPr>
        <w:spacing w:after="0" w:line="220"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Graham A. McArthur, Senior Vice President, Treasurer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gmcarthur@next-decade.com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13"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corporatesecretary@next-decade.com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Indenture, dated as of July 12, 2023 (as amended, amended and restated, modified,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by and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registrar and paying agent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from time to time. All capitalized terms used herein shall have the respective meanings specified in the Indenture (or, if not defined therein, the Common Terms Agreement) unless otherwise defined herein or unless the context requires otherwise.</w:t>
      </w:r>
    </w:p>
    <w:p>
      <w:pPr>
        <w:spacing w:after="0" w:line="16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Pursuant to the provisions of Section 2.15 of the Indenture, the undersigned hereby certifies that (i) it is the sole record and beneficial owner of the participation in respect of which it is providing this certificate, (ii) it is not a “bank” within the meaning of Section 881(c)(3)(A) of the Code, (iii) it is not a “ten percent shareholder” of the Company within the meaning of Section 871(h)(3)(B) of the Code, and (iv) it is not a “controlled foreign corporation” related to the Company as described in Section 881(c)(3)(C) of the Code.</w:t>
      </w:r>
    </w:p>
    <w:p>
      <w:pPr>
        <w:spacing w:after="0" w:line="17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The undersigned has furnished its participating Noteholder with a certificate of its non-U.S. Person status on IRS Form W-8BEN or IRS Form W-8BEN-E, as applicable. By executing this certificate, the undersigned agrees that (1) if the information provided in this certificate changes, the undersigned shall promptly so inform such Noteholder in writing, and (2) the undersigned shall have at all times furnished such Noteholder with a properly completed and currently effective certificate in either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9"/>
          <w:szCs w:val="19"/>
          <w:color w:val="auto"/>
        </w:rPr>
        <w:t>calendar year in which each payment is to be made to the undersigned, or in either of the two calendar years preceding such payments.</w:t>
      </w:r>
    </w:p>
    <w:p>
      <w:pPr>
        <w:spacing w:after="0" w:line="21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0660"/>
          </w:cols>
          <w:pgMar w:left="320" w:top="1413" w:right="919" w:bottom="1440" w:gutter="0" w:footer="0" w:header="0"/>
        </w:sectPr>
      </w:pPr>
    </w:p>
    <w:bookmarkStart w:id="470" w:name="page471"/>
    <w:bookmarkEnd w:id="470"/>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and delivered this Certificate as a duly authorized representative of the [</w:t>
      </w:r>
      <w:r>
        <w:rPr>
          <w:rFonts w:ascii="Times New Roman" w:cs="Times New Roman" w:eastAsia="Times New Roman" w:hAnsi="Times New Roman"/>
          <w:sz w:val="20"/>
          <w:szCs w:val="20"/>
          <w:b w:val="1"/>
          <w:bCs w:val="1"/>
          <w:i w:val="1"/>
          <w:iCs w:val="1"/>
          <w:color w:val="auto"/>
        </w:rPr>
        <w:t>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as of the date and year first written above.</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0" w:lineRule="exact"/>
        <w:rPr>
          <w:sz w:val="20"/>
          <w:szCs w:val="20"/>
          <w:color w:val="auto"/>
        </w:rPr>
      </w:pP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71" w:name="page472"/>
    <w:bookmarkEnd w:id="471"/>
    <w:p>
      <w:pPr>
        <w:jc w:val="center"/>
        <w:spacing w:after="0"/>
        <w:rPr>
          <w:sz w:val="20"/>
          <w:szCs w:val="20"/>
          <w:color w:val="auto"/>
        </w:rPr>
      </w:pPr>
      <w:r>
        <w:rPr>
          <w:rFonts w:ascii="Times New Roman" w:cs="Times New Roman" w:eastAsia="Times New Roman" w:hAnsi="Times New Roman"/>
          <w:sz w:val="20"/>
          <w:szCs w:val="20"/>
          <w:b w:val="1"/>
          <w:bCs w:val="1"/>
          <w:color w:val="auto"/>
        </w:rPr>
        <w:t>EXHIBIT 2.15-C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(For Non-U.S. Participants that are Partnerships for U.S. Federal Income Tax Purposes)</w:t>
      </w:r>
    </w:p>
    <w:p>
      <w:pPr>
        <w:spacing w:after="0" w:line="20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9"/>
          <w:szCs w:val="19"/>
          <w:color w:val="auto"/>
        </w:rPr>
        <w:t>Date [__________]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 19890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 as the Issuer</w:t>
      </w:r>
    </w:p>
    <w:p>
      <w:pPr>
        <w:spacing w:after="0" w:line="220"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Graham A. McArthur, Senior Vice President, Treasurer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gmcarthur@next-decade.com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13"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corporatesecretary@next-decade.com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Indenture, dated as of July 12, 2023 (as amended, amended and restated, modified,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by and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registrar and paying agent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from time to time. All capitalized terms used herein shall have the respective meanings specified in the Indenture (or, if not defined therein, the Common Terms Agreement) unless otherwise defined herein or unless the context requires otherwise.</w:t>
      </w:r>
    </w:p>
    <w:p>
      <w:pPr>
        <w:spacing w:after="0" w:line="1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Pursuant to the provisions of Section 2.15 of the Indenture,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Company within the meaning of Section 871(h)(3)(B) of the Code, and (v) none of its direct or indirect partners/members is a “controlled foreign corporation” related to the Company as described in Section 881(c)(3)(C) of the Code.</w:t>
      </w:r>
    </w:p>
    <w:p>
      <w:pPr>
        <w:spacing w:after="0" w:line="16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The undersigned has furnished its participating Noteholder with IRS Form W-8IMY accompanied by one of the following forms from each of its partners/members that is claiming the portfolio interest exemption: (i) an IRS Form W-8BEN or an IRS Form W-8BEN-E, as applicable, or</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type w:val="continuous"/>
        </w:sectPr>
      </w:pPr>
    </w:p>
    <w:bookmarkStart w:id="472" w:name="page473"/>
    <w:bookmarkEnd w:id="472"/>
    <w:p>
      <w:pPr>
        <w:jc w:val="both"/>
        <w:ind w:firstLine="8"/>
        <w:spacing w:after="0" w:line="253" w:lineRule="auto"/>
        <w:tabs>
          <w:tab w:leader="none" w:pos="340" w:val="left"/>
        </w:tabs>
        <w:numPr>
          <w:ilvl w:val="0"/>
          <w:numId w:val="5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IRS Form W-8IMY accompanied by an IRS Form W-8BEN or an IRS Form W-8BEN-E, as applicable, from each of such partner’s/member’s beneficial owners that is claiming the portfolio interest exemption. By executing this certificate, the undersigned agrees that (1) if the information provided in this certificate changes, the undersigned shall promptly so inform such Noteholder and (2) the undersigned shall have at all times furnished such Noteholder with a properly completed and currently effective certificate in either the calendar year in which each payment is to be made to the undersigned, or in either of the two calendar years preceding such payments.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73" w:name="page474"/>
    <w:bookmarkEnd w:id="473"/>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and delivered this Certificate as a duly authorized representative of the [</w:t>
      </w:r>
      <w:r>
        <w:rPr>
          <w:rFonts w:ascii="Times New Roman" w:cs="Times New Roman" w:eastAsia="Times New Roman" w:hAnsi="Times New Roman"/>
          <w:sz w:val="20"/>
          <w:szCs w:val="20"/>
          <w:b w:val="1"/>
          <w:bCs w:val="1"/>
          <w:i w:val="1"/>
          <w:iCs w:val="1"/>
          <w:color w:val="auto"/>
        </w:rPr>
        <w:t>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as of the date and year first written above.</w:t>
      </w:r>
    </w:p>
    <w:p>
      <w:pPr>
        <w:spacing w:after="0" w:line="18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74" w:name="page475"/>
    <w:bookmarkEnd w:id="474"/>
    <w:p>
      <w:pPr>
        <w:jc w:val="center"/>
        <w:spacing w:after="0"/>
        <w:rPr>
          <w:sz w:val="20"/>
          <w:szCs w:val="20"/>
          <w:color w:val="auto"/>
        </w:rPr>
      </w:pPr>
      <w:r>
        <w:rPr>
          <w:rFonts w:ascii="Times New Roman" w:cs="Times New Roman" w:eastAsia="Times New Roman" w:hAnsi="Times New Roman"/>
          <w:sz w:val="20"/>
          <w:szCs w:val="20"/>
          <w:b w:val="1"/>
          <w:bCs w:val="1"/>
          <w:color w:val="auto"/>
        </w:rPr>
        <w:t>EXHIBIT 2.15-D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(For Non-U.S. Noteholders that are Partnerships for U.S. Federal Income Tax Purposes)</w:t>
      </w:r>
    </w:p>
    <w:p>
      <w:pPr>
        <w:spacing w:after="0" w:line="206"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9"/>
          <w:szCs w:val="19"/>
          <w:color w:val="auto"/>
        </w:rPr>
        <w:t>Date [__________]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Trust, National Association, as Trustee and Registrar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North Market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DE 19890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 as the Issuer</w:t>
      </w:r>
    </w:p>
    <w:p>
      <w:pPr>
        <w:spacing w:after="0" w:line="220"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Graham A. McArthur, Senior Vice President, Treasurer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gmcarthur@next-decade.com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Rio Grande LNG, LLC</w:t>
      </w:r>
    </w:p>
    <w:p>
      <w:pPr>
        <w:spacing w:after="0" w:line="213" w:lineRule="auto"/>
        <w:rPr>
          <w:sz w:val="20"/>
          <w:szCs w:val="20"/>
          <w:color w:val="auto"/>
        </w:rPr>
      </w:pPr>
      <w:r>
        <w:rPr>
          <w:rFonts w:ascii="Times New Roman" w:cs="Times New Roman" w:eastAsia="Times New Roman" w:hAnsi="Times New Roman"/>
          <w:sz w:val="20"/>
          <w:szCs w:val="20"/>
          <w:color w:val="auto"/>
        </w:rPr>
        <w:t>1000 Louisiana Street, 39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rPr>
          <w:sz w:val="20"/>
          <w:szCs w:val="20"/>
          <w:color w:val="auto"/>
        </w:rPr>
      </w:pPr>
      <w:r>
        <w:rPr>
          <w:rFonts w:ascii="Times New Roman" w:cs="Times New Roman" w:eastAsia="Times New Roman" w:hAnsi="Times New Roman"/>
          <w:sz w:val="20"/>
          <w:szCs w:val="20"/>
          <w:color w:val="auto"/>
        </w:rPr>
        <w:t>Houston, Texas 77002</w:t>
      </w:r>
    </w:p>
    <w:p>
      <w:pPr>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corporatesecretary@next-decade.com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the Indenture, dated as of July 12, 2023 (as amended, amended and restated, modified, or supplemented from time to time, the “</w:t>
      </w:r>
      <w:r>
        <w:rPr>
          <w:rFonts w:ascii="Times New Roman" w:cs="Times New Roman" w:eastAsia="Times New Roman" w:hAnsi="Times New Roman"/>
          <w:sz w:val="20"/>
          <w:szCs w:val="20"/>
          <w:b w:val="1"/>
          <w:bCs w:val="1"/>
          <w:color w:val="auto"/>
        </w:rPr>
        <w:t>Indenture</w:t>
      </w:r>
      <w:r>
        <w:rPr>
          <w:rFonts w:ascii="Times New Roman" w:cs="Times New Roman" w:eastAsia="Times New Roman" w:hAnsi="Times New Roman"/>
          <w:sz w:val="20"/>
          <w:szCs w:val="20"/>
          <w:color w:val="auto"/>
        </w:rPr>
        <w:t>”), by and between Rio Grande LNG, LLC, a Texas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Wilmington Trust, National Association, as trustee, registrar and paying agent (the “</w:t>
      </w:r>
      <w:r>
        <w:rPr>
          <w:rFonts w:ascii="Times New Roman" w:cs="Times New Roman" w:eastAsia="Times New Roman" w:hAnsi="Times New Roman"/>
          <w:sz w:val="20"/>
          <w:szCs w:val="20"/>
          <w:b w:val="1"/>
          <w:bCs w:val="1"/>
          <w:color w:val="auto"/>
        </w:rPr>
        <w:t>Trustee</w:t>
      </w:r>
      <w:r>
        <w:rPr>
          <w:rFonts w:ascii="Times New Roman" w:cs="Times New Roman" w:eastAsia="Times New Roman" w:hAnsi="Times New Roman"/>
          <w:sz w:val="20"/>
          <w:szCs w:val="20"/>
          <w:color w:val="auto"/>
        </w:rPr>
        <w:t>”) from time to time. All capitalized terms used herein shall have the respective meanings specified in the Indenture (or, if not defined therein, the Common Terms Agreement) unless otherwise defined herein or unless the context requires otherwise.</w:t>
      </w:r>
    </w:p>
    <w:p>
      <w:pPr>
        <w:spacing w:after="0" w:line="1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Pursuant to the provisions of Section 2.15 of the Indenture, the undersigned hereby certifies that (i) it is the sole record owner of the Notes in respect of which it is providing this certificate, (ii) its direct or indirect partners/members are the sole beneficial owners of such Notes, (iii) with respect to the extension of indebtedness pursuant to the Indenture or any other P1 Financing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Company within the meaning of Section 871(h)(3)(B) of the Code, and (v) none of its direct or indirect partners/members is a “controlled foreign corporation” related to the Company as described in Section 881(c)(3)(C) of the Code.</w:t>
      </w:r>
    </w:p>
    <w:p>
      <w:pPr>
        <w:spacing w:after="0" w:line="167"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The undersigned has furnished the Trustee and the Company with IRS Form W-8IMY accompanied by one of the following forms from each of its partners/members that is claiming the</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type w:val="continuous"/>
        </w:sectPr>
      </w:pPr>
    </w:p>
    <w:bookmarkStart w:id="475" w:name="page476"/>
    <w:bookmarkEnd w:id="475"/>
    <w:p>
      <w:pPr>
        <w:jc w:val="both"/>
        <w:spacing w:after="0" w:line="253" w:lineRule="auto"/>
        <w:rPr>
          <w:sz w:val="20"/>
          <w:szCs w:val="20"/>
          <w:color w:val="auto"/>
        </w:rPr>
      </w:pPr>
      <w:r>
        <w:rPr>
          <w:rFonts w:ascii="Times New Roman" w:cs="Times New Roman" w:eastAsia="Times New Roman" w:hAnsi="Times New Roman"/>
          <w:sz w:val="20"/>
          <w:szCs w:val="20"/>
          <w:color w:val="auto"/>
        </w:rPr>
        <w:t>portfolio interest exemption: (i) an IRS Form W-8BEN or an IRS Form W-8BEN-E, as applicable, or (ii) an IRS Form W-8IMY accompanied by an IRS Form W-8BEN or an IRS Form W-8BEN-E, as applicable, from each of such partner’s/member’s beneficial owners that is claiming the portfolio interest exemption. By executing this certificate, the undersigned agrees that (1) if the information provided in this certificate changes, the undersigned shall promptly so inform the Company and the Trustee, and (2) the undersigned shall have at all times furnished the Company and the Trustee with a properly completed and currently effective certificate in either the calendar year in which each payment is to be made to the undersigned, or in either of the two calendar years preceding such payments.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13" w:right="339" w:bottom="1440" w:gutter="0" w:footer="0" w:header="0"/>
        </w:sectPr>
      </w:pPr>
    </w:p>
    <w:bookmarkStart w:id="476" w:name="page477"/>
    <w:bookmarkEnd w:id="476"/>
    <w:p>
      <w:pPr>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executed and delivered this Certificate as a duly authorized representative of the [</w:t>
      </w:r>
      <w:r>
        <w:rPr>
          <w:rFonts w:ascii="Times New Roman" w:cs="Times New Roman" w:eastAsia="Times New Roman" w:hAnsi="Times New Roman"/>
          <w:sz w:val="20"/>
          <w:szCs w:val="20"/>
          <w:b w:val="1"/>
          <w:bCs w:val="1"/>
          <w:i w:val="1"/>
          <w:iCs w:val="1"/>
          <w:color w:val="auto"/>
        </w:rPr>
        <w:t>Name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Noteholder</w:t>
      </w:r>
      <w:r>
        <w:rPr>
          <w:rFonts w:ascii="Times New Roman" w:cs="Times New Roman" w:eastAsia="Times New Roman" w:hAnsi="Times New Roman"/>
          <w:sz w:val="20"/>
          <w:szCs w:val="20"/>
          <w:color w:val="auto"/>
        </w:rPr>
        <w:t>] as of the date and year first written above.</w:t>
      </w:r>
    </w:p>
    <w:p>
      <w:pPr>
        <w:spacing w:after="0" w:line="18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[NAME OF NOTEHOLDER]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By: _______________________</w:t>
      </w:r>
    </w:p>
    <w:p>
      <w:pPr>
        <w:spacing w:after="0" w:line="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|US-DOCS\138663915.49||</w:t>
      </w:r>
    </w:p>
    <w:p>
      <w:pPr>
        <w:sectPr>
          <w:pgSz w:w="11900" w:h="16838" w:orient="portrait"/>
          <w:cols w:equalWidth="0" w:num="1">
            <w:col w:w="11240"/>
          </w:cols>
          <w:pgMar w:left="320" w:top="1409" w:right="339" w:bottom="1440" w:gutter="0" w:footer="0" w:header="0"/>
        </w:sectPr>
      </w:pPr>
    </w:p>
    <w:bookmarkStart w:id="477" w:name="page478"/>
    <w:bookmarkEnd w:id="4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 UNDER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K. Schatzman, certify that:</w:t>
      </w:r>
    </w:p>
    <w:p>
      <w:pPr>
        <w:spacing w:after="0" w:line="225" w:lineRule="exact"/>
        <w:rPr>
          <w:sz w:val="20"/>
          <w:szCs w:val="20"/>
          <w:color w:val="auto"/>
        </w:rPr>
      </w:pPr>
    </w:p>
    <w:p>
      <w:pPr>
        <w:ind w:left="340" w:hanging="332"/>
        <w:spacing w:after="0"/>
        <w:tabs>
          <w:tab w:leader="none" w:pos="3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NextDecade Corporation;</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324"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8"/>
        <w:spacing w:after="0" w:line="282" w:lineRule="auto"/>
        <w:tabs>
          <w:tab w:leader="none" w:pos="324"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324"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980"/>
        <w:spacing w:after="0" w:line="266" w:lineRule="auto"/>
        <w:tabs>
          <w:tab w:leader="none" w:pos="1287"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980"/>
        <w:spacing w:after="0" w:line="266" w:lineRule="auto"/>
        <w:tabs>
          <w:tab w:leader="none" w:pos="1284"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40" w:firstLine="980"/>
        <w:spacing w:after="0" w:line="282" w:lineRule="auto"/>
        <w:tabs>
          <w:tab w:leader="none" w:pos="1287"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1" w:lineRule="exact"/>
        <w:rPr>
          <w:rFonts w:ascii="Times New Roman" w:cs="Times New Roman" w:eastAsia="Times New Roman" w:hAnsi="Times New Roman"/>
          <w:sz w:val="18"/>
          <w:szCs w:val="18"/>
          <w:color w:val="auto"/>
        </w:rPr>
      </w:pPr>
    </w:p>
    <w:p>
      <w:pPr>
        <w:ind w:right="220" w:firstLine="980"/>
        <w:spacing w:after="0" w:line="312" w:lineRule="auto"/>
        <w:tabs>
          <w:tab w:leader="none" w:pos="1284" w:val="left"/>
        </w:tabs>
        <w:numPr>
          <w:ilvl w:val="1"/>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right="320" w:firstLine="8"/>
        <w:spacing w:after="0" w:line="282" w:lineRule="auto"/>
        <w:tabs>
          <w:tab w:leader="none" w:pos="324"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60" w:firstLine="980"/>
        <w:spacing w:after="0" w:line="282" w:lineRule="auto"/>
        <w:tabs>
          <w:tab w:leader="none" w:pos="1287"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60" w:firstLine="980"/>
        <w:spacing w:after="0" w:line="282" w:lineRule="auto"/>
        <w:tabs>
          <w:tab w:leader="none" w:pos="1284"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/s/ Matthew K. Schatzman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K. Schatzman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478" w:name="page479"/>
    <w:bookmarkEnd w:id="4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 UNDER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E. Wahl, certify that:</w:t>
      </w:r>
    </w:p>
    <w:p>
      <w:pPr>
        <w:spacing w:after="0" w:line="225" w:lineRule="exact"/>
        <w:rPr>
          <w:sz w:val="20"/>
          <w:szCs w:val="20"/>
          <w:color w:val="auto"/>
        </w:rPr>
      </w:pPr>
    </w:p>
    <w:p>
      <w:pPr>
        <w:ind w:left="340" w:hanging="332"/>
        <w:spacing w:after="0"/>
        <w:tabs>
          <w:tab w:leader="none" w:pos="3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NextDecade Corporation;</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324"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8"/>
        <w:spacing w:after="0" w:line="282" w:lineRule="auto"/>
        <w:tabs>
          <w:tab w:leader="none" w:pos="324"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324"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980"/>
        <w:spacing w:after="0" w:line="266" w:lineRule="auto"/>
        <w:tabs>
          <w:tab w:leader="none" w:pos="1287"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980"/>
        <w:spacing w:after="0" w:line="266" w:lineRule="auto"/>
        <w:tabs>
          <w:tab w:leader="none" w:pos="1284"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40" w:firstLine="980"/>
        <w:spacing w:after="0" w:line="282" w:lineRule="auto"/>
        <w:tabs>
          <w:tab w:leader="none" w:pos="1287"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1" w:lineRule="exact"/>
        <w:rPr>
          <w:rFonts w:ascii="Times New Roman" w:cs="Times New Roman" w:eastAsia="Times New Roman" w:hAnsi="Times New Roman"/>
          <w:sz w:val="18"/>
          <w:szCs w:val="18"/>
          <w:color w:val="auto"/>
        </w:rPr>
      </w:pPr>
    </w:p>
    <w:p>
      <w:pPr>
        <w:ind w:right="220" w:firstLine="980"/>
        <w:spacing w:after="0" w:line="312" w:lineRule="auto"/>
        <w:tabs>
          <w:tab w:leader="none" w:pos="1284" w:val="left"/>
        </w:tabs>
        <w:numPr>
          <w:ilvl w:val="1"/>
          <w:numId w:val="5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right="320" w:firstLine="8"/>
        <w:spacing w:after="0" w:line="282" w:lineRule="auto"/>
        <w:tabs>
          <w:tab w:leader="none" w:pos="324"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60" w:firstLine="980"/>
        <w:spacing w:after="0" w:line="282" w:lineRule="auto"/>
        <w:tabs>
          <w:tab w:leader="none" w:pos="1287"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60" w:firstLine="980"/>
        <w:spacing w:after="0" w:line="282" w:lineRule="auto"/>
        <w:tabs>
          <w:tab w:leader="none" w:pos="1284"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7"/>
          <w:szCs w:val="17"/>
          <w:color w:val="auto"/>
        </w:rPr>
        <w:t>/s/ Brent E.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Brent E. Wahl</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479" w:name="page480"/>
    <w:bookmarkEnd w:id="4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K. Schatzman, Chairman of the Board and Chief Executive Officer of NextDecade Corporation (the “Company”), hereby certify, pursuant to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§1350, as adopted pursuant to §906 of the Sarbanes-Oxley Act of 2002, that, to the best of my knowledge:</w:t>
      </w:r>
    </w:p>
    <w:p>
      <w:pPr>
        <w:spacing w:after="0" w:line="207" w:lineRule="exact"/>
        <w:rPr>
          <w:sz w:val="20"/>
          <w:szCs w:val="20"/>
          <w:color w:val="auto"/>
        </w:rPr>
      </w:pPr>
    </w:p>
    <w:p>
      <w:pPr>
        <w:ind w:left="660" w:right="800" w:hanging="328"/>
        <w:spacing w:after="0" w:line="282" w:lineRule="auto"/>
        <w:tabs>
          <w:tab w:leader="none" w:pos="654"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8"/>
          <w:szCs w:val="18"/>
          <w:color w:val="auto"/>
        </w:rPr>
        <w:t>/s/ Matthew K. Schatzman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K. Schatzman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480" w:name="page481"/>
    <w:bookmarkEnd w:id="4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 Brent E. Wahl, Chief Financial Officer of NextDecade Corporation (the “Company”), hereby certify, pursuant to 18 U.S.C. §1350, as adopted pursuant to §906 of the Sarbanes-Oxley Act of 2002, that, to the best of my knowledge:</w:t>
      </w:r>
    </w:p>
    <w:p>
      <w:pPr>
        <w:spacing w:after="0" w:line="162" w:lineRule="exact"/>
        <w:rPr>
          <w:sz w:val="20"/>
          <w:szCs w:val="20"/>
          <w:color w:val="auto"/>
        </w:rPr>
      </w:pPr>
    </w:p>
    <w:p>
      <w:pPr>
        <w:ind w:left="660" w:right="800" w:hanging="328"/>
        <w:spacing w:after="0" w:line="282" w:lineRule="auto"/>
        <w:tabs>
          <w:tab w:leader="none" w:pos="654"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color w:val="auto"/>
        </w:rPr>
        <w:t>/s/ Brent E.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Brent E. Wahl</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A35D4"/>
    <w:multiLevelType w:val="hybridMultilevel"/>
    <w:lvl w:ilvl="0">
      <w:lvlJc w:val="left"/>
      <w:lvlText w:val="(%1)"/>
      <w:numFmt w:val="decimal"/>
      <w:start w:val="1"/>
    </w:lvl>
  </w:abstractNum>
  <w:abstractNum w:abstractNumId="1">
    <w:nsid w:val="496FB218"/>
    <w:multiLevelType w:val="hybridMultilevel"/>
    <w:lvl w:ilvl="0">
      <w:lvlJc w:val="left"/>
      <w:lvlText w:val="$"/>
      <w:numFmt w:val="bullet"/>
      <w:start w:val="1"/>
    </w:lvl>
  </w:abstractNum>
  <w:abstractNum w:abstractNumId="2">
    <w:nsid w:val="680EA5D1"/>
    <w:multiLevelType w:val="hybridMultilevel"/>
    <w:lvl w:ilvl="0">
      <w:lvlJc w:val="left"/>
      <w:lvlText w:val="$"/>
      <w:numFmt w:val="bullet"/>
      <w:start w:val="1"/>
    </w:lvl>
  </w:abstractNum>
  <w:abstractNum w:abstractNumId="3">
    <w:nsid w:val="4A9554FE"/>
    <w:multiLevelType w:val="hybridMultilevel"/>
    <w:lvl w:ilvl="0">
      <w:lvlJc w:val="left"/>
      <w:lvlText w:val="(%1)"/>
      <w:numFmt w:val="decimal"/>
      <w:start w:val="1"/>
    </w:lvl>
  </w:abstractNum>
  <w:abstractNum w:abstractNumId="4">
    <w:nsid w:val="392EDBE4"/>
    <w:multiLevelType w:val="hybridMultilevel"/>
    <w:lvl w:ilvl="0">
      <w:lvlJc w:val="left"/>
      <w:lvlText w:val="•"/>
      <w:numFmt w:val="bullet"/>
      <w:start w:val="1"/>
    </w:lvl>
  </w:abstractNum>
  <w:abstractNum w:abstractNumId="5">
    <w:nsid w:val="3D1A2DD9"/>
    <w:multiLevelType w:val="hybridMultilevel"/>
    <w:lvl w:ilvl="0">
      <w:lvlJc w:val="left"/>
      <w:lvlText w:val="•"/>
      <w:numFmt w:val="bullet"/>
      <w:start w:val="1"/>
    </w:lvl>
  </w:abstractNum>
  <w:abstractNum w:abstractNumId="6">
    <w:nsid w:val="7F618FCD"/>
    <w:multiLevelType w:val="hybridMultilevel"/>
    <w:lvl w:ilvl="0">
      <w:lvlJc w:val="left"/>
      <w:lvlText w:val="•"/>
      <w:numFmt w:val="bullet"/>
      <w:start w:val="1"/>
    </w:lvl>
  </w:abstractNum>
  <w:abstractNum w:abstractNumId="7">
    <w:nsid w:val="7843E45"/>
    <w:multiLevelType w:val="hybridMultilevel"/>
    <w:lvl w:ilvl="0">
      <w:lvlJc w:val="left"/>
      <w:lvlText w:val="•"/>
      <w:numFmt w:val="bullet"/>
      <w:start w:val="1"/>
    </w:lvl>
  </w:abstractNum>
  <w:abstractNum w:abstractNumId="8">
    <w:nsid w:val="9815DA3"/>
    <w:multiLevelType w:val="hybridMultilevel"/>
    <w:lvl w:ilvl="0">
      <w:lvlJc w:val="left"/>
      <w:lvlText w:val="(%1)"/>
      <w:numFmt w:val="decimal"/>
      <w:start w:val="1"/>
    </w:lvl>
  </w:abstractNum>
  <w:abstractNum w:abstractNumId="9">
    <w:nsid w:val="5204A191"/>
    <w:multiLevelType w:val="hybridMultilevel"/>
    <w:lvl w:ilvl="0">
      <w:lvlJc w:val="left"/>
      <w:lvlText w:val="•"/>
      <w:numFmt w:val="bullet"/>
      <w:start w:val="1"/>
    </w:lvl>
  </w:abstractNum>
  <w:abstractNum w:abstractNumId="10">
    <w:nsid w:val="4C73A9C6"/>
    <w:multiLevelType w:val="hybridMultilevel"/>
    <w:lvl w:ilvl="0">
      <w:lvlJc w:val="left"/>
      <w:lvlText w:val="(%1)"/>
      <w:numFmt w:val="decimal"/>
      <w:start w:val="1"/>
    </w:lvl>
  </w:abstractNum>
  <w:abstractNum w:abstractNumId="11">
    <w:nsid w:val="1C7E3C01"/>
    <w:multiLevelType w:val="hybridMultilevel"/>
    <w:lvl w:ilvl="0">
      <w:lvlJc w:val="left"/>
      <w:lvlText w:val="*"/>
      <w:numFmt w:val="bullet"/>
      <w:start w:val="1"/>
    </w:lvl>
  </w:abstractNum>
  <w:abstractNum w:abstractNumId="12">
    <w:nsid w:val="1C2201FF"/>
    <w:multiLevelType w:val="hybridMultilevel"/>
    <w:lvl w:ilvl="0">
      <w:lvlJc w:val="left"/>
      <w:lvlText w:val="+"/>
      <w:numFmt w:val="bullet"/>
      <w:start w:val="1"/>
    </w:lvl>
  </w:abstractNum>
  <w:abstractNum w:abstractNumId="13">
    <w:nsid w:val="50ABCEC9"/>
    <w:multiLevelType w:val="hybridMultilevel"/>
    <w:lvl w:ilvl="0">
      <w:lvlJc w:val="left"/>
      <w:lvlText w:val="%1."/>
      <w:numFmt w:val="decimal"/>
      <w:start w:val="1"/>
    </w:lvl>
  </w:abstractNum>
  <w:abstractNum w:abstractNumId="14">
    <w:nsid w:val="7635AA2A"/>
    <w:multiLevelType w:val="hybridMultilevel"/>
    <w:lvl w:ilvl="0">
      <w:lvlJc w:val="left"/>
      <w:lvlText w:val="(%1)"/>
      <w:numFmt w:val="lowerLetter"/>
      <w:start w:val="3"/>
    </w:lvl>
  </w:abstractNum>
  <w:abstractNum w:abstractNumId="15">
    <w:nsid w:val="5E74C4D9"/>
    <w:multiLevelType w:val="hybridMultilevel"/>
    <w:lvl w:ilvl="0">
      <w:lvlJc w:val="left"/>
      <w:lvlText w:val="(%1)"/>
      <w:numFmt w:val="lowerLetter"/>
      <w:start w:val="1"/>
    </w:lvl>
  </w:abstractNum>
  <w:abstractNum w:abstractNumId="16">
    <w:nsid w:val="3B3EBE15"/>
    <w:multiLevelType w:val="hybridMultilevel"/>
    <w:lvl w:ilvl="0">
      <w:lvlJc w:val="left"/>
      <w:lvlText w:val="(%1)"/>
      <w:numFmt w:val="lowerLetter"/>
      <w:start w:val="1"/>
    </w:lvl>
  </w:abstractNum>
  <w:abstractNum w:abstractNumId="17">
    <w:nsid w:val="3822CB01"/>
    <w:multiLevelType w:val="hybridMultilevel"/>
    <w:lvl w:ilvl="0">
      <w:lvlJc w:val="left"/>
      <w:lvlText w:val="(%1)"/>
      <w:numFmt w:val="lowerLetter"/>
      <w:start w:val="1"/>
    </w:lvl>
  </w:abstractNum>
  <w:abstractNum w:abstractNumId="18">
    <w:nsid w:val="6CE00443"/>
    <w:multiLevelType w:val="hybridMultilevel"/>
    <w:lvl w:ilvl="0">
      <w:lvlJc w:val="left"/>
      <w:lvlText w:val="(%1)"/>
      <w:numFmt w:val="lowerLetter"/>
      <w:start w:val="9"/>
    </w:lvl>
  </w:abstractNum>
  <w:abstractNum w:abstractNumId="19">
    <w:nsid w:val="79F0D62F"/>
    <w:multiLevelType w:val="hybridMultilevel"/>
    <w:lvl w:ilvl="0">
      <w:lvlJc w:val="left"/>
      <w:lvlText w:val="(%1)"/>
      <w:numFmt w:val="lowerLetter"/>
      <w:start w:val="1"/>
    </w:lvl>
    <w:lvl w:ilvl="1">
      <w:lvlJc w:val="left"/>
      <w:lvlText w:val="(%2)"/>
      <w:numFmt w:val="lowerRoman"/>
      <w:start w:val="1"/>
    </w:lvl>
  </w:abstractNum>
  <w:abstractNum w:abstractNumId="20">
    <w:nsid w:val="7975E8EE"/>
    <w:multiLevelType w:val="hybridMultilevel"/>
    <w:lvl w:ilvl="0">
      <w:lvlJc w:val="left"/>
      <w:lvlText w:val="(%1)"/>
      <w:numFmt w:val="lowerLetter"/>
      <w:start w:val="1"/>
    </w:lvl>
  </w:abstractNum>
  <w:abstractNum w:abstractNumId="21">
    <w:nsid w:val="73154115"/>
    <w:multiLevelType w:val="hybridMultilevel"/>
    <w:lvl w:ilvl="0">
      <w:lvlJc w:val="left"/>
      <w:lvlText w:val="(%1)"/>
      <w:numFmt w:val="lowerLetter"/>
      <w:start w:val="1"/>
    </w:lvl>
  </w:abstractNum>
  <w:abstractNum w:abstractNumId="22">
    <w:nsid w:val="622D8102"/>
    <w:multiLevelType w:val="hybridMultilevel"/>
    <w:lvl w:ilvl="0">
      <w:lvlJc w:val="left"/>
      <w:lvlText w:val="(%1)"/>
      <w:numFmt w:val="lowerLetter"/>
      <w:start w:val="2"/>
    </w:lvl>
  </w:abstractNum>
  <w:abstractNum w:abstractNumId="23">
    <w:nsid w:val="2AB26587"/>
    <w:multiLevelType w:val="hybridMultilevel"/>
    <w:lvl w:ilvl="0">
      <w:lvlJc w:val="left"/>
      <w:lvlText w:val="(%1)"/>
      <w:numFmt w:val="lowerLetter"/>
      <w:start w:val="1"/>
    </w:lvl>
    <w:lvl w:ilvl="1">
      <w:lvlJc w:val="left"/>
      <w:lvlText w:val="(%2)"/>
      <w:numFmt w:val="lowerRoman"/>
      <w:start w:val="1"/>
    </w:lvl>
  </w:abstractNum>
  <w:abstractNum w:abstractNumId="24">
    <w:nsid w:val="44B3FA61"/>
    <w:multiLevelType w:val="hybridMultilevel"/>
    <w:lvl w:ilvl="0">
      <w:lvlJc w:val="left"/>
      <w:lvlText w:val="(%1)"/>
      <w:numFmt w:val="lowerLetter"/>
      <w:start w:val="5"/>
    </w:lvl>
  </w:abstractNum>
  <w:abstractNum w:abstractNumId="25">
    <w:nsid w:val="1C0CA67C"/>
    <w:multiLevelType w:val="hybridMultilevel"/>
    <w:lvl w:ilvl="0">
      <w:lvlJc w:val="left"/>
      <w:lvlText w:val="(%1)"/>
      <w:numFmt w:val="lowerLetter"/>
      <w:start w:val="3"/>
    </w:lvl>
  </w:abstractNum>
  <w:abstractNum w:abstractNumId="26">
    <w:nsid w:val="3D206613"/>
    <w:multiLevelType w:val="hybridMultilevel"/>
    <w:lvl w:ilvl="0">
      <w:lvlJc w:val="left"/>
      <w:lvlText w:val="(%1)"/>
      <w:numFmt w:val="lowerRoman"/>
      <w:start w:val="1"/>
    </w:lvl>
  </w:abstractNum>
  <w:abstractNum w:abstractNumId="27">
    <w:nsid w:val="7993B662"/>
    <w:multiLevelType w:val="hybridMultilevel"/>
    <w:lvl w:ilvl="0">
      <w:lvlJc w:val="left"/>
      <w:lvlText w:val="(%1)"/>
      <w:numFmt w:val="lowerLetter"/>
      <w:start w:val="5"/>
    </w:lvl>
  </w:abstractNum>
  <w:abstractNum w:abstractNumId="28">
    <w:nsid w:val="3BAB699E"/>
    <w:multiLevelType w:val="hybridMultilevel"/>
    <w:lvl w:ilvl="0">
      <w:lvlJc w:val="left"/>
      <w:lvlText w:val="%1."/>
      <w:numFmt w:val="decimal"/>
      <w:start w:val="2"/>
    </w:lvl>
  </w:abstractNum>
  <w:abstractNum w:abstractNumId="29">
    <w:nsid w:val="71315369"/>
    <w:multiLevelType w:val="hybridMultilevel"/>
    <w:lvl w:ilvl="0">
      <w:lvlJc w:val="left"/>
      <w:lvlText w:val="(%1)"/>
      <w:numFmt w:val="lowerLetter"/>
      <w:start w:val="1"/>
    </w:lvl>
  </w:abstractNum>
  <w:abstractNum w:abstractNumId="30">
    <w:nsid w:val="7BCFBAFC"/>
    <w:multiLevelType w:val="hybridMultilevel"/>
    <w:lvl w:ilvl="0">
      <w:lvlJc w:val="left"/>
      <w:lvlText w:val="(%1)"/>
      <w:numFmt w:val="lowerLetter"/>
      <w:start w:val="1"/>
    </w:lvl>
    <w:lvl w:ilvl="1">
      <w:lvlJc w:val="left"/>
      <w:lvlText w:val="(%2)"/>
      <w:numFmt w:val="lowerLetter"/>
      <w:start w:val="9"/>
    </w:lvl>
  </w:abstractNum>
  <w:abstractNum w:abstractNumId="31">
    <w:nsid w:val="17859F72"/>
    <w:multiLevelType w:val="hybridMultilevel"/>
    <w:lvl w:ilvl="0">
      <w:lvlJc w:val="left"/>
      <w:lvlText w:val="%1"/>
      <w:numFmt w:val="lowerRoman"/>
      <w:start w:val="1"/>
    </w:lvl>
    <w:lvl w:ilvl="1">
      <w:lvlJc w:val="left"/>
      <w:lvlText w:val="(%2)"/>
      <w:numFmt w:val="upperLetter"/>
      <w:start w:val="1"/>
    </w:lvl>
  </w:abstractNum>
  <w:abstractNum w:abstractNumId="32">
    <w:nsid w:val="3AA10581"/>
    <w:multiLevelType w:val="hybridMultilevel"/>
    <w:lvl w:ilvl="0">
      <w:lvlJc w:val="left"/>
      <w:lvlText w:val="(%1)"/>
      <w:numFmt w:val="lowerRoman"/>
      <w:start w:val="2"/>
    </w:lvl>
    <w:lvl w:ilvl="1">
      <w:lvlJc w:val="left"/>
      <w:lvlText w:val="(%2)"/>
      <w:numFmt w:val="upperLetter"/>
      <w:start w:val="1"/>
    </w:lvl>
  </w:abstractNum>
  <w:abstractNum w:abstractNumId="33">
    <w:nsid w:val="63DE60C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4">
    <w:nsid w:val="621AF471"/>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35">
    <w:nsid w:val="73CFE16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6">
    <w:nsid w:val="20F88EA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7">
    <w:nsid w:val="617C843E"/>
    <w:multiLevelType w:val="hybridMultilevel"/>
    <w:lvl w:ilvl="0">
      <w:lvlJc w:val="left"/>
      <w:lvlText w:val="%1"/>
      <w:numFmt w:val="lowerRoman"/>
      <w:start w:val="1"/>
    </w:lvl>
    <w:lvl w:ilvl="1">
      <w:lvlJc w:val="left"/>
      <w:lvlText w:val="(%2)"/>
      <w:numFmt w:val="upperLetter"/>
      <w:start w:val="2"/>
    </w:lvl>
  </w:abstractNum>
  <w:abstractNum w:abstractNumId="38">
    <w:nsid w:val="7B541FAB"/>
    <w:multiLevelType w:val="hybridMultilevel"/>
    <w:lvl w:ilvl="0">
      <w:lvlJc w:val="left"/>
      <w:lvlText w:val="(%1)"/>
      <w:numFmt w:val="lowerRoman"/>
      <w:start w:val="5"/>
    </w:lvl>
    <w:lvl w:ilvl="1">
      <w:lvlJc w:val="left"/>
      <w:lvlText w:val="%2"/>
      <w:numFmt w:val="upperLetter"/>
      <w:start w:val="1"/>
    </w:lvl>
  </w:abstractNum>
  <w:abstractNum w:abstractNumId="39">
    <w:nsid w:val="2A79EC49"/>
    <w:multiLevelType w:val="hybridMultilevel"/>
    <w:lvl w:ilvl="0">
      <w:lvlJc w:val="left"/>
      <w:lvlText w:val="(%1)"/>
      <w:numFmt w:val="lowerLetter"/>
      <w:start w:val="1"/>
    </w:lvl>
  </w:abstractNum>
  <w:abstractNum w:abstractNumId="40">
    <w:nsid w:val="338125CF"/>
    <w:multiLevelType w:val="hybridMultilevel"/>
    <w:lvl w:ilvl="0">
      <w:lvlJc w:val="left"/>
      <w:lvlText w:val="(%1)"/>
      <w:numFmt w:val="lowerRoman"/>
      <w:start w:val="1"/>
    </w:lvl>
    <w:lvl w:ilvl="1">
      <w:lvlJc w:val="left"/>
      <w:lvlText w:val="(%2)"/>
      <w:numFmt w:val="upperLetter"/>
      <w:start w:val="1"/>
    </w:lvl>
  </w:abstractNum>
  <w:abstractNum w:abstractNumId="41">
    <w:nsid w:val="47C7C971"/>
    <w:multiLevelType w:val="hybridMultilevel"/>
    <w:lvl w:ilvl="0">
      <w:lvlJc w:val="left"/>
      <w:lvlText w:val="%1"/>
      <w:numFmt w:val="lowerLetter"/>
      <w:start w:val="1"/>
    </w:lvl>
    <w:lvl w:ilvl="1">
      <w:lvlJc w:val="left"/>
      <w:lvlText w:val="(%2)"/>
      <w:numFmt w:val="lowerRoman"/>
      <w:start w:val="3"/>
    </w:lvl>
  </w:abstractNum>
  <w:abstractNum w:abstractNumId="42">
    <w:nsid w:val="46F8284B"/>
    <w:multiLevelType w:val="hybridMultilevel"/>
    <w:lvl w:ilvl="0">
      <w:lvlJc w:val="left"/>
      <w:lvlText w:val="(%1)"/>
      <w:numFmt w:val="lowerLetter"/>
      <w:start w:val="5"/>
    </w:lvl>
    <w:lvl w:ilvl="1">
      <w:lvlJc w:val="left"/>
      <w:lvlText w:val="%2"/>
      <w:numFmt w:val="lowerRoman"/>
      <w:start w:val="1"/>
    </w:lvl>
  </w:abstractNum>
  <w:abstractNum w:abstractNumId="43">
    <w:nsid w:val="4FA327CE"/>
    <w:multiLevelType w:val="hybridMultilevel"/>
    <w:lvl w:ilvl="0">
      <w:lvlJc w:val="left"/>
      <w:lvlText w:val="%1"/>
      <w:numFmt w:val="decimal"/>
      <w:start w:val="1"/>
    </w:lvl>
    <w:lvl w:ilvl="1">
      <w:lvlJc w:val="left"/>
      <w:lvlText w:val="(%2)"/>
      <w:numFmt w:val="lowerLetter"/>
      <w:start w:val="6"/>
    </w:lvl>
  </w:abstractNum>
  <w:abstractNum w:abstractNumId="44">
    <w:nsid w:val="1873983A"/>
    <w:multiLevelType w:val="hybridMultilevel"/>
    <w:lvl w:ilvl="0">
      <w:lvlJc w:val="left"/>
      <w:lvlText w:val="%1."/>
      <w:numFmt w:val="decimal"/>
      <w:start w:val="3"/>
    </w:lvl>
    <w:lvl w:ilvl="1">
      <w:lvlJc w:val="left"/>
      <w:lvlText w:val="%2"/>
      <w:numFmt w:val="lowerLetter"/>
      <w:start w:val="1"/>
    </w:lvl>
  </w:abstractNum>
  <w:abstractNum w:abstractNumId="45">
    <w:nsid w:val="3D2DD275"/>
    <w:multiLevelType w:val="hybridMultilevel"/>
    <w:lvl w:ilvl="0">
      <w:lvlJc w:val="left"/>
      <w:lvlText w:val="(%1)"/>
      <w:numFmt w:val="lowerLetter"/>
      <w:start w:val="1"/>
    </w:lvl>
  </w:abstractNum>
  <w:abstractNum w:abstractNumId="46">
    <w:nsid w:val="2E17ECA7"/>
    <w:multiLevelType w:val="hybridMultilevel"/>
    <w:lvl w:ilvl="0">
      <w:lvlJc w:val="left"/>
      <w:lvlText w:val="(%1)"/>
      <w:numFmt w:val="lowerLetter"/>
      <w:start w:val="1"/>
    </w:lvl>
  </w:abstractNum>
  <w:abstractNum w:abstractNumId="47">
    <w:nsid w:val="53B2564F"/>
    <w:multiLevelType w:val="hybridMultilevel"/>
    <w:lvl w:ilvl="0">
      <w:lvlJc w:val="left"/>
      <w:lvlText w:val="(%1)"/>
      <w:numFmt w:val="lowerLetter"/>
      <w:start w:val="6"/>
    </w:lvl>
  </w:abstractNum>
  <w:abstractNum w:abstractNumId="48">
    <w:nsid w:val="75509D76"/>
    <w:multiLevelType w:val="hybridMultilevel"/>
    <w:lvl w:ilvl="0">
      <w:lvlJc w:val="left"/>
      <w:lvlText w:val="(%1)"/>
      <w:numFmt w:val="lowerLetter"/>
      <w:start w:val="1"/>
    </w:lvl>
  </w:abstractNum>
  <w:abstractNum w:abstractNumId="49">
    <w:nsid w:val="1AF7F0EA"/>
    <w:multiLevelType w:val="hybridMultilevel"/>
    <w:lvl w:ilvl="0">
      <w:lvlJc w:val="left"/>
      <w:lvlText w:val="(%1)"/>
      <w:numFmt w:val="lowerLetter"/>
      <w:start w:val="1"/>
    </w:lvl>
  </w:abstractNum>
  <w:abstractNum w:abstractNumId="50">
    <w:nsid w:val="4DA32C7E"/>
    <w:multiLevelType w:val="hybridMultilevel"/>
    <w:lvl w:ilvl="0">
      <w:lvlJc w:val="left"/>
      <w:lvlText w:val="%1."/>
      <w:numFmt w:val="decimal"/>
      <w:start w:val="4"/>
    </w:lvl>
  </w:abstractNum>
  <w:abstractNum w:abstractNumId="51">
    <w:nsid w:val="6EC68664"/>
    <w:multiLevelType w:val="hybridMultilevel"/>
    <w:lvl w:ilvl="0">
      <w:lvlJc w:val="left"/>
      <w:lvlText w:val="(%1)"/>
      <w:numFmt w:val="lowerLetter"/>
      <w:start w:val="1"/>
    </w:lvl>
  </w:abstractNum>
  <w:abstractNum w:abstractNumId="52">
    <w:nsid w:val="E0D31F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3">
    <w:nsid w:val="2FD0AD81"/>
    <w:multiLevelType w:val="hybridMultilevel"/>
    <w:lvl w:ilvl="0">
      <w:lvlJc w:val="left"/>
      <w:lvlText w:val="%1"/>
      <w:numFmt w:val="lowerRoman"/>
      <w:start w:val="1"/>
    </w:lvl>
    <w:lvl w:ilvl="1">
      <w:lvlJc w:val="left"/>
      <w:lvlText w:val="(%2)"/>
      <w:numFmt w:val="upperLetter"/>
      <w:start w:val="2"/>
    </w:lvl>
  </w:abstractNum>
  <w:abstractNum w:abstractNumId="54">
    <w:nsid w:val="1978EBEB"/>
    <w:multiLevelType w:val="hybridMultilevel"/>
    <w:lvl w:ilvl="0">
      <w:lvlJc w:val="left"/>
      <w:lvlText w:val="(%1)"/>
      <w:numFmt w:val="lowerRoman"/>
      <w:start w:val="2"/>
    </w:lvl>
    <w:lvl w:ilvl="1">
      <w:lvlJc w:val="left"/>
      <w:lvlText w:val="%2"/>
      <w:numFmt w:val="upperLetter"/>
      <w:start w:val="1"/>
    </w:lvl>
  </w:abstractNum>
  <w:abstractNum w:abstractNumId="55">
    <w:nsid w:val="52C12C61"/>
    <w:multiLevelType w:val="hybridMultilevel"/>
    <w:lvl w:ilvl="0">
      <w:lvlJc w:val="left"/>
      <w:lvlText w:val="(%1)"/>
      <w:numFmt w:val="lowerLetter"/>
      <w:start w:val="61"/>
    </w:lvl>
    <w:lvl w:ilvl="1">
      <w:lvlJc w:val="left"/>
      <w:lvlText w:val="(%2)"/>
      <w:numFmt w:val="lowerLetter"/>
      <w:start w:val="22"/>
    </w:lvl>
  </w:abstractNum>
  <w:abstractNum w:abstractNumId="56">
    <w:nsid w:val="4BDD53FD"/>
    <w:multiLevelType w:val="hybridMultilevel"/>
    <w:lvl w:ilvl="0">
      <w:lvlJc w:val="left"/>
      <w:lvlText w:val="%1"/>
      <w:numFmt w:val="lowerLetter"/>
      <w:start w:val="1"/>
    </w:lvl>
    <w:lvl w:ilvl="1">
      <w:lvlJc w:val="left"/>
      <w:lvlText w:val="(%2)"/>
      <w:numFmt w:val="lowerLetter"/>
      <w:start w:val="25"/>
    </w:lvl>
  </w:abstractNum>
  <w:abstractNum w:abstractNumId="57">
    <w:nsid w:val="569951FE"/>
    <w:multiLevelType w:val="hybridMultilevel"/>
    <w:lvl w:ilvl="0">
      <w:lvlJc w:val="left"/>
      <w:lvlText w:val="(%1)"/>
      <w:numFmt w:val="lowerRoman"/>
      <w:start w:val="4"/>
    </w:lvl>
  </w:abstractNum>
  <w:abstractNum w:abstractNumId="58">
    <w:nsid w:val="4C54E2C3"/>
    <w:multiLevelType w:val="hybridMultilevel"/>
    <w:lvl w:ilvl="0">
      <w:lvlJc w:val="left"/>
      <w:lvlText w:val="(%1)"/>
      <w:numFmt w:val="lowerRoman"/>
      <w:start w:val="6"/>
    </w:lvl>
    <w:lvl w:ilvl="1">
      <w:lvlJc w:val="left"/>
      <w:lvlText w:val="(%2)"/>
      <w:numFmt w:val="upperLetter"/>
      <w:start w:val="1"/>
    </w:lvl>
  </w:abstractNum>
  <w:abstractNum w:abstractNumId="59">
    <w:nsid w:val="788BD9B"/>
    <w:multiLevelType w:val="hybridMultilevel"/>
    <w:lvl w:ilvl="0">
      <w:lvlJc w:val="left"/>
      <w:lvlText w:val="%1"/>
      <w:numFmt w:val="lowerRoman"/>
      <w:start w:val="1"/>
    </w:lvl>
    <w:lvl w:ilvl="1">
      <w:lvlJc w:val="left"/>
      <w:lvlText w:val="(%2)"/>
      <w:numFmt w:val="upperLetter"/>
      <w:start w:val="7"/>
    </w:lvl>
  </w:abstractNum>
  <w:abstractNum w:abstractNumId="60">
    <w:nsid w:val="47CAA567"/>
    <w:multiLevelType w:val="hybridMultilevel"/>
    <w:lvl w:ilvl="0">
      <w:lvlJc w:val="left"/>
      <w:lvlText w:val="(%1)"/>
      <w:numFmt w:val="lowerRoman"/>
      <w:start w:val="9"/>
    </w:lvl>
    <w:lvl w:ilvl="1">
      <w:lvlJc w:val="left"/>
      <w:lvlText w:val="%2"/>
      <w:numFmt w:val="upperLetter"/>
      <w:start w:val="1"/>
    </w:lvl>
  </w:abstractNum>
  <w:abstractNum w:abstractNumId="61">
    <w:nsid w:val="48249DBF"/>
    <w:multiLevelType w:val="hybridMultilevel"/>
    <w:lvl w:ilvl="0">
      <w:lvlJc w:val="left"/>
      <w:lvlText w:val="(%1)"/>
      <w:numFmt w:val="lowerRoman"/>
      <w:start w:val="17"/>
    </w:lvl>
    <w:lvl w:ilvl="1">
      <w:lvlJc w:val="left"/>
      <w:lvlText w:val="(%2)"/>
      <w:numFmt w:val="lowerRoman"/>
      <w:start w:val="1"/>
    </w:lvl>
  </w:abstractNum>
  <w:abstractNum w:abstractNumId="62">
    <w:nsid w:val="1F0E5D0D"/>
    <w:multiLevelType w:val="hybridMultilevel"/>
    <w:lvl w:ilvl="0">
      <w:lvlJc w:val="left"/>
      <w:lvlText w:val="(%1)"/>
      <w:numFmt w:val="lowerRoman"/>
      <w:start w:val="19"/>
    </w:lvl>
    <w:lvl w:ilvl="1">
      <w:lvlJc w:val="left"/>
      <w:lvlText w:val="(%2)"/>
      <w:numFmt w:val="upperLetter"/>
      <w:start w:val="1"/>
    </w:lvl>
  </w:abstractNum>
  <w:abstractNum w:abstractNumId="63">
    <w:nsid w:val="26BAAE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64">
    <w:nsid w:val="2C02FE8C"/>
    <w:multiLevelType w:val="hybridMultilevel"/>
    <w:lvl w:ilvl="0">
      <w:lvlJc w:val="left"/>
      <w:lvlText w:val="%1"/>
      <w:numFmt w:val="lowerLetter"/>
      <w:start w:val="1"/>
    </w:lvl>
    <w:lvl w:ilvl="1">
      <w:lvlJc w:val="left"/>
      <w:lvlText w:val="(%2)"/>
      <w:numFmt w:val="lowerLetter"/>
      <w:start w:val="50"/>
    </w:lvl>
    <w:lvl w:ilvl="2">
      <w:lvlJc w:val="left"/>
      <w:lvlText w:val="%3"/>
      <w:numFmt w:val="upperLetter"/>
      <w:start w:val="1"/>
    </w:lvl>
  </w:abstractNum>
  <w:abstractNum w:abstractNumId="65">
    <w:nsid w:val="129517E"/>
    <w:multiLevelType w:val="hybridMultilevel"/>
    <w:lvl w:ilvl="0">
      <w:lvlJc w:val="left"/>
      <w:lvlText w:val="(%1)"/>
      <w:numFmt w:val="lowerLetter"/>
      <w:start w:val="12"/>
    </w:lvl>
    <w:lvl w:ilvl="1">
      <w:lvlJc w:val="left"/>
      <w:lvlText w:val="(%2)"/>
      <w:numFmt w:val="lowerLetter"/>
      <w:start w:val="9"/>
    </w:lvl>
    <w:lvl w:ilvl="2">
      <w:lvlJc w:val="left"/>
      <w:lvlText w:val="%3"/>
      <w:numFmt w:val="upperLetter"/>
      <w:start w:val="1"/>
    </w:lvl>
  </w:abstractNum>
  <w:abstractNum w:abstractNumId="66">
    <w:nsid w:val="763B8C4E"/>
    <w:multiLevelType w:val="hybridMultilevel"/>
    <w:lvl w:ilvl="0">
      <w:lvlJc w:val="left"/>
      <w:lvlText w:val="(%1)"/>
      <w:numFmt w:val="lowerRoman"/>
      <w:start w:val="2"/>
    </w:lvl>
  </w:abstractNum>
  <w:abstractNum w:abstractNumId="67">
    <w:nsid w:val="4CFB8D32"/>
    <w:multiLevelType w:val="hybridMultilevel"/>
    <w:lvl w:ilvl="0">
      <w:lvlJc w:val="left"/>
      <w:lvlText w:val="(%1)"/>
      <w:numFmt w:val="lowerLetter"/>
      <w:start w:val="1"/>
    </w:lvl>
  </w:abstractNum>
  <w:abstractNum w:abstractNumId="68">
    <w:nsid w:val="62A5D5BD"/>
    <w:multiLevelType w:val="hybridMultilevel"/>
    <w:lvl w:ilvl="0">
      <w:lvlJc w:val="left"/>
      <w:lvlText w:val="(%1)"/>
      <w:numFmt w:val="lowerLetter"/>
      <w:start w:val="1"/>
    </w:lvl>
  </w:abstractNum>
  <w:abstractNum w:abstractNumId="69">
    <w:nsid w:val="718FABF9"/>
    <w:multiLevelType w:val="hybridMultilevel"/>
    <w:lvl w:ilvl="0">
      <w:lvlJc w:val="left"/>
      <w:lvlText w:val="(%1)"/>
      <w:numFmt w:val="lowerLetter"/>
      <w:start w:val="4"/>
    </w:lvl>
    <w:lvl w:ilvl="1">
      <w:lvlJc w:val="left"/>
      <w:lvlText w:val="(%2)"/>
      <w:numFmt w:val="lowerRoman"/>
      <w:start w:val="1"/>
    </w:lvl>
  </w:abstractNum>
  <w:abstractNum w:abstractNumId="70">
    <w:nsid w:val="7775797C"/>
    <w:multiLevelType w:val="hybridMultilevel"/>
    <w:lvl w:ilvl="0">
      <w:lvlJc w:val="left"/>
      <w:lvlText w:val="(%1)"/>
      <w:numFmt w:val="lowerLetter"/>
      <w:start w:val="1"/>
    </w:lvl>
  </w:abstractNum>
  <w:abstractNum w:abstractNumId="71">
    <w:nsid w:val="1626FB8C"/>
    <w:multiLevelType w:val="hybridMultilevel"/>
    <w:lvl w:ilvl="0">
      <w:lvlJc w:val="left"/>
      <w:lvlText w:val="(%1)"/>
      <w:numFmt w:val="lowerLetter"/>
      <w:start w:val="2"/>
    </w:lvl>
    <w:lvl w:ilvl="1">
      <w:lvlJc w:val="left"/>
      <w:lvlText w:val="(%2)"/>
      <w:numFmt w:val="lowerRoman"/>
      <w:start w:val="1"/>
    </w:lvl>
  </w:abstractNum>
  <w:abstractNum w:abstractNumId="72">
    <w:nsid w:val="3957756A"/>
    <w:multiLevelType w:val="hybridMultilevel"/>
    <w:lvl w:ilvl="0">
      <w:lvlJc w:val="left"/>
      <w:lvlText w:val="(%1)"/>
      <w:numFmt w:val="lowerLetter"/>
      <w:start w:val="3"/>
    </w:lvl>
  </w:abstractNum>
  <w:abstractNum w:abstractNumId="73">
    <w:nsid w:val="3E6DA1C7"/>
    <w:multiLevelType w:val="hybridMultilevel"/>
    <w:lvl w:ilvl="0">
      <w:lvlJc w:val="left"/>
      <w:lvlText w:val="(%1)"/>
      <w:numFmt w:val="lowerLetter"/>
      <w:start w:val="1"/>
    </w:lvl>
  </w:abstractNum>
  <w:abstractNum w:abstractNumId="74">
    <w:nsid w:val="65CA235B"/>
    <w:multiLevelType w:val="hybridMultilevel"/>
    <w:lvl w:ilvl="0">
      <w:lvlJc w:val="left"/>
      <w:lvlText w:val="(%1)"/>
      <w:numFmt w:val="lowerRoman"/>
      <w:start w:val="1"/>
    </w:lvl>
  </w:abstractNum>
  <w:abstractNum w:abstractNumId="75">
    <w:nsid w:val="51CB0DA4"/>
    <w:multiLevelType w:val="hybridMultilevel"/>
    <w:lvl w:ilvl="0">
      <w:lvlJc w:val="left"/>
      <w:lvlText w:val="(%1)"/>
      <w:numFmt w:val="lowerLetter"/>
      <w:start w:val="2"/>
    </w:lvl>
    <w:lvl w:ilvl="1">
      <w:lvlJc w:val="left"/>
      <w:lvlText w:val="(%2)"/>
      <w:numFmt w:val="lowerRoman"/>
      <w:start w:val="1"/>
    </w:lvl>
  </w:abstractNum>
  <w:abstractNum w:abstractNumId="76">
    <w:nsid w:val="7B9B743C"/>
    <w:multiLevelType w:val="hybridMultilevel"/>
    <w:lvl w:ilvl="0">
      <w:lvlJc w:val="left"/>
      <w:lvlText w:val="(%1)"/>
      <w:numFmt w:val="lowerLetter"/>
      <w:start w:val="3"/>
    </w:lvl>
    <w:lvl w:ilvl="1">
      <w:lvlJc w:val="left"/>
      <w:lvlText w:val="(%2)"/>
      <w:numFmt w:val="lowerRoman"/>
      <w:start w:val="1"/>
    </w:lvl>
  </w:abstractNum>
  <w:abstractNum w:abstractNumId="77">
    <w:nsid w:val="13E21002"/>
    <w:multiLevelType w:val="hybridMultilevel"/>
    <w:lvl w:ilvl="0">
      <w:lvlJc w:val="left"/>
      <w:lvlText w:val="(%1)"/>
      <w:numFmt w:val="lowerLetter"/>
      <w:start w:val="1"/>
    </w:lvl>
  </w:abstractNum>
  <w:abstractNum w:abstractNumId="78">
    <w:nsid w:val="257D63F4"/>
    <w:multiLevelType w:val="hybridMultilevel"/>
    <w:lvl w:ilvl="0">
      <w:lvlJc w:val="left"/>
      <w:lvlText w:val="(%1)"/>
      <w:numFmt w:val="lowerLetter"/>
      <w:start w:val="1"/>
    </w:lvl>
  </w:abstractNum>
  <w:abstractNum w:abstractNumId="79">
    <w:nsid w:val="70EC11B2"/>
    <w:multiLevelType w:val="hybridMultilevel"/>
    <w:lvl w:ilvl="0">
      <w:lvlJc w:val="left"/>
      <w:lvlText w:val="(%1)"/>
      <w:numFmt w:val="lowerLetter"/>
      <w:start w:val="3"/>
    </w:lvl>
  </w:abstractNum>
  <w:abstractNum w:abstractNumId="80">
    <w:nsid w:val="2EDA00ED"/>
    <w:multiLevelType w:val="hybridMultilevel"/>
    <w:lvl w:ilvl="0">
      <w:lvlJc w:val="left"/>
      <w:lvlText w:val="(%1)"/>
      <w:numFmt w:val="lowerLetter"/>
      <w:start w:val="1"/>
    </w:lvl>
  </w:abstractNum>
  <w:abstractNum w:abstractNumId="81">
    <w:nsid w:val="73209072"/>
    <w:multiLevelType w:val="hybridMultilevel"/>
    <w:lvl w:ilvl="0">
      <w:lvlJc w:val="left"/>
      <w:lvlText w:val="(%1)"/>
      <w:numFmt w:val="lowerLetter"/>
      <w:start w:val="1"/>
    </w:lvl>
  </w:abstractNum>
  <w:abstractNum w:abstractNumId="82">
    <w:nsid w:val="5FB29816"/>
    <w:multiLevelType w:val="hybridMultilevel"/>
    <w:lvl w:ilvl="0">
      <w:lvlJc w:val="left"/>
      <w:lvlText w:val="(%1)"/>
      <w:numFmt w:val="lowerLetter"/>
      <w:start w:val="2"/>
    </w:lvl>
  </w:abstractNum>
  <w:abstractNum w:abstractNumId="83">
    <w:nsid w:val="3CE732EC"/>
    <w:multiLevelType w:val="hybridMultilevel"/>
    <w:lvl w:ilvl="0">
      <w:lvlJc w:val="left"/>
      <w:lvlText w:val="(%1)"/>
      <w:numFmt w:val="lowerLetter"/>
      <w:start w:val="1"/>
    </w:lvl>
  </w:abstractNum>
  <w:abstractNum w:abstractNumId="84">
    <w:nsid w:val="22F13DF3"/>
    <w:multiLevelType w:val="hybridMultilevel"/>
    <w:lvl w:ilvl="0">
      <w:lvlJc w:val="left"/>
      <w:lvlText w:val="%1."/>
      <w:numFmt w:val="decimal"/>
      <w:start w:val="5"/>
    </w:lvl>
  </w:abstractNum>
  <w:abstractNum w:abstractNumId="85">
    <w:nsid w:val="792B8401"/>
    <w:multiLevelType w:val="hybridMultilevel"/>
    <w:lvl w:ilvl="0">
      <w:lvlJc w:val="left"/>
      <w:lvlText w:val="(%1)"/>
      <w:numFmt w:val="lowerLetter"/>
      <w:start w:val="1"/>
    </w:lvl>
  </w:abstractNum>
  <w:abstractNum w:abstractNumId="86">
    <w:nsid w:val="FA85F4D"/>
    <w:multiLevelType w:val="hybridMultilevel"/>
    <w:lvl w:ilvl="0">
      <w:lvlJc w:val="left"/>
      <w:lvlText w:val="%1."/>
      <w:numFmt w:val="decimal"/>
      <w:start w:val="6"/>
    </w:lvl>
  </w:abstractNum>
  <w:abstractNum w:abstractNumId="87">
    <w:nsid w:val="6ECE91F0"/>
    <w:multiLevelType w:val="hybridMultilevel"/>
    <w:lvl w:ilvl="0">
      <w:lvlJc w:val="left"/>
      <w:lvlText w:val="(%1)"/>
      <w:numFmt w:val="lowerLetter"/>
      <w:start w:val="1"/>
    </w:lvl>
  </w:abstractNum>
  <w:abstractNum w:abstractNumId="88">
    <w:nsid w:val="4FC4D600"/>
    <w:multiLevelType w:val="hybridMultilevel"/>
    <w:lvl w:ilvl="0">
      <w:lvlJc w:val="left"/>
      <w:lvlText w:val="(%1)"/>
      <w:numFmt w:val="lowerLetter"/>
      <w:start w:val="2"/>
    </w:lvl>
    <w:lvl w:ilvl="1">
      <w:lvlJc w:val="left"/>
      <w:lvlText w:val="(%2)"/>
      <w:numFmt w:val="lowerLetter"/>
      <w:start w:val="61"/>
    </w:lvl>
  </w:abstractNum>
  <w:abstractNum w:abstractNumId="89">
    <w:nsid w:val="5BFD4210"/>
    <w:multiLevelType w:val="hybridMultilevel"/>
    <w:lvl w:ilvl="0">
      <w:lvlJc w:val="left"/>
      <w:lvlText w:val="(%1)"/>
      <w:numFmt w:val="lowerLetter"/>
      <w:start w:val="11"/>
    </w:lvl>
  </w:abstractNum>
  <w:abstractNum w:abstractNumId="90">
    <w:nsid w:val="76574F8B"/>
    <w:multiLevelType w:val="hybridMultilevel"/>
    <w:lvl w:ilvl="0">
      <w:lvlJc w:val="left"/>
      <w:lvlText w:val="(%1)"/>
      <w:numFmt w:val="lowerLetter"/>
      <w:start w:val="1"/>
    </w:lvl>
  </w:abstractNum>
  <w:abstractNum w:abstractNumId="91">
    <w:nsid w:val="178F7B67"/>
    <w:multiLevelType w:val="hybridMultilevel"/>
    <w:lvl w:ilvl="0">
      <w:lvlJc w:val="left"/>
      <w:lvlText w:val="%1."/>
      <w:numFmt w:val="decimal"/>
      <w:start w:val="7"/>
    </w:lvl>
  </w:abstractNum>
  <w:abstractNum w:abstractNumId="92">
    <w:nsid w:val="2421DFCF"/>
    <w:multiLevelType w:val="hybridMultilevel"/>
    <w:lvl w:ilvl="0">
      <w:lvlJc w:val="left"/>
      <w:lvlText w:val="(%1)"/>
      <w:numFmt w:val="lowerLetter"/>
      <w:start w:val="1"/>
    </w:lvl>
    <w:lvl w:ilvl="1">
      <w:lvlJc w:val="left"/>
      <w:lvlText w:val="(%2)"/>
      <w:numFmt w:val="lowerRoman"/>
      <w:start w:val="1"/>
    </w:lvl>
  </w:abstractNum>
  <w:abstractNum w:abstractNumId="93">
    <w:nsid w:val="1565AC99"/>
    <w:multiLevelType w:val="hybridMultilevel"/>
    <w:lvl w:ilvl="0">
      <w:lvlJc w:val="left"/>
      <w:lvlText w:val="(%1)"/>
      <w:numFmt w:val="lowerLetter"/>
      <w:start w:val="3"/>
    </w:lvl>
    <w:lvl w:ilvl="1">
      <w:lvlJc w:val="left"/>
      <w:lvlText w:val="(%2)"/>
      <w:numFmt w:val="lowerRoman"/>
      <w:start w:val="1"/>
    </w:lvl>
  </w:abstractNum>
  <w:abstractNum w:abstractNumId="94">
    <w:nsid w:val="19FB2650"/>
    <w:multiLevelType w:val="hybridMultilevel"/>
    <w:lvl w:ilvl="0">
      <w:lvlJc w:val="left"/>
      <w:lvlText w:val="(%1)"/>
      <w:numFmt w:val="lowerLetter"/>
      <w:start w:val="1"/>
    </w:lvl>
  </w:abstractNum>
  <w:abstractNum w:abstractNumId="95">
    <w:nsid w:val="5024DE5B"/>
    <w:multiLevelType w:val="hybridMultilevel"/>
    <w:lvl w:ilvl="0">
      <w:lvlJc w:val="left"/>
      <w:lvlText w:val="(%1)"/>
      <w:numFmt w:val="lowerLetter"/>
      <w:start w:val="2"/>
    </w:lvl>
  </w:abstractNum>
  <w:abstractNum w:abstractNumId="96">
    <w:nsid w:val="168EFE17"/>
    <w:multiLevelType w:val="hybridMultilevel"/>
    <w:lvl w:ilvl="0">
      <w:lvlJc w:val="left"/>
      <w:lvlText w:val="(%1)"/>
      <w:numFmt w:val="lowerLetter"/>
      <w:start w:val="11"/>
    </w:lvl>
  </w:abstractNum>
  <w:abstractNum w:abstractNumId="97">
    <w:nsid w:val="1036B29F"/>
    <w:multiLevelType w:val="hybridMultilevel"/>
    <w:lvl w:ilvl="0">
      <w:lvlJc w:val="left"/>
      <w:lvlText w:val="(%1)"/>
      <w:numFmt w:val="lowerLetter"/>
      <w:start w:val="1"/>
    </w:lvl>
  </w:abstractNum>
  <w:abstractNum w:abstractNumId="98">
    <w:nsid w:val="1D206B8E"/>
    <w:multiLevelType w:val="hybridMultilevel"/>
    <w:lvl w:ilvl="0">
      <w:lvlJc w:val="left"/>
      <w:lvlText w:val="(%1)"/>
      <w:numFmt w:val="lowerLetter"/>
      <w:start w:val="3"/>
    </w:lvl>
  </w:abstractNum>
  <w:abstractNum w:abstractNumId="99">
    <w:nsid w:val="7934D3D4"/>
    <w:multiLevelType w:val="hybridMultilevel"/>
    <w:lvl w:ilvl="0">
      <w:lvlJc w:val="left"/>
      <w:lvlText w:val="(%1)"/>
      <w:numFmt w:val="lowerLetter"/>
      <w:start w:val="1"/>
    </w:lvl>
    <w:lvl w:ilvl="1">
      <w:lvlJc w:val="left"/>
      <w:lvlText w:val="(%2)"/>
      <w:numFmt w:val="lowerRoman"/>
      <w:start w:val="1"/>
    </w:lvl>
  </w:abstractNum>
  <w:abstractNum w:abstractNumId="100">
    <w:nsid w:val="1C65E98"/>
    <w:multiLevelType w:val="hybridMultilevel"/>
    <w:lvl w:ilvl="0">
      <w:lvlJc w:val="left"/>
      <w:lvlText w:val="%1"/>
      <w:numFmt w:val="lowerLetter"/>
      <w:start w:val="1"/>
    </w:lvl>
    <w:lvl w:ilvl="1">
      <w:lvlJc w:val="left"/>
      <w:lvlText w:val="(%2)"/>
      <w:numFmt w:val="lowerLetter"/>
      <w:start w:val="22"/>
    </w:lvl>
  </w:abstractNum>
  <w:abstractNum w:abstractNumId="101">
    <w:nsid w:val="1495E50A"/>
    <w:multiLevelType w:val="hybridMultilevel"/>
    <w:lvl w:ilvl="0">
      <w:lvlJc w:val="left"/>
      <w:lvlText w:val="(%1)"/>
      <w:numFmt w:val="lowerLetter"/>
      <w:start w:val="3"/>
    </w:lvl>
    <w:lvl w:ilvl="1">
      <w:lvlJc w:val="left"/>
      <w:lvlText w:val="%2"/>
      <w:numFmt w:val="lowerLetter"/>
      <w:start w:val="1"/>
    </w:lvl>
  </w:abstractNum>
  <w:abstractNum w:abstractNumId="102">
    <w:nsid w:val="F5BCF61"/>
    <w:multiLevelType w:val="hybridMultilevel"/>
    <w:lvl w:ilvl="0">
      <w:lvlJc w:val="left"/>
      <w:lvlText w:val="%1."/>
      <w:numFmt w:val="decimal"/>
      <w:start w:val="8"/>
    </w:lvl>
  </w:abstractNum>
  <w:abstractNum w:abstractNumId="103">
    <w:nsid w:val="3B1DD403"/>
    <w:multiLevelType w:val="hybridMultilevel"/>
    <w:lvl w:ilvl="0">
      <w:lvlJc w:val="left"/>
      <w:lvlText w:val="(%1)"/>
      <w:numFmt w:val="lowerLetter"/>
      <w:start w:val="1"/>
    </w:lvl>
  </w:abstractNum>
  <w:abstractNum w:abstractNumId="104">
    <w:nsid w:val="530386D1"/>
    <w:multiLevelType w:val="hybridMultilevel"/>
    <w:lvl w:ilvl="0">
      <w:lvlJc w:val="left"/>
      <w:lvlText w:val="(%1)"/>
      <w:numFmt w:val="lowerLetter"/>
      <w:start w:val="1"/>
    </w:lvl>
    <w:lvl w:ilvl="1">
      <w:lvlJc w:val="left"/>
      <w:lvlText w:val="(%2)"/>
      <w:numFmt w:val="lowerRoman"/>
      <w:start w:val="1"/>
    </w:lvl>
  </w:abstractNum>
  <w:abstractNum w:abstractNumId="105">
    <w:nsid w:val="7525F2BC"/>
    <w:multiLevelType w:val="hybridMultilevel"/>
    <w:lvl w:ilvl="0">
      <w:lvlJc w:val="left"/>
      <w:lvlText w:val="(%1)"/>
      <w:numFmt w:val="lowerLetter"/>
      <w:start w:val="3"/>
    </w:lvl>
  </w:abstractNum>
  <w:abstractNum w:abstractNumId="106">
    <w:nsid w:val="CE8E1A7"/>
    <w:multiLevelType w:val="hybridMultilevel"/>
    <w:lvl w:ilvl="0">
      <w:lvlJc w:val="left"/>
      <w:lvlText w:val="%1."/>
      <w:numFmt w:val="decimal"/>
      <w:start w:val="9"/>
    </w:lvl>
  </w:abstractNum>
  <w:abstractNum w:abstractNumId="107">
    <w:nsid w:val="4E9EFB0D"/>
    <w:multiLevelType w:val="hybridMultilevel"/>
    <w:lvl w:ilvl="0">
      <w:lvlJc w:val="left"/>
      <w:lvlText w:val="(%1)"/>
      <w:numFmt w:val="lowerLetter"/>
      <w:start w:val="1"/>
    </w:lvl>
  </w:abstractNum>
  <w:abstractNum w:abstractNumId="108">
    <w:nsid w:val="90802BE"/>
    <w:multiLevelType w:val="hybridMultilevel"/>
    <w:lvl w:ilvl="0">
      <w:lvlJc w:val="left"/>
      <w:lvlText w:val="(%1)"/>
      <w:numFmt w:val="lowerLetter"/>
      <w:start w:val="3"/>
    </w:lvl>
  </w:abstractNum>
  <w:abstractNum w:abstractNumId="109">
    <w:nsid w:val="3266459B"/>
    <w:multiLevelType w:val="hybridMultilevel"/>
    <w:lvl w:ilvl="0">
      <w:lvlJc w:val="left"/>
      <w:lvlText w:val="(%1)"/>
      <w:numFmt w:val="lowerLetter"/>
      <w:start w:val="1"/>
    </w:lvl>
  </w:abstractNum>
  <w:abstractNum w:abstractNumId="110">
    <w:nsid w:val="3F8B0CBF"/>
    <w:multiLevelType w:val="hybridMultilevel"/>
    <w:lvl w:ilvl="0">
      <w:lvlJc w:val="left"/>
      <w:lvlText w:val="(%1)"/>
      <w:numFmt w:val="lowerLetter"/>
      <w:start w:val="5"/>
    </w:lvl>
  </w:abstractNum>
  <w:abstractNum w:abstractNumId="111">
    <w:nsid w:val="37E203AB"/>
    <w:multiLevelType w:val="hybridMultilevel"/>
    <w:lvl w:ilvl="0">
      <w:lvlJc w:val="left"/>
      <w:lvlText w:val="(%1)"/>
      <w:numFmt w:val="lowerLetter"/>
      <w:start w:val="1"/>
    </w:lvl>
    <w:lvl w:ilvl="1">
      <w:lvlJc w:val="left"/>
      <w:lvlText w:val="(%2)"/>
      <w:numFmt w:val="lowerRoman"/>
      <w:start w:val="1"/>
    </w:lvl>
  </w:abstractNum>
  <w:abstractNum w:abstractNumId="112">
    <w:nsid w:val="2586D60E"/>
    <w:multiLevelType w:val="hybridMultilevel"/>
    <w:lvl w:ilvl="0">
      <w:lvlJc w:val="left"/>
      <w:lvlText w:val="%1"/>
      <w:numFmt w:val="lowerLetter"/>
      <w:start w:val="1"/>
    </w:lvl>
    <w:lvl w:ilvl="1">
      <w:lvlJc w:val="left"/>
      <w:lvlText w:val="(%2)"/>
      <w:numFmt w:val="lowerRoman"/>
      <w:start w:val="3"/>
    </w:lvl>
  </w:abstractNum>
  <w:abstractNum w:abstractNumId="113">
    <w:nsid w:val="1F3DA4D5"/>
    <w:multiLevelType w:val="hybridMultilevel"/>
    <w:lvl w:ilvl="0">
      <w:lvlJc w:val="left"/>
      <w:lvlText w:val="(%1)"/>
      <w:numFmt w:val="lowerLetter"/>
      <w:start w:val="2"/>
    </w:lvl>
    <w:lvl w:ilvl="1">
      <w:lvlJc w:val="left"/>
      <w:lvlText w:val="%2"/>
      <w:numFmt w:val="lowerRoman"/>
      <w:start w:val="1"/>
    </w:lvl>
  </w:abstractNum>
  <w:abstractNum w:abstractNumId="114">
    <w:nsid w:val="74C93698"/>
    <w:multiLevelType w:val="hybridMultilevel"/>
    <w:lvl w:ilvl="0">
      <w:lvlJc w:val="left"/>
      <w:lvlText w:val="(%1)"/>
      <w:numFmt w:val="lowerLetter"/>
      <w:start w:val="6"/>
    </w:lvl>
  </w:abstractNum>
  <w:abstractNum w:abstractNumId="115">
    <w:nsid w:val="48781401"/>
    <w:multiLevelType w:val="hybridMultilevel"/>
    <w:lvl w:ilvl="0">
      <w:lvlJc w:val="left"/>
      <w:lvlText w:val="%1."/>
      <w:numFmt w:val="decimal"/>
      <w:start w:val="10"/>
    </w:lvl>
  </w:abstractNum>
  <w:abstractNum w:abstractNumId="116">
    <w:nsid w:val="186928D6"/>
    <w:multiLevelType w:val="hybridMultilevel"/>
    <w:lvl w:ilvl="0">
      <w:lvlJc w:val="left"/>
      <w:lvlText w:val="(%1)"/>
      <w:numFmt w:val="lowerLetter"/>
      <w:start w:val="1"/>
    </w:lvl>
  </w:abstractNum>
  <w:abstractNum w:abstractNumId="117">
    <w:nsid w:val="47195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8">
    <w:nsid w:val="3746A5F2"/>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19">
    <w:nsid w:val="682DFED6"/>
    <w:multiLevelType w:val="hybridMultilevel"/>
    <w:lvl w:ilvl="0">
      <w:lvlJc w:val="left"/>
      <w:lvlText w:val="(%1)"/>
      <w:numFmt w:val="lowerLetter"/>
      <w:start w:val="1"/>
    </w:lvl>
    <w:lvl w:ilvl="1">
      <w:lvlJc w:val="left"/>
      <w:lvlText w:val="(%2)"/>
      <w:numFmt w:val="lowerLetter"/>
      <w:start w:val="9"/>
    </w:lvl>
  </w:abstractNum>
  <w:abstractNum w:abstractNumId="120">
    <w:nsid w:val="606ED7F6"/>
    <w:multiLevelType w:val="hybridMultilevel"/>
    <w:lvl w:ilvl="0">
      <w:lvlJc w:val="left"/>
      <w:lvlText w:val="%1"/>
      <w:numFmt w:val="lowerLetter"/>
      <w:start w:val="1"/>
    </w:lvl>
    <w:lvl w:ilvl="1">
      <w:lvlJc w:val="left"/>
      <w:lvlText w:val="(%2)"/>
      <w:numFmt w:val="lowerLetter"/>
      <w:start w:val="35"/>
    </w:lvl>
  </w:abstractNum>
  <w:abstractNum w:abstractNumId="121">
    <w:nsid w:val="2D9DF57D"/>
    <w:multiLevelType w:val="hybridMultilevel"/>
    <w:lvl w:ilvl="0">
      <w:lvlJc w:val="left"/>
      <w:lvlText w:val="(%1)"/>
      <w:numFmt w:val="lowerLetter"/>
      <w:start w:val="2"/>
    </w:lvl>
    <w:lvl w:ilvl="1">
      <w:lvlJc w:val="left"/>
      <w:lvlText w:val="%2"/>
      <w:numFmt w:val="lowerLetter"/>
      <w:start w:val="1"/>
    </w:lvl>
  </w:abstractNum>
  <w:abstractNum w:abstractNumId="122">
    <w:nsid w:val="7FBD7A3E"/>
    <w:multiLevelType w:val="hybridMultilevel"/>
    <w:lvl w:ilvl="0">
      <w:lvlJc w:val="left"/>
      <w:lvlText w:val="%1."/>
      <w:numFmt w:val="decimal"/>
      <w:start w:val="12"/>
    </w:lvl>
  </w:abstractNum>
  <w:abstractNum w:abstractNumId="123">
    <w:nsid w:val="490B7C5"/>
    <w:multiLevelType w:val="hybridMultilevel"/>
    <w:lvl w:ilvl="0">
      <w:lvlJc w:val="left"/>
      <w:lvlText w:val="(%1)"/>
      <w:numFmt w:val="lowerLetter"/>
      <w:start w:val="1"/>
    </w:lvl>
  </w:abstractNum>
  <w:abstractNum w:abstractNumId="124">
    <w:nsid w:val="4303A216"/>
    <w:multiLevelType w:val="hybridMultilevel"/>
    <w:lvl w:ilvl="0">
      <w:lvlJc w:val="left"/>
      <w:lvlText w:val="(%1)"/>
      <w:numFmt w:val="lowerLetter"/>
      <w:start w:val="1"/>
    </w:lvl>
  </w:abstractNum>
  <w:abstractNum w:abstractNumId="125">
    <w:nsid w:val="19B8A08E"/>
    <w:multiLevelType w:val="hybridMultilevel"/>
    <w:lvl w:ilvl="0">
      <w:lvlJc w:val="left"/>
      <w:lvlText w:val="(%1)"/>
      <w:numFmt w:val="lowerLetter"/>
      <w:start w:val="1"/>
    </w:lvl>
  </w:abstractNum>
  <w:abstractNum w:abstractNumId="126">
    <w:nsid w:val="54B59621"/>
    <w:multiLevelType w:val="hybridMultilevel"/>
    <w:lvl w:ilvl="0">
      <w:lvlJc w:val="left"/>
      <w:lvlText w:val="(%1)"/>
      <w:numFmt w:val="lowerLetter"/>
      <w:start w:val="3"/>
    </w:lvl>
  </w:abstractNum>
  <w:abstractNum w:abstractNumId="127">
    <w:nsid w:val="5992A02E"/>
    <w:multiLevelType w:val="hybridMultilevel"/>
    <w:lvl w:ilvl="0">
      <w:lvlJc w:val="left"/>
      <w:lvlText w:val="%1."/>
      <w:numFmt w:val="decimal"/>
      <w:start w:val="1"/>
    </w:lvl>
  </w:abstractNum>
  <w:abstractNum w:abstractNumId="128">
    <w:nsid w:val="29EF532D"/>
    <w:multiLevelType w:val="hybridMultilevel"/>
    <w:lvl w:ilvl="0">
      <w:lvlJc w:val="left"/>
      <w:lvlText w:val="%1."/>
      <w:numFmt w:val="decimal"/>
      <w:start w:val="3"/>
    </w:lvl>
  </w:abstractNum>
  <w:abstractNum w:abstractNumId="129">
    <w:nsid w:val="71D601AF"/>
    <w:multiLevelType w:val="hybridMultilevel"/>
    <w:lvl w:ilvl="0">
      <w:lvlJc w:val="left"/>
      <w:lvlText w:val="%1."/>
      <w:numFmt w:val="decimal"/>
      <w:start w:val="5"/>
    </w:lvl>
  </w:abstractNum>
  <w:abstractNum w:abstractNumId="130">
    <w:nsid w:val="52C77402"/>
    <w:multiLevelType w:val="hybridMultilevel"/>
    <w:lvl w:ilvl="0">
      <w:lvlJc w:val="left"/>
      <w:lvlText w:val="1"/>
      <w:numFmt w:val="bullet"/>
      <w:start w:val="1"/>
    </w:lvl>
  </w:abstractNum>
  <w:abstractNum w:abstractNumId="131">
    <w:nsid w:val="2BB5B1C6"/>
    <w:multiLevelType w:val="hybridMultilevel"/>
    <w:lvl w:ilvl="0">
      <w:lvlJc w:val="left"/>
      <w:lvlText w:val="(%1)"/>
      <w:numFmt w:val="lowerLetter"/>
      <w:start w:val="1"/>
    </w:lvl>
  </w:abstractNum>
  <w:abstractNum w:abstractNumId="132">
    <w:nsid w:val="66BE6B9"/>
    <w:multiLevelType w:val="hybridMultilevel"/>
    <w:lvl w:ilvl="0">
      <w:lvlJc w:val="left"/>
      <w:lvlText w:val="2"/>
      <w:numFmt w:val="bullet"/>
      <w:start w:val="1"/>
    </w:lvl>
  </w:abstractNum>
  <w:abstractNum w:abstractNumId="133">
    <w:nsid w:val="62234363"/>
    <w:multiLevelType w:val="hybridMultilevel"/>
    <w:lvl w:ilvl="0">
      <w:lvlJc w:val="left"/>
      <w:lvlText w:val="(%1)"/>
      <w:numFmt w:val="lowerLetter"/>
      <w:start w:val="2"/>
    </w:lvl>
  </w:abstractNum>
  <w:abstractNum w:abstractNumId="134">
    <w:nsid w:val="66D385C9"/>
    <w:multiLevelType w:val="hybridMultilevel"/>
    <w:lvl w:ilvl="0">
      <w:lvlJc w:val="left"/>
      <w:lvlText w:val="☐"/>
      <w:numFmt w:val="bullet"/>
      <w:start w:val="1"/>
    </w:lvl>
  </w:abstractNum>
  <w:abstractNum w:abstractNumId="135">
    <w:nsid w:val="596F6D8A"/>
    <w:multiLevelType w:val="hybridMultilevel"/>
    <w:lvl w:ilvl="0">
      <w:lvlJc w:val="left"/>
      <w:lvlText w:val="☐"/>
      <w:numFmt w:val="bullet"/>
      <w:start w:val="1"/>
    </w:lvl>
  </w:abstractNum>
  <w:abstractNum w:abstractNumId="136">
    <w:nsid w:val="5749361F"/>
    <w:multiLevelType w:val="hybridMultilevel"/>
    <w:lvl w:ilvl="0">
      <w:lvlJc w:val="left"/>
      <w:lvlText w:val="☐"/>
      <w:numFmt w:val="bullet"/>
      <w:start w:val="1"/>
    </w:lvl>
  </w:abstractNum>
  <w:abstractNum w:abstractNumId="137">
    <w:nsid w:val="73BC6770"/>
    <w:multiLevelType w:val="hybridMultilevel"/>
    <w:lvl w:ilvl="0">
      <w:lvlJc w:val="left"/>
      <w:lvlText w:val="☐"/>
      <w:numFmt w:val="bullet"/>
      <w:start w:val="1"/>
    </w:lvl>
  </w:abstractNum>
  <w:abstractNum w:abstractNumId="138">
    <w:nsid w:val="280E6897"/>
    <w:multiLevelType w:val="hybridMultilevel"/>
    <w:lvl w:ilvl="0">
      <w:lvlJc w:val="left"/>
      <w:lvlText w:val="☐"/>
      <w:numFmt w:val="bullet"/>
      <w:start w:val="1"/>
    </w:lvl>
    <w:lvl w:ilvl="1">
      <w:lvlJc w:val="left"/>
      <w:lvlText w:val="☐"/>
      <w:numFmt w:val="bullet"/>
      <w:start w:val="1"/>
    </w:lvl>
  </w:abstractNum>
  <w:abstractNum w:abstractNumId="139">
    <w:nsid w:val="605138DE"/>
    <w:multiLevelType w:val="hybridMultilevel"/>
    <w:lvl w:ilvl="0">
      <w:lvlJc w:val="left"/>
      <w:lvlText w:val="☐"/>
      <w:numFmt w:val="bullet"/>
      <w:start w:val="1"/>
    </w:lvl>
  </w:abstractNum>
  <w:abstractNum w:abstractNumId="140">
    <w:nsid w:val="2622AD0C"/>
    <w:multiLevelType w:val="hybridMultilevel"/>
    <w:lvl w:ilvl="0">
      <w:lvlJc w:val="left"/>
      <w:lvlText w:val="☐"/>
      <w:numFmt w:val="bullet"/>
      <w:start w:val="1"/>
    </w:lvl>
  </w:abstractNum>
  <w:abstractNum w:abstractNumId="141">
    <w:nsid w:val="67997556"/>
    <w:multiLevelType w:val="hybridMultilevel"/>
    <w:lvl w:ilvl="0">
      <w:lvlJc w:val="left"/>
      <w:lvlText w:val="☐"/>
      <w:numFmt w:val="bullet"/>
      <w:start w:val="1"/>
    </w:lvl>
  </w:abstractNum>
  <w:abstractNum w:abstractNumId="142">
    <w:nsid w:val="18333C89"/>
    <w:multiLevelType w:val="hybridMultilevel"/>
    <w:lvl w:ilvl="0">
      <w:lvlJc w:val="left"/>
      <w:lvlText w:val="(%1)"/>
      <w:numFmt w:val="lowerLetter"/>
      <w:start w:val="1"/>
    </w:lvl>
  </w:abstractNum>
  <w:abstractNum w:abstractNumId="143">
    <w:nsid w:val="4BA9831A"/>
    <w:multiLevelType w:val="hybridMultilevel"/>
    <w:lvl w:ilvl="0">
      <w:lvlJc w:val="left"/>
      <w:lvlText w:val="(%1)"/>
      <w:numFmt w:val="lowerRoman"/>
      <w:start w:val="1"/>
    </w:lvl>
  </w:abstractNum>
  <w:abstractNum w:abstractNumId="144">
    <w:nsid w:val="6D71A2B"/>
    <w:multiLevelType w:val="hybridMultilevel"/>
    <w:lvl w:ilvl="0">
      <w:lvlJc w:val="left"/>
      <w:lvlText w:val="(%1)"/>
      <w:numFmt w:val="lowerRoman"/>
      <w:start w:val="4"/>
    </w:lvl>
  </w:abstractNum>
  <w:abstractNum w:abstractNumId="145">
    <w:nsid w:val="CFC7321"/>
    <w:multiLevelType w:val="hybridMultilevel"/>
    <w:lvl w:ilvl="0">
      <w:lvlJc w:val="left"/>
      <w:lvlText w:val="%1"/>
      <w:numFmt w:val="lowerLetter"/>
      <w:start w:val="1"/>
    </w:lvl>
    <w:lvl w:ilvl="1">
      <w:lvlJc w:val="left"/>
      <w:lvlText w:val="(%2)"/>
      <w:numFmt w:val="lowerRoman"/>
      <w:start w:val="12"/>
    </w:lvl>
  </w:abstractNum>
  <w:abstractNum w:abstractNumId="146">
    <w:nsid w:val="1421971B"/>
    <w:multiLevelType w:val="hybridMultilevel"/>
    <w:lvl w:ilvl="0">
      <w:lvlJc w:val="left"/>
      <w:lvlText w:val="(%1)"/>
      <w:numFmt w:val="lowerLetter"/>
      <w:start w:val="1"/>
    </w:lvl>
    <w:lvl w:ilvl="1">
      <w:lvlJc w:val="left"/>
      <w:lvlText w:val="%2"/>
      <w:numFmt w:val="lowerRoman"/>
      <w:start w:val="1"/>
    </w:lvl>
  </w:abstractNum>
  <w:abstractNum w:abstractNumId="147">
    <w:nsid w:val="1F404301"/>
    <w:multiLevelType w:val="hybridMultilevel"/>
    <w:lvl w:ilvl="0">
      <w:lvlJc w:val="left"/>
      <w:lvlText w:val="(%1)"/>
      <w:numFmt w:val="lowerLetter"/>
      <w:start w:val="1"/>
    </w:lvl>
    <w:lvl w:ilvl="1">
      <w:lvlJc w:val="left"/>
      <w:lvlText w:val="(%2)"/>
      <w:numFmt w:val="lowerRoman"/>
      <w:start w:val="1"/>
    </w:lvl>
  </w:abstractNum>
  <w:abstractNum w:abstractNumId="148">
    <w:nsid w:val="116E0907"/>
    <w:multiLevelType w:val="hybridMultilevel"/>
    <w:lvl w:ilvl="0">
      <w:lvlJc w:val="left"/>
      <w:lvlText w:val="(%1)"/>
      <w:numFmt w:val="lowerLetter"/>
      <w:start w:val="2"/>
    </w:lvl>
  </w:abstractNum>
  <w:abstractNum w:abstractNumId="149">
    <w:nsid w:val="4B683D0D"/>
    <w:multiLevelType w:val="hybridMultilevel"/>
    <w:lvl w:ilvl="0">
      <w:lvlJc w:val="left"/>
      <w:lvlText w:val="(%1)"/>
      <w:numFmt w:val="lowerLetter"/>
      <w:start w:val="1"/>
    </w:lvl>
  </w:abstractNum>
  <w:abstractNum w:abstractNumId="150">
    <w:nsid w:val="76E41D8"/>
    <w:multiLevelType w:val="hybridMultilevel"/>
    <w:lvl w:ilvl="0">
      <w:lvlJc w:val="left"/>
      <w:lvlText w:val="(%1)"/>
      <w:numFmt w:val="lowerLetter"/>
      <w:start w:val="2"/>
    </w:lvl>
  </w:abstractNum>
  <w:abstractNum w:abstractNumId="151">
    <w:nsid w:val="71DCE0FD"/>
    <w:multiLevelType w:val="hybridMultilevel"/>
    <w:lvl w:ilvl="0">
      <w:lvlJc w:val="left"/>
      <w:lvlText w:val="(%1)"/>
      <w:numFmt w:val="lowerLetter"/>
      <w:start w:val="1"/>
    </w:lvl>
  </w:abstractNum>
  <w:abstractNum w:abstractNumId="152">
    <w:nsid w:val="7906328B"/>
    <w:multiLevelType w:val="hybridMultilevel"/>
    <w:lvl w:ilvl="0">
      <w:lvlJc w:val="left"/>
      <w:lvlText w:val="(%1)"/>
      <w:numFmt w:val="upperLetter"/>
      <w:start w:val="1"/>
    </w:lvl>
  </w:abstractNum>
  <w:abstractNum w:abstractNumId="153">
    <w:nsid w:val="72BBC16"/>
    <w:multiLevelType w:val="hybridMultilevel"/>
    <w:lvl w:ilvl="0">
      <w:lvlJc w:val="left"/>
      <w:lvlText w:val="(%1)"/>
      <w:numFmt w:val="upperLetter"/>
      <w:start w:val="4"/>
    </w:lvl>
  </w:abstractNum>
  <w:abstractNum w:abstractNumId="154">
    <w:nsid w:val="766D98C2"/>
    <w:multiLevelType w:val="hybridMultilevel"/>
    <w:lvl w:ilvl="0">
      <w:lvlJc w:val="left"/>
      <w:lvlText w:val="(%1)"/>
      <w:numFmt w:val="upperLetter"/>
      <w:start w:val="1"/>
    </w:lvl>
  </w:abstractNum>
  <w:abstractNum w:abstractNumId="155">
    <w:nsid w:val="3C09D4A1"/>
    <w:multiLevelType w:val="hybridMultilevel"/>
    <w:lvl w:ilvl="0">
      <w:lvlJc w:val="left"/>
      <w:lvlText w:val="(%1)"/>
      <w:numFmt w:val="lowerRoman"/>
      <w:start w:val="2"/>
    </w:lvl>
  </w:abstractNum>
  <w:abstractNum w:abstractNumId="156">
    <w:nsid w:val="20E45CA4"/>
    <w:multiLevelType w:val="hybridMultilevel"/>
    <w:lvl w:ilvl="0">
      <w:lvlJc w:val="left"/>
      <w:lvlText w:val="%1."/>
      <w:numFmt w:val="decimal"/>
      <w:start w:val="1"/>
    </w:lvl>
  </w:abstractNum>
  <w:abstractNum w:abstractNumId="157">
    <w:nsid w:val="4B232EE3"/>
    <w:multiLevelType w:val="hybridMultilevel"/>
    <w:lvl w:ilvl="0">
      <w:lvlJc w:val="left"/>
      <w:lvlText w:val="[%1]"/>
      <w:numFmt w:val="upperLetter"/>
      <w:start w:val="1"/>
    </w:lvl>
  </w:abstractNum>
  <w:abstractNum w:abstractNumId="158">
    <w:nsid w:val="159C74CF"/>
    <w:multiLevelType w:val="hybridMultilevel"/>
    <w:lvl w:ilvl="0">
      <w:lvlJc w:val="left"/>
      <w:lvlText w:val="%1."/>
      <w:numFmt w:val="decimal"/>
      <w:start w:val="1"/>
    </w:lvl>
  </w:abstractNum>
  <w:abstractNum w:abstractNumId="159">
    <w:nsid w:val="4AD3AFD2"/>
    <w:multiLevelType w:val="hybridMultilevel"/>
    <w:lvl w:ilvl="0">
      <w:lvlJc w:val="left"/>
      <w:lvlText w:val="[%1]"/>
      <w:numFmt w:val="upperLetter"/>
      <w:start w:val="1"/>
    </w:lvl>
  </w:abstractNum>
  <w:abstractNum w:abstractNumId="160">
    <w:nsid w:val="3CF93092"/>
    <w:multiLevelType w:val="hybridMultilevel"/>
    <w:lvl w:ilvl="0">
      <w:lvlJc w:val="left"/>
      <w:lvlText w:val="%1."/>
      <w:numFmt w:val="decimal"/>
      <w:start w:val="1"/>
    </w:lvl>
  </w:abstractNum>
  <w:abstractNum w:abstractNumId="161">
    <w:nsid w:val="6863E8D2"/>
    <w:multiLevelType w:val="hybridMultilevel"/>
    <w:lvl w:ilvl="0">
      <w:lvlJc w:val="left"/>
      <w:lvlText w:val="[%1]"/>
      <w:numFmt w:val="upperLetter"/>
      <w:start w:val="1"/>
    </w:lvl>
  </w:abstractNum>
  <w:abstractNum w:abstractNumId="162">
    <w:nsid w:val="76896198"/>
    <w:multiLevelType w:val="hybridMultilevel"/>
    <w:lvl w:ilvl="0">
      <w:lvlJc w:val="left"/>
      <w:lvlText w:val="%1."/>
      <w:numFmt w:val="decimal"/>
      <w:start w:val="1"/>
    </w:lvl>
  </w:abstractNum>
  <w:abstractNum w:abstractNumId="163">
    <w:nsid w:val="4365174B"/>
    <w:multiLevelType w:val="hybridMultilevel"/>
    <w:lvl w:ilvl="0">
      <w:lvlJc w:val="left"/>
      <w:lvlText w:val="[%1]"/>
      <w:numFmt w:val="upperLetter"/>
      <w:start w:val="1"/>
    </w:lvl>
  </w:abstractNum>
  <w:abstractNum w:abstractNumId="164">
    <w:nsid w:val="4A872C35"/>
    <w:multiLevelType w:val="hybridMultilevel"/>
    <w:lvl w:ilvl="0">
      <w:lvlJc w:val="left"/>
      <w:lvlText w:val="%1)"/>
      <w:numFmt w:val="decimal"/>
      <w:start w:val="1"/>
    </w:lvl>
  </w:abstractNum>
  <w:abstractNum w:abstractNumId="165">
    <w:nsid w:val="5D5CE761"/>
    <w:multiLevelType w:val="hybridMultilevel"/>
    <w:lvl w:ilvl="0">
      <w:lvlJc w:val="left"/>
      <w:lvlText w:val="%1."/>
      <w:numFmt w:val="decimal"/>
      <w:start w:val="1"/>
    </w:lvl>
  </w:abstractNum>
  <w:abstractNum w:abstractNumId="166">
    <w:nsid w:val="1CD484D5"/>
    <w:multiLevelType w:val="hybridMultilevel"/>
    <w:lvl w:ilvl="0">
      <w:lvlJc w:val="left"/>
      <w:lvlText w:val="[%1]"/>
      <w:numFmt w:val="upperLetter"/>
      <w:start w:val="1"/>
    </w:lvl>
  </w:abstractNum>
  <w:abstractNum w:abstractNumId="167">
    <w:nsid w:val="21D06255"/>
    <w:multiLevelType w:val="hybridMultilevel"/>
    <w:lvl w:ilvl="0">
      <w:lvlJc w:val="left"/>
      <w:lvlText w:val="%1."/>
      <w:numFmt w:val="decimal"/>
      <w:start w:val="1"/>
    </w:lvl>
    <w:lvl w:ilvl="1">
      <w:lvlJc w:val="left"/>
      <w:lvlText w:val="%2."/>
      <w:numFmt w:val="decimal"/>
      <w:start w:val="2"/>
    </w:lvl>
  </w:abstractNum>
  <w:abstractNum w:abstractNumId="168">
    <w:nsid w:val="51194ED1"/>
    <w:multiLevelType w:val="hybridMultilevel"/>
    <w:lvl w:ilvl="0">
      <w:lvlJc w:val="left"/>
      <w:lvlText w:val="%1"/>
      <w:numFmt w:val="decimal"/>
      <w:start w:val="1"/>
    </w:lvl>
    <w:lvl w:ilvl="1">
      <w:lvlJc w:val="left"/>
      <w:lvlText w:val="%2."/>
      <w:numFmt w:val="decimal"/>
      <w:start w:val="1"/>
    </w:lvl>
  </w:abstractNum>
  <w:abstractNum w:abstractNumId="169">
    <w:nsid w:val="44E2ED6C"/>
    <w:multiLevelType w:val="hybridMultilevel"/>
    <w:lvl w:ilvl="0">
      <w:lvlJc w:val="left"/>
      <w:lvlText w:val="%1."/>
      <w:numFmt w:val="decimal"/>
      <w:start w:val="1"/>
    </w:lvl>
  </w:abstractNum>
  <w:abstractNum w:abstractNumId="170">
    <w:nsid w:val="2219B33"/>
    <w:multiLevelType w:val="hybridMultilevel"/>
    <w:lvl w:ilvl="0">
      <w:lvlJc w:val="left"/>
      <w:lvlText w:val="%1."/>
      <w:numFmt w:val="decimal"/>
      <w:start w:val="3"/>
    </w:lvl>
  </w:abstractNum>
  <w:abstractNum w:abstractNumId="171">
    <w:nsid w:val="773BFBDD"/>
    <w:multiLevelType w:val="hybridMultilevel"/>
    <w:lvl w:ilvl="0">
      <w:lvlJc w:val="left"/>
      <w:lvlText w:val="[%1]"/>
      <w:numFmt w:val="upperLetter"/>
      <w:start w:val="1"/>
    </w:lvl>
  </w:abstractNum>
  <w:abstractNum w:abstractNumId="172">
    <w:nsid w:val="2C7C62C2"/>
    <w:multiLevelType w:val="hybridMultilevel"/>
    <w:lvl w:ilvl="0">
      <w:lvlJc w:val="left"/>
      <w:lvlText w:val="%1."/>
      <w:numFmt w:val="decimal"/>
      <w:start w:val="1"/>
    </w:lvl>
  </w:abstractNum>
  <w:abstractNum w:abstractNumId="173">
    <w:nsid w:val="1A54D7BC"/>
    <w:multiLevelType w:val="hybridMultilevel"/>
    <w:lvl w:ilvl="0">
      <w:lvlJc w:val="left"/>
      <w:lvlText w:val="%1."/>
      <w:numFmt w:val="decimal"/>
      <w:start w:val="1"/>
    </w:lvl>
  </w:abstractNum>
  <w:abstractNum w:abstractNumId="174">
    <w:nsid w:val="42E57EF7"/>
    <w:multiLevelType w:val="hybridMultilevel"/>
    <w:lvl w:ilvl="0">
      <w:lvlJc w:val="left"/>
      <w:lvlText w:val="[%1]"/>
      <w:numFmt w:val="upperLetter"/>
      <w:start w:val="1"/>
    </w:lvl>
  </w:abstractNum>
  <w:abstractNum w:abstractNumId="175">
    <w:nsid w:val="33537CED"/>
    <w:multiLevelType w:val="hybridMultilevel"/>
    <w:lvl w:ilvl="0">
      <w:lvlJc w:val="left"/>
      <w:lvlText w:val="%1."/>
      <w:numFmt w:val="decimal"/>
      <w:start w:val="1"/>
    </w:lvl>
  </w:abstractNum>
  <w:abstractNum w:abstractNumId="176">
    <w:nsid w:val="27514ADE"/>
    <w:multiLevelType w:val="hybridMultilevel"/>
    <w:lvl w:ilvl="0">
      <w:lvlJc w:val="left"/>
      <w:lvlText w:val="[%1]"/>
      <w:numFmt w:val="upperLetter"/>
      <w:start w:val="1"/>
    </w:lvl>
  </w:abstractNum>
  <w:abstractNum w:abstractNumId="177">
    <w:nsid w:val="57071613"/>
    <w:multiLevelType w:val="hybridMultilevel"/>
    <w:lvl w:ilvl="0">
      <w:lvlJc w:val="left"/>
      <w:lvlText w:val="%1."/>
      <w:numFmt w:val="decimal"/>
      <w:start w:val="1"/>
    </w:lvl>
  </w:abstractNum>
  <w:abstractNum w:abstractNumId="178">
    <w:nsid w:val="5293BFEF"/>
    <w:multiLevelType w:val="hybridMultilevel"/>
    <w:lvl w:ilvl="0">
      <w:lvlJc w:val="left"/>
      <w:lvlText w:val="[%1]"/>
      <w:numFmt w:val="upperLetter"/>
      <w:start w:val="1"/>
    </w:lvl>
  </w:abstractNum>
  <w:abstractNum w:abstractNumId="179">
    <w:nsid w:val="38BF53E5"/>
    <w:multiLevelType w:val="hybridMultilevel"/>
    <w:lvl w:ilvl="0">
      <w:lvlJc w:val="left"/>
      <w:lvlText w:val="\endash "/>
      <w:numFmt w:val="bullet"/>
      <w:start w:val="1"/>
    </w:lvl>
  </w:abstractNum>
  <w:abstractNum w:abstractNumId="180">
    <w:nsid w:val="226F5320"/>
    <w:multiLevelType w:val="hybridMultilevel"/>
    <w:lvl w:ilvl="0">
      <w:lvlJc w:val="left"/>
      <w:lvlText w:val="%1."/>
      <w:numFmt w:val="decimal"/>
      <w:start w:val="1"/>
    </w:lvl>
  </w:abstractNum>
  <w:abstractNum w:abstractNumId="181">
    <w:nsid w:val="5A0201C7"/>
    <w:multiLevelType w:val="hybridMultilevel"/>
    <w:lvl w:ilvl="0">
      <w:lvlJc w:val="left"/>
      <w:lvlText w:val="[%1]"/>
      <w:numFmt w:val="upperLetter"/>
      <w:start w:val="1"/>
    </w:lvl>
  </w:abstractNum>
  <w:abstractNum w:abstractNumId="182">
    <w:nsid w:val="2A9C34E2"/>
    <w:multiLevelType w:val="hybridMultilevel"/>
    <w:lvl w:ilvl="0">
      <w:lvlJc w:val="left"/>
      <w:lvlText w:val="%1."/>
      <w:numFmt w:val="decimal"/>
      <w:start w:val="1"/>
    </w:lvl>
  </w:abstractNum>
  <w:abstractNum w:abstractNumId="183">
    <w:nsid w:val="1B7585AB"/>
    <w:multiLevelType w:val="hybridMultilevel"/>
    <w:lvl w:ilvl="0">
      <w:lvlJc w:val="left"/>
      <w:lvlText w:val="[%1]"/>
      <w:numFmt w:val="upperLetter"/>
      <w:start w:val="1"/>
    </w:lvl>
  </w:abstractNum>
  <w:abstractNum w:abstractNumId="184">
    <w:nsid w:val="612DBDDD"/>
    <w:multiLevelType w:val="hybridMultilevel"/>
    <w:lvl w:ilvl="0">
      <w:lvlJc w:val="left"/>
      <w:lvlText w:val="%1."/>
      <w:numFmt w:val="decimal"/>
      <w:start w:val="1"/>
    </w:lvl>
  </w:abstractNum>
  <w:abstractNum w:abstractNumId="185">
    <w:nsid w:val="2109CDA4"/>
    <w:multiLevelType w:val="hybridMultilevel"/>
    <w:lvl w:ilvl="0">
      <w:lvlJc w:val="left"/>
      <w:lvlText w:val="[%1]"/>
      <w:numFmt w:val="upperLetter"/>
      <w:start w:val="1"/>
    </w:lvl>
  </w:abstractNum>
  <w:abstractNum w:abstractNumId="186">
    <w:nsid w:val="577F5A4D"/>
    <w:multiLevelType w:val="hybridMultilevel"/>
    <w:lvl w:ilvl="0">
      <w:lvlJc w:val="left"/>
      <w:lvlText w:val="i"/>
      <w:numFmt w:val="bullet"/>
      <w:start w:val="1"/>
    </w:lvl>
  </w:abstractNum>
  <w:abstractNum w:abstractNumId="187">
    <w:nsid w:val="2121A81"/>
    <w:multiLevelType w:val="hybridMultilevel"/>
    <w:lvl w:ilvl="0">
      <w:lvlJc w:val="left"/>
      <w:lvlText w:val="%1"/>
      <w:numFmt w:val="lowerRoman"/>
      <w:start w:val="2"/>
    </w:lvl>
  </w:abstractNum>
  <w:abstractNum w:abstractNumId="188">
    <w:nsid w:val="6C2CFC88"/>
    <w:multiLevelType w:val="hybridMultilevel"/>
    <w:lvl w:ilvl="0">
      <w:lvlJc w:val="left"/>
      <w:lvlText w:val="%1"/>
      <w:numFmt w:val="lowerRoman"/>
      <w:start w:val="3"/>
    </w:lvl>
  </w:abstractNum>
  <w:abstractNum w:abstractNumId="189">
    <w:nsid w:val="6D1BCF1C"/>
    <w:multiLevelType w:val="hybridMultilevel"/>
    <w:lvl w:ilvl="0">
      <w:lvlJc w:val="left"/>
      <w:lvlText w:val="%1"/>
      <w:numFmt w:val="lowerRoman"/>
      <w:start w:val="4"/>
    </w:lvl>
  </w:abstractNum>
  <w:abstractNum w:abstractNumId="190">
    <w:nsid w:val="4CE5CA53"/>
    <w:multiLevelType w:val="hybridMultilevel"/>
    <w:lvl w:ilvl="0">
      <w:lvlJc w:val="left"/>
      <w:lvlText w:val="I"/>
      <w:numFmt w:val="bullet"/>
      <w:start w:val="1"/>
    </w:lvl>
  </w:abstractNum>
  <w:abstractNum w:abstractNumId="191">
    <w:nsid w:val="29262D1A"/>
    <w:multiLevelType w:val="hybridMultilevel"/>
    <w:lvl w:ilvl="0">
      <w:lvlJc w:val="left"/>
      <w:lvlText w:val="%1"/>
      <w:numFmt w:val="upperLetter"/>
      <w:start w:val="61"/>
    </w:lvl>
  </w:abstractNum>
  <w:abstractNum w:abstractNumId="192">
    <w:nsid w:val="557FB7EE"/>
    <w:multiLevelType w:val="hybridMultilevel"/>
    <w:lvl w:ilvl="0">
      <w:lvlJc w:val="left"/>
      <w:lvlText w:val="B"/>
      <w:numFmt w:val="bullet"/>
      <w:start w:val="1"/>
    </w:lvl>
  </w:abstractNum>
  <w:abstractNum w:abstractNumId="193">
    <w:nsid w:val="436F2BEB"/>
    <w:multiLevelType w:val="hybridMultilevel"/>
    <w:lvl w:ilvl="0">
      <w:lvlJc w:val="left"/>
      <w:lvlText w:val="v"/>
      <w:numFmt w:val="bullet"/>
      <w:start w:val="1"/>
    </w:lvl>
  </w:abstractNum>
  <w:abstractNum w:abstractNumId="194">
    <w:nsid w:val="6C8B4466"/>
    <w:multiLevelType w:val="hybridMultilevel"/>
    <w:lvl w:ilvl="0">
      <w:lvlJc w:val="left"/>
      <w:lvlText w:val="1"/>
      <w:numFmt w:val="bullet"/>
      <w:start w:val="1"/>
    </w:lvl>
  </w:abstractNum>
  <w:abstractNum w:abstractNumId="195">
    <w:nsid w:val="2006E424"/>
    <w:multiLevelType w:val="hybridMultilevel"/>
    <w:lvl w:ilvl="0">
      <w:lvlJc w:val="left"/>
      <w:lvlText w:val="(%1)"/>
      <w:numFmt w:val="lowerLetter"/>
      <w:start w:val="1"/>
    </w:lvl>
    <w:lvl w:ilvl="1">
      <w:lvlJc w:val="left"/>
      <w:lvlText w:val="(%2)"/>
      <w:numFmt w:val="lowerRoman"/>
      <w:start w:val="1"/>
    </w:lvl>
  </w:abstractNum>
  <w:abstractNum w:abstractNumId="196">
    <w:nsid w:val="20CC134C"/>
    <w:multiLevelType w:val="hybridMultilevel"/>
    <w:lvl w:ilvl="0">
      <w:lvlJc w:val="left"/>
      <w:lvlText w:val="2"/>
      <w:numFmt w:val="bullet"/>
      <w:start w:val="1"/>
    </w:lvl>
  </w:abstractNum>
  <w:abstractNum w:abstractNumId="197">
    <w:nsid w:val="95FC93B"/>
    <w:multiLevelType w:val="hybridMultilevel"/>
    <w:lvl w:ilvl="0">
      <w:lvlJc w:val="left"/>
      <w:lvlText w:val="(%1)"/>
      <w:numFmt w:val="lowerLetter"/>
      <w:start w:val="1"/>
    </w:lvl>
  </w:abstractNum>
  <w:abstractNum w:abstractNumId="198">
    <w:nsid w:val="41D74679"/>
    <w:multiLevelType w:val="hybridMultilevel"/>
    <w:lvl w:ilvl="0">
      <w:lvlJc w:val="left"/>
      <w:lvlText w:val="(%1)"/>
      <w:numFmt w:val="lowerLetter"/>
      <w:start w:val="1"/>
    </w:lvl>
  </w:abstractNum>
  <w:abstractNum w:abstractNumId="199">
    <w:nsid w:val="71E5621E"/>
    <w:multiLevelType w:val="hybridMultilevel"/>
    <w:lvl w:ilvl="0">
      <w:lvlJc w:val="left"/>
      <w:lvlText w:val="3"/>
      <w:numFmt w:val="bullet"/>
      <w:start w:val="1"/>
    </w:lvl>
  </w:abstractNum>
  <w:abstractNum w:abstractNumId="200">
    <w:nsid w:val="4E42B6A8"/>
    <w:multiLevelType w:val="hybridMultilevel"/>
    <w:lvl w:ilvl="0">
      <w:lvlJc w:val="left"/>
      <w:lvlText w:val="(%1)"/>
      <w:numFmt w:val="lowerLetter"/>
      <w:start w:val="2"/>
    </w:lvl>
    <w:lvl w:ilvl="1">
      <w:lvlJc w:val="left"/>
      <w:lvlText w:val="(%2)"/>
      <w:numFmt w:val="lowerRoman"/>
      <w:start w:val="1"/>
    </w:lvl>
  </w:abstractNum>
  <w:abstractNum w:abstractNumId="201">
    <w:nsid w:val="43F8E1AC"/>
    <w:multiLevelType w:val="hybridMultilevel"/>
    <w:lvl w:ilvl="0">
      <w:lvlJc w:val="left"/>
      <w:lvlText w:val="4"/>
      <w:numFmt w:val="bullet"/>
      <w:start w:val="1"/>
    </w:lvl>
  </w:abstractNum>
  <w:abstractNum w:abstractNumId="202">
    <w:nsid w:val="69215DFB"/>
    <w:multiLevelType w:val="hybridMultilevel"/>
    <w:lvl w:ilvl="0">
      <w:lvlJc w:val="left"/>
      <w:lvlText w:val="(%1)"/>
      <w:numFmt w:val="lowerLetter"/>
      <w:start w:val="25"/>
    </w:lvl>
    <w:lvl w:ilvl="1">
      <w:lvlJc w:val="left"/>
      <w:lvlText w:val="(%2)"/>
      <w:numFmt w:val="lowerRoman"/>
      <w:start w:val="1"/>
    </w:lvl>
  </w:abstractNum>
  <w:abstractNum w:abstractNumId="203">
    <w:nsid w:val="7ABF196A"/>
    <w:multiLevelType w:val="hybridMultilevel"/>
    <w:lvl w:ilvl="0">
      <w:lvlJc w:val="left"/>
      <w:lvlText w:val="(%1)"/>
      <w:numFmt w:val="lowerLetter"/>
      <w:start w:val="1"/>
    </w:lvl>
  </w:abstractNum>
  <w:abstractNum w:abstractNumId="204">
    <w:nsid w:val="5E4DB968"/>
    <w:multiLevelType w:val="hybridMultilevel"/>
    <w:lvl w:ilvl="0">
      <w:lvlJc w:val="left"/>
      <w:lvlText w:val="5"/>
      <w:numFmt w:val="bullet"/>
      <w:start w:val="1"/>
    </w:lvl>
  </w:abstractNum>
  <w:abstractNum w:abstractNumId="205">
    <w:nsid w:val="2C06DCF3"/>
    <w:multiLevelType w:val="hybridMultilevel"/>
    <w:lvl w:ilvl="0">
      <w:lvlJc w:val="left"/>
      <w:lvlText w:val="(%1)"/>
      <w:numFmt w:val="lowerLetter"/>
      <w:start w:val="3"/>
    </w:lvl>
  </w:abstractNum>
  <w:abstractNum w:abstractNumId="206">
    <w:nsid w:val="2E129658"/>
    <w:multiLevelType w:val="hybridMultilevel"/>
    <w:lvl w:ilvl="0">
      <w:lvlJc w:val="left"/>
      <w:lvlText w:val="(%1)"/>
      <w:numFmt w:val="lowerLetter"/>
      <w:start w:val="1"/>
    </w:lvl>
  </w:abstractNum>
  <w:abstractNum w:abstractNumId="207">
    <w:nsid w:val="59F0446"/>
    <w:multiLevelType w:val="hybridMultilevel"/>
    <w:lvl w:ilvl="0">
      <w:lvlJc w:val="left"/>
      <w:lvlText w:val="(%1)"/>
      <w:numFmt w:val="lowerLetter"/>
      <w:start w:val="1"/>
    </w:lvl>
  </w:abstractNum>
  <w:abstractNum w:abstractNumId="208">
    <w:nsid w:val="30DF306"/>
    <w:multiLevelType w:val="hybridMultilevel"/>
    <w:lvl w:ilvl="0">
      <w:lvlJc w:val="left"/>
      <w:lvlText w:val="6"/>
      <w:numFmt w:val="bullet"/>
      <w:start w:val="1"/>
    </w:lvl>
  </w:abstractNum>
  <w:abstractNum w:abstractNumId="209">
    <w:nsid w:val="A65647"/>
    <w:multiLevelType w:val="hybridMultilevel"/>
    <w:lvl w:ilvl="0">
      <w:lvlJc w:val="left"/>
      <w:lvlText w:val="(%1)"/>
      <w:numFmt w:val="lowerLetter"/>
      <w:start w:val="4"/>
    </w:lvl>
  </w:abstractNum>
  <w:abstractNum w:abstractNumId="210">
    <w:nsid w:val="3E5E582B"/>
    <w:multiLevelType w:val="hybridMultilevel"/>
    <w:lvl w:ilvl="0">
      <w:lvlJc w:val="left"/>
      <w:lvlText w:val="(%1)"/>
      <w:numFmt w:val="lowerLetter"/>
      <w:start w:val="1"/>
    </w:lvl>
  </w:abstractNum>
  <w:abstractNum w:abstractNumId="211">
    <w:nsid w:val="257D4626"/>
    <w:multiLevelType w:val="hybridMultilevel"/>
    <w:lvl w:ilvl="0">
      <w:lvlJc w:val="left"/>
      <w:lvlText w:val="7"/>
      <w:numFmt w:val="bullet"/>
      <w:start w:val="1"/>
    </w:lvl>
  </w:abstractNum>
  <w:abstractNum w:abstractNumId="212">
    <w:nsid w:val="5AA8580E"/>
    <w:multiLevelType w:val="hybridMultilevel"/>
    <w:lvl w:ilvl="0">
      <w:lvlJc w:val="left"/>
      <w:lvlText w:val="(%1)"/>
      <w:numFmt w:val="lowerLetter"/>
      <w:start w:val="2"/>
    </w:lvl>
  </w:abstractNum>
  <w:abstractNum w:abstractNumId="213">
    <w:nsid w:val="68FA8D0D"/>
    <w:multiLevelType w:val="hybridMultilevel"/>
    <w:lvl w:ilvl="0">
      <w:lvlJc w:val="left"/>
      <w:lvlText w:val="."/>
      <w:numFmt w:val="bullet"/>
      <w:start w:val="1"/>
    </w:lvl>
  </w:abstractNum>
  <w:abstractNum w:abstractNumId="214">
    <w:nsid w:val="40F2CBD2"/>
    <w:multiLevelType w:val="hybridMultilevel"/>
    <w:lvl w:ilvl="0">
      <w:lvlJc w:val="left"/>
      <w:lvlText w:val="8"/>
      <w:numFmt w:val="bullet"/>
      <w:start w:val="1"/>
    </w:lvl>
  </w:abstractNum>
  <w:abstractNum w:abstractNumId="215">
    <w:nsid w:val="3BD615EB"/>
    <w:multiLevelType w:val="hybridMultilevel"/>
    <w:lvl w:ilvl="0">
      <w:lvlJc w:val="left"/>
      <w:lvlText w:val="(%1)"/>
      <w:numFmt w:val="lowerLetter"/>
      <w:start w:val="1"/>
    </w:lvl>
  </w:abstractNum>
  <w:abstractNum w:abstractNumId="216">
    <w:nsid w:val="A045AB2"/>
    <w:multiLevelType w:val="hybridMultilevel"/>
    <w:lvl w:ilvl="0">
      <w:lvlJc w:val="left"/>
      <w:lvlText w:val="9"/>
      <w:numFmt w:val="bullet"/>
      <w:start w:val="1"/>
    </w:lvl>
  </w:abstractNum>
  <w:abstractNum w:abstractNumId="217">
    <w:nsid w:val="1872261F"/>
    <w:multiLevelType w:val="hybridMultilevel"/>
    <w:lvl w:ilvl="0">
      <w:lvlJc w:val="left"/>
      <w:lvlText w:val="(%1)"/>
      <w:numFmt w:val="lowerLetter"/>
      <w:start w:val="4"/>
    </w:lvl>
  </w:abstractNum>
  <w:abstractNum w:abstractNumId="218">
    <w:nsid w:val="3DE8306C"/>
    <w:multiLevelType w:val="hybridMultilevel"/>
    <w:lvl w:ilvl="0">
      <w:lvlJc w:val="left"/>
      <w:lvlText w:val="%1"/>
      <w:numFmt w:val="decimal"/>
      <w:start w:val="10"/>
    </w:lvl>
  </w:abstractNum>
  <w:abstractNum w:abstractNumId="219">
    <w:nsid w:val="7631573A"/>
    <w:multiLevelType w:val="hybridMultilevel"/>
    <w:lvl w:ilvl="0">
      <w:lvlJc w:val="left"/>
      <w:lvlText w:val="(%1)"/>
      <w:numFmt w:val="lowerLetter"/>
      <w:start w:val="1"/>
    </w:lvl>
    <w:lvl w:ilvl="1">
      <w:lvlJc w:val="left"/>
      <w:lvlText w:val="(%2)"/>
      <w:numFmt w:val="lowerRoman"/>
      <w:start w:val="1"/>
    </w:lvl>
  </w:abstractNum>
  <w:abstractNum w:abstractNumId="220">
    <w:nsid w:val="58DF53B"/>
    <w:multiLevelType w:val="hybridMultilevel"/>
    <w:lvl w:ilvl="0">
      <w:lvlJc w:val="left"/>
      <w:lvlText w:val="%1"/>
      <w:numFmt w:val="decimal"/>
      <w:start w:val="11"/>
    </w:lvl>
  </w:abstractNum>
  <w:abstractNum w:abstractNumId="221">
    <w:nsid w:val="ACDFAC0"/>
    <w:multiLevelType w:val="hybridMultilevel"/>
    <w:lvl w:ilvl="0">
      <w:lvlJc w:val="left"/>
      <w:lvlText w:val="%1"/>
      <w:numFmt w:val="lowerLetter"/>
      <w:start w:val="1"/>
    </w:lvl>
    <w:lvl w:ilvl="1">
      <w:lvlJc w:val="left"/>
      <w:lvlText w:val="(%2)"/>
      <w:numFmt w:val="lowerRoman"/>
      <w:start w:val="4"/>
    </w:lvl>
  </w:abstractNum>
  <w:abstractNum w:abstractNumId="222">
    <w:nsid w:val="1F578454"/>
    <w:multiLevelType w:val="hybridMultilevel"/>
    <w:lvl w:ilvl="0">
      <w:lvlJc w:val="left"/>
      <w:lvlText w:val="(%1)"/>
      <w:numFmt w:val="lowerLetter"/>
      <w:start w:val="2"/>
    </w:lvl>
    <w:lvl w:ilvl="1">
      <w:lvlJc w:val="left"/>
      <w:lvlText w:val="(%2)"/>
      <w:numFmt w:val="lowerRoman"/>
      <w:start w:val="1"/>
    </w:lvl>
  </w:abstractNum>
  <w:abstractNum w:abstractNumId="223">
    <w:nsid w:val="5B0DAD2A"/>
    <w:multiLevelType w:val="hybridMultilevel"/>
    <w:lvl w:ilvl="0">
      <w:lvlJc w:val="left"/>
      <w:lvlText w:val="%1"/>
      <w:numFmt w:val="decimal"/>
      <w:start w:val="12"/>
    </w:lvl>
  </w:abstractNum>
  <w:abstractNum w:abstractNumId="224">
    <w:nsid w:val="4E3D26AB"/>
    <w:multiLevelType w:val="hybridMultilevel"/>
    <w:lvl w:ilvl="0">
      <w:lvlJc w:val="left"/>
      <w:lvlText w:val="(%1)"/>
      <w:numFmt w:val="lowerLetter"/>
      <w:start w:val="6"/>
    </w:lvl>
  </w:abstractNum>
  <w:abstractNum w:abstractNumId="225">
    <w:nsid w:val="BE2C8BA"/>
    <w:multiLevelType w:val="hybridMultilevel"/>
    <w:lvl w:ilvl="0">
      <w:lvlJc w:val="left"/>
      <w:lvlText w:val="%1"/>
      <w:numFmt w:val="decimal"/>
      <w:start w:val="13"/>
    </w:lvl>
  </w:abstractNum>
  <w:abstractNum w:abstractNumId="226">
    <w:nsid w:val="7B14914E"/>
    <w:multiLevelType w:val="hybridMultilevel"/>
    <w:lvl w:ilvl="0">
      <w:lvlJc w:val="left"/>
      <w:lvlText w:val="(%1)"/>
      <w:numFmt w:val="lowerLetter"/>
      <w:start w:val="14"/>
    </w:lvl>
  </w:abstractNum>
  <w:abstractNum w:abstractNumId="227">
    <w:nsid w:val="6F0939F8"/>
    <w:multiLevelType w:val="hybridMultilevel"/>
    <w:lvl w:ilvl="0">
      <w:lvlJc w:val="left"/>
      <w:lvlText w:val="(%1)"/>
      <w:numFmt w:val="lowerLetter"/>
      <w:start w:val="1"/>
    </w:lvl>
  </w:abstractNum>
  <w:abstractNum w:abstractNumId="228">
    <w:nsid w:val="154291F6"/>
    <w:multiLevelType w:val="hybridMultilevel"/>
    <w:lvl w:ilvl="0">
      <w:lvlJc w:val="left"/>
      <w:lvlText w:val="%1"/>
      <w:numFmt w:val="decimal"/>
      <w:start w:val="14"/>
    </w:lvl>
  </w:abstractNum>
  <w:abstractNum w:abstractNumId="229">
    <w:nsid w:val="3CEBD7C7"/>
    <w:multiLevelType w:val="hybridMultilevel"/>
    <w:lvl w:ilvl="0">
      <w:lvlJc w:val="left"/>
      <w:lvlText w:val="(%1)"/>
      <w:numFmt w:val="lowerLetter"/>
      <w:start w:val="4"/>
    </w:lvl>
  </w:abstractNum>
  <w:abstractNum w:abstractNumId="230">
    <w:nsid w:val="60EE9C16"/>
    <w:multiLevelType w:val="hybridMultilevel"/>
    <w:lvl w:ilvl="0">
      <w:lvlJc w:val="left"/>
      <w:lvlText w:val="(%1)"/>
      <w:numFmt w:val="lowerLetter"/>
      <w:start w:val="1"/>
    </w:lvl>
  </w:abstractNum>
  <w:abstractNum w:abstractNumId="231">
    <w:nsid w:val="6385489E"/>
    <w:multiLevelType w:val="hybridMultilevel"/>
    <w:lvl w:ilvl="0">
      <w:lvlJc w:val="left"/>
      <w:lvlText w:val="%1"/>
      <w:numFmt w:val="decimal"/>
      <w:start w:val="15"/>
    </w:lvl>
  </w:abstractNum>
  <w:abstractNum w:abstractNumId="232">
    <w:nsid w:val="E4B973"/>
    <w:multiLevelType w:val="hybridMultilevel"/>
    <w:lvl w:ilvl="0">
      <w:lvlJc w:val="left"/>
      <w:lvlText w:val="(%1)"/>
      <w:numFmt w:val="lowerLetter"/>
      <w:start w:val="4"/>
    </w:lvl>
  </w:abstractNum>
  <w:abstractNum w:abstractNumId="233">
    <w:nsid w:val="4A0FFA11"/>
    <w:multiLevelType w:val="hybridMultilevel"/>
    <w:lvl w:ilvl="0">
      <w:lvlJc w:val="left"/>
      <w:lvlText w:val="%1"/>
      <w:numFmt w:val="decimal"/>
      <w:start w:val="16"/>
    </w:lvl>
  </w:abstractNum>
  <w:abstractNum w:abstractNumId="234">
    <w:nsid w:val="5E446208"/>
    <w:multiLevelType w:val="hybridMultilevel"/>
    <w:lvl w:ilvl="0">
      <w:lvlJc w:val="left"/>
      <w:lvlText w:val="(%1)"/>
      <w:numFmt w:val="lowerLetter"/>
      <w:start w:val="1"/>
    </w:lvl>
  </w:abstractNum>
  <w:abstractNum w:abstractNumId="235">
    <w:nsid w:val="5F3272DB"/>
    <w:multiLevelType w:val="hybridMultilevel"/>
    <w:lvl w:ilvl="0">
      <w:lvlJc w:val="left"/>
      <w:lvlText w:val="%1"/>
      <w:numFmt w:val="decimal"/>
      <w:start w:val="17"/>
    </w:lvl>
  </w:abstractNum>
  <w:abstractNum w:abstractNumId="236">
    <w:nsid w:val="7616D704"/>
    <w:multiLevelType w:val="hybridMultilevel"/>
    <w:lvl w:ilvl="0">
      <w:lvlJc w:val="left"/>
      <w:lvlText w:val="."/>
      <w:numFmt w:val="bullet"/>
      <w:start w:val="1"/>
    </w:lvl>
  </w:abstractNum>
  <w:abstractNum w:abstractNumId="237">
    <w:nsid w:val="C56F860"/>
    <w:multiLevelType w:val="hybridMultilevel"/>
    <w:lvl w:ilvl="0">
      <w:lvlJc w:val="left"/>
      <w:lvlText w:val="%1"/>
      <w:numFmt w:val="decimal"/>
      <w:start w:val="18"/>
    </w:lvl>
  </w:abstractNum>
  <w:abstractNum w:abstractNumId="238">
    <w:nsid w:val="64D17722"/>
    <w:multiLevelType w:val="hybridMultilevel"/>
    <w:lvl w:ilvl="0">
      <w:lvlJc w:val="left"/>
      <w:lvlText w:val="(%1)"/>
      <w:numFmt w:val="lowerLetter"/>
      <w:start w:val="1"/>
    </w:lvl>
  </w:abstractNum>
  <w:abstractNum w:abstractNumId="239">
    <w:nsid w:val="7924CA0A"/>
    <w:multiLevelType w:val="hybridMultilevel"/>
    <w:lvl w:ilvl="0">
      <w:lvlJc w:val="left"/>
      <w:lvlText w:val="%1"/>
      <w:numFmt w:val="decimal"/>
      <w:start w:val="19"/>
    </w:lvl>
  </w:abstractNum>
  <w:abstractNum w:abstractNumId="240">
    <w:nsid w:val="CFD4EA7"/>
    <w:multiLevelType w:val="hybridMultilevel"/>
    <w:lvl w:ilvl="0">
      <w:lvlJc w:val="left"/>
      <w:lvlText w:val="(%1)"/>
      <w:numFmt w:val="lowerLetter"/>
      <w:start w:val="1"/>
    </w:lvl>
  </w:abstractNum>
  <w:abstractNum w:abstractNumId="241">
    <w:nsid w:val="232FCF4D"/>
    <w:multiLevelType w:val="hybridMultilevel"/>
    <w:lvl w:ilvl="0">
      <w:lvlJc w:val="left"/>
      <w:lvlText w:val="%1"/>
      <w:numFmt w:val="decimal"/>
      <w:start w:val="20"/>
    </w:lvl>
  </w:abstractNum>
  <w:abstractNum w:abstractNumId="242">
    <w:nsid w:val="1EA21031"/>
    <w:multiLevelType w:val="hybridMultilevel"/>
    <w:lvl w:ilvl="0">
      <w:lvlJc w:val="left"/>
      <w:lvlText w:val="%1"/>
      <w:numFmt w:val="lowerLetter"/>
      <w:start w:val="1"/>
    </w:lvl>
    <w:lvl w:ilvl="1">
      <w:lvlJc w:val="left"/>
      <w:lvlText w:val="(%2)"/>
      <w:numFmt w:val="lowerLetter"/>
      <w:start w:val="1"/>
    </w:lvl>
  </w:abstractNum>
  <w:abstractNum w:abstractNumId="243">
    <w:nsid w:val="67A5A6B5"/>
    <w:multiLevelType w:val="hybridMultilevel"/>
    <w:lvl w:ilvl="0">
      <w:lvlJc w:val="left"/>
      <w:lvlText w:val="(%1)"/>
      <w:numFmt w:val="lowerLetter"/>
      <w:start w:val="61"/>
    </w:lvl>
    <w:lvl w:ilvl="1">
      <w:lvlJc w:val="left"/>
      <w:lvlText w:val="(%2)"/>
      <w:numFmt w:val="lowerLetter"/>
      <w:start w:val="2"/>
    </w:lvl>
  </w:abstractNum>
  <w:abstractNum w:abstractNumId="244">
    <w:nsid w:val="C2A5C5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5">
    <w:nsid w:val="5F94DC03"/>
    <w:multiLevelType w:val="hybridMultilevel"/>
    <w:lvl w:ilvl="0">
      <w:lvlJc w:val="left"/>
      <w:lvlText w:val="%1"/>
      <w:numFmt w:val="decimal"/>
      <w:start w:val="21"/>
    </w:lvl>
  </w:abstractNum>
  <w:abstractNum w:abstractNumId="246">
    <w:nsid w:val="237BBCA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47">
    <w:nsid w:val="162EB70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48">
    <w:nsid w:val="78070222"/>
    <w:multiLevelType w:val="hybridMultilevel"/>
    <w:lvl w:ilvl="0">
      <w:lvlJc w:val="left"/>
      <w:lvlText w:val="%1"/>
      <w:numFmt w:val="decimal"/>
      <w:start w:val="22"/>
    </w:lvl>
  </w:abstractNum>
  <w:abstractNum w:abstractNumId="249">
    <w:nsid w:val="6163ED0D"/>
    <w:multiLevelType w:val="hybridMultilevel"/>
    <w:lvl w:ilvl="0">
      <w:lvlJc w:val="left"/>
      <w:lvlText w:val="(%1)"/>
      <w:numFmt w:val="lowerLetter"/>
      <w:start w:val="3"/>
    </w:lvl>
  </w:abstractNum>
  <w:abstractNum w:abstractNumId="250">
    <w:nsid w:val="C600E47"/>
    <w:multiLevelType w:val="hybridMultilevel"/>
    <w:lvl w:ilvl="0">
      <w:lvlJc w:val="left"/>
      <w:lvlText w:val="%1"/>
      <w:numFmt w:val="decimal"/>
      <w:start w:val="23"/>
    </w:lvl>
  </w:abstractNum>
  <w:abstractNum w:abstractNumId="251">
    <w:nsid w:val="7D94F75D"/>
    <w:multiLevelType w:val="hybridMultilevel"/>
    <w:lvl w:ilvl="0">
      <w:lvlJc w:val="left"/>
      <w:lvlText w:val="(%1)"/>
      <w:numFmt w:val="lowerLetter"/>
      <w:start w:val="1"/>
    </w:lvl>
    <w:lvl w:ilvl="1">
      <w:lvlJc w:val="left"/>
      <w:lvlText w:val="(%2)"/>
      <w:numFmt w:val="lowerRoman"/>
      <w:start w:val="1"/>
    </w:lvl>
  </w:abstractNum>
  <w:abstractNum w:abstractNumId="252">
    <w:nsid w:val="6C31E7CD"/>
    <w:multiLevelType w:val="hybridMultilevel"/>
    <w:lvl w:ilvl="0">
      <w:lvlJc w:val="left"/>
      <w:lvlText w:val="%1"/>
      <w:numFmt w:val="decimal"/>
      <w:start w:val="24"/>
    </w:lvl>
  </w:abstractNum>
  <w:abstractNum w:abstractNumId="253">
    <w:nsid w:val="2BB7929B"/>
    <w:multiLevelType w:val="hybridMultilevel"/>
    <w:lvl w:ilvl="0">
      <w:lvlJc w:val="left"/>
      <w:lvlText w:val="(%1)"/>
      <w:numFmt w:val="lowerLetter"/>
      <w:start w:val="1"/>
    </w:lvl>
  </w:abstractNum>
  <w:abstractNum w:abstractNumId="254">
    <w:nsid w:val="58A2A487"/>
    <w:multiLevelType w:val="hybridMultilevel"/>
    <w:lvl w:ilvl="0">
      <w:lvlJc w:val="left"/>
      <w:lvlText w:val="(%1)"/>
      <w:numFmt w:val="lowerLetter"/>
      <w:start w:val="1"/>
    </w:lvl>
  </w:abstractNum>
  <w:abstractNum w:abstractNumId="255">
    <w:nsid w:val="3A6F0E78"/>
    <w:multiLevelType w:val="hybridMultilevel"/>
    <w:lvl w:ilvl="0">
      <w:lvlJc w:val="left"/>
      <w:lvlText w:val="%1"/>
      <w:numFmt w:val="decimal"/>
      <w:start w:val="25"/>
    </w:lvl>
  </w:abstractNum>
  <w:abstractNum w:abstractNumId="256">
    <w:nsid w:val="379A5B56"/>
    <w:multiLevelType w:val="hybridMultilevel"/>
    <w:lvl w:ilvl="0">
      <w:lvlJc w:val="left"/>
      <w:lvlText w:val="."/>
      <w:numFmt w:val="bullet"/>
      <w:start w:val="1"/>
    </w:lvl>
  </w:abstractNum>
  <w:abstractNum w:abstractNumId="257">
    <w:nsid w:val="53B735D5"/>
    <w:multiLevelType w:val="hybridMultilevel"/>
    <w:lvl w:ilvl="0">
      <w:lvlJc w:val="left"/>
      <w:lvlText w:val="(%1)"/>
      <w:numFmt w:val="lowerLetter"/>
      <w:start w:val="1"/>
    </w:lvl>
  </w:abstractNum>
  <w:abstractNum w:abstractNumId="258">
    <w:nsid w:val="29784870"/>
    <w:multiLevelType w:val="hybridMultilevel"/>
    <w:lvl w:ilvl="0">
      <w:lvlJc w:val="left"/>
      <w:lvlText w:val="%1"/>
      <w:numFmt w:val="decimal"/>
      <w:start w:val="26"/>
    </w:lvl>
  </w:abstractNum>
  <w:abstractNum w:abstractNumId="259">
    <w:nsid w:val="4CDCED4C"/>
    <w:multiLevelType w:val="hybridMultilevel"/>
    <w:lvl w:ilvl="0">
      <w:lvlJc w:val="left"/>
      <w:lvlText w:val="(%1)"/>
      <w:numFmt w:val="lowerLetter"/>
      <w:start w:val="3"/>
    </w:lvl>
  </w:abstractNum>
  <w:abstractNum w:abstractNumId="260">
    <w:nsid w:val="10A30D9C"/>
    <w:multiLevelType w:val="hybridMultilevel"/>
    <w:lvl w:ilvl="0">
      <w:lvlJc w:val="left"/>
      <w:lvlText w:val="(%1)"/>
      <w:numFmt w:val="lowerLetter"/>
      <w:start w:val="1"/>
    </w:lvl>
  </w:abstractNum>
  <w:abstractNum w:abstractNumId="261">
    <w:nsid w:val="A66E486"/>
    <w:multiLevelType w:val="hybridMultilevel"/>
    <w:lvl w:ilvl="0">
      <w:lvlJc w:val="left"/>
      <w:lvlText w:val="%1"/>
      <w:numFmt w:val="decimal"/>
      <w:start w:val="27"/>
    </w:lvl>
  </w:abstractNum>
  <w:abstractNum w:abstractNumId="262">
    <w:nsid w:val="306235EA"/>
    <w:multiLevelType w:val="hybridMultilevel"/>
    <w:lvl w:ilvl="0">
      <w:lvlJc w:val="left"/>
      <w:lvlText w:val="(%1)"/>
      <w:numFmt w:val="lowerLetter"/>
      <w:start w:val="10"/>
    </w:lvl>
  </w:abstractNum>
  <w:abstractNum w:abstractNumId="263">
    <w:nsid w:val="1187C70F"/>
    <w:multiLevelType w:val="hybridMultilevel"/>
    <w:lvl w:ilvl="0">
      <w:lvlJc w:val="left"/>
      <w:lvlText w:val="%1"/>
      <w:numFmt w:val="lowerLetter"/>
      <w:start w:val="1"/>
    </w:lvl>
    <w:lvl w:ilvl="1">
      <w:lvlJc w:val="left"/>
      <w:lvlText w:val="(%2)"/>
      <w:numFmt w:val="lowerLetter"/>
      <w:start w:val="1"/>
    </w:lvl>
  </w:abstractNum>
  <w:abstractNum w:abstractNumId="264">
    <w:nsid w:val="5476DE98"/>
    <w:multiLevelType w:val="hybridMultilevel"/>
    <w:lvl w:ilvl="0">
      <w:lvlJc w:val="left"/>
      <w:lvlText w:val="(%1)"/>
      <w:numFmt w:val="lowerLetter"/>
      <w:start w:val="35"/>
    </w:lvl>
    <w:lvl w:ilvl="1">
      <w:lvlJc w:val="left"/>
      <w:lvlText w:val="%2"/>
      <w:numFmt w:val="lowerLetter"/>
      <w:start w:val="1"/>
    </w:lvl>
  </w:abstractNum>
  <w:abstractNum w:abstractNumId="265">
    <w:nsid w:val="EA697F2"/>
    <w:multiLevelType w:val="hybridMultilevel"/>
    <w:lvl w:ilvl="0">
      <w:lvlJc w:val="left"/>
      <w:lvlText w:val="%1"/>
      <w:numFmt w:val="decimal"/>
      <w:start w:val="28"/>
    </w:lvl>
  </w:abstractNum>
  <w:abstractNum w:abstractNumId="266">
    <w:nsid w:val="70BA39EB"/>
    <w:multiLevelType w:val="hybridMultilevel"/>
    <w:lvl w:ilvl="0">
      <w:lvlJc w:val="left"/>
      <w:lvlText w:val="(%1)"/>
      <w:numFmt w:val="lowerLetter"/>
      <w:start w:val="7"/>
    </w:lvl>
  </w:abstractNum>
  <w:abstractNum w:abstractNumId="267">
    <w:nsid w:val="4A8DB59C"/>
    <w:multiLevelType w:val="hybridMultilevel"/>
    <w:lvl w:ilvl="0">
      <w:lvlJc w:val="left"/>
      <w:lvlText w:val="(%1)"/>
      <w:numFmt w:val="lowerLetter"/>
      <w:start w:val="1"/>
    </w:lvl>
  </w:abstractNum>
  <w:abstractNum w:abstractNumId="268">
    <w:nsid w:val="1AFD9053"/>
    <w:multiLevelType w:val="hybridMultilevel"/>
    <w:lvl w:ilvl="0">
      <w:lvlJc w:val="left"/>
      <w:lvlText w:val="%1"/>
      <w:numFmt w:val="decimal"/>
      <w:start w:val="29"/>
    </w:lvl>
  </w:abstractNum>
  <w:abstractNum w:abstractNumId="269">
    <w:nsid w:val="558BB10D"/>
    <w:multiLevelType w:val="hybridMultilevel"/>
    <w:lvl w:ilvl="0">
      <w:lvlJc w:val="left"/>
      <w:lvlText w:val="(%1)"/>
      <w:numFmt w:val="lowerLetter"/>
      <w:start w:val="3"/>
    </w:lvl>
  </w:abstractNum>
  <w:abstractNum w:abstractNumId="270">
    <w:nsid w:val="43B27FA7"/>
    <w:multiLevelType w:val="hybridMultilevel"/>
    <w:lvl w:ilvl="0">
      <w:lvlJc w:val="left"/>
      <w:lvlText w:val="(%1)"/>
      <w:numFmt w:val="lowerLetter"/>
      <w:start w:val="4"/>
    </w:lvl>
  </w:abstractNum>
  <w:abstractNum w:abstractNumId="271">
    <w:nsid w:val="27FADEFA"/>
    <w:multiLevelType w:val="hybridMultilevel"/>
    <w:lvl w:ilvl="0">
      <w:lvlJc w:val="left"/>
      <w:lvlText w:val="%1"/>
      <w:numFmt w:val="decimal"/>
      <w:start w:val="30"/>
    </w:lvl>
  </w:abstractNum>
  <w:abstractNum w:abstractNumId="272">
    <w:nsid w:val="78BB805A"/>
    <w:multiLevelType w:val="hybridMultilevel"/>
    <w:lvl w:ilvl="0">
      <w:lvlJc w:val="left"/>
      <w:lvlText w:val="(%1)"/>
      <w:numFmt w:val="lowerLetter"/>
      <w:start w:val="1"/>
    </w:lvl>
  </w:abstractNum>
  <w:abstractNum w:abstractNumId="273">
    <w:nsid w:val="62548FD8"/>
    <w:multiLevelType w:val="hybridMultilevel"/>
    <w:lvl w:ilvl="0">
      <w:lvlJc w:val="left"/>
      <w:lvlText w:val="%1"/>
      <w:numFmt w:val="decimal"/>
      <w:start w:val="31"/>
    </w:lvl>
  </w:abstractNum>
  <w:abstractNum w:abstractNumId="274">
    <w:nsid w:val="FA085B0"/>
    <w:multiLevelType w:val="hybridMultilevel"/>
    <w:lvl w:ilvl="0">
      <w:lvlJc w:val="left"/>
      <w:lvlText w:val="(%1)"/>
      <w:numFmt w:val="lowerLetter"/>
      <w:start w:val="2"/>
    </w:lvl>
  </w:abstractNum>
  <w:abstractNum w:abstractNumId="275">
    <w:nsid w:val="4E5DCB5"/>
    <w:multiLevelType w:val="hybridMultilevel"/>
    <w:lvl w:ilvl="0">
      <w:lvlJc w:val="left"/>
      <w:lvlText w:val="%1"/>
      <w:numFmt w:val="decimal"/>
      <w:start w:val="32"/>
    </w:lvl>
  </w:abstractNum>
  <w:abstractNum w:abstractNumId="276">
    <w:nsid w:val="41E96BDB"/>
    <w:multiLevelType w:val="hybridMultilevel"/>
    <w:lvl w:ilvl="0">
      <w:lvlJc w:val="left"/>
      <w:lvlText w:val="(%1)"/>
      <w:numFmt w:val="lowerLetter"/>
      <w:start w:val="1"/>
    </w:lvl>
  </w:abstractNum>
  <w:abstractNum w:abstractNumId="277">
    <w:nsid w:val="331C4250"/>
    <w:multiLevelType w:val="hybridMultilevel"/>
    <w:lvl w:ilvl="0">
      <w:lvlJc w:val="left"/>
      <w:lvlText w:val="%1"/>
      <w:numFmt w:val="decimal"/>
      <w:start w:val="33"/>
    </w:lvl>
  </w:abstractNum>
  <w:abstractNum w:abstractNumId="278">
    <w:nsid w:val="1B1493C2"/>
    <w:multiLevelType w:val="hybridMultilevel"/>
    <w:lvl w:ilvl="0">
      <w:lvlJc w:val="left"/>
      <w:lvlText w:val="(%1)"/>
      <w:numFmt w:val="lowerLetter"/>
      <w:start w:val="2"/>
    </w:lvl>
  </w:abstractNum>
  <w:abstractNum w:abstractNumId="279">
    <w:nsid w:val="39F06DFD"/>
    <w:multiLevelType w:val="hybridMultilevel"/>
    <w:lvl w:ilvl="0">
      <w:lvlJc w:val="left"/>
      <w:lvlText w:val="%1"/>
      <w:numFmt w:val="decimal"/>
      <w:start w:val="34"/>
    </w:lvl>
  </w:abstractNum>
  <w:abstractNum w:abstractNumId="280">
    <w:nsid w:val="14802F5D"/>
    <w:multiLevelType w:val="hybridMultilevel"/>
    <w:lvl w:ilvl="0">
      <w:lvlJc w:val="left"/>
      <w:lvlText w:val="(%1)"/>
      <w:numFmt w:val="upperLetter"/>
      <w:start w:val="2"/>
    </w:lvl>
    <w:lvl w:ilvl="1">
      <w:lvlJc w:val="left"/>
      <w:lvlText w:val="(%2)"/>
      <w:numFmt w:val="lowerLetter"/>
      <w:start w:val="5"/>
    </w:lvl>
  </w:abstractNum>
  <w:abstractNum w:abstractNumId="281">
    <w:nsid w:val="2774A209"/>
    <w:multiLevelType w:val="hybridMultilevel"/>
    <w:lvl w:ilvl="0">
      <w:lvlJc w:val="left"/>
      <w:lvlText w:val="%1"/>
      <w:numFmt w:val="decimal"/>
      <w:start w:val="35"/>
    </w:lvl>
  </w:abstractNum>
  <w:abstractNum w:abstractNumId="282">
    <w:nsid w:val="3785655A"/>
    <w:multiLevelType w:val="hybridMultilevel"/>
    <w:lvl w:ilvl="0">
      <w:lvlJc w:val="left"/>
      <w:lvlText w:val="(%1)"/>
      <w:numFmt w:val="lowerLetter"/>
      <w:start w:val="1"/>
    </w:lvl>
    <w:lvl w:ilvl="1">
      <w:lvlJc w:val="left"/>
      <w:lvlText w:val="(%2)"/>
      <w:numFmt w:val="lowerRoman"/>
      <w:start w:val="1"/>
    </w:lvl>
  </w:abstractNum>
  <w:abstractNum w:abstractNumId="283">
    <w:nsid w:val="B2172A"/>
    <w:multiLevelType w:val="hybridMultilevel"/>
    <w:lvl w:ilvl="0">
      <w:lvlJc w:val="left"/>
      <w:lvlText w:val="%1"/>
      <w:numFmt w:val="decimal"/>
      <w:start w:val="36"/>
    </w:lvl>
  </w:abstractNum>
  <w:abstractNum w:abstractNumId="284">
    <w:nsid w:val="532C34A5"/>
    <w:multiLevelType w:val="hybridMultilevel"/>
    <w:lvl w:ilvl="0">
      <w:lvlJc w:val="left"/>
      <w:lvlText w:val="(%1)"/>
      <w:numFmt w:val="lowerLetter"/>
      <w:start w:val="4"/>
    </w:lvl>
  </w:abstractNum>
  <w:abstractNum w:abstractNumId="285">
    <w:nsid w:val="102809E2"/>
    <w:multiLevelType w:val="hybridMultilevel"/>
    <w:lvl w:ilvl="0">
      <w:lvlJc w:val="left"/>
      <w:lvlText w:val="%1"/>
      <w:numFmt w:val="decimal"/>
      <w:start w:val="37"/>
    </w:lvl>
  </w:abstractNum>
  <w:abstractNum w:abstractNumId="286">
    <w:nsid w:val="3B2125A3"/>
    <w:multiLevelType w:val="hybridMultilevel"/>
    <w:lvl w:ilvl="0">
      <w:lvlJc w:val="left"/>
      <w:lvlText w:val="(%1)"/>
      <w:numFmt w:val="lowerLetter"/>
      <w:start w:val="7"/>
    </w:lvl>
  </w:abstractNum>
  <w:abstractNum w:abstractNumId="287">
    <w:nsid w:val="AC68FFB"/>
    <w:multiLevelType w:val="hybridMultilevel"/>
    <w:lvl w:ilvl="0">
      <w:lvlJc w:val="left"/>
      <w:lvlText w:val="%1"/>
      <w:numFmt w:val="decimal"/>
      <w:start w:val="38"/>
    </w:lvl>
  </w:abstractNum>
  <w:abstractNum w:abstractNumId="288">
    <w:nsid w:val="63DF3FB7"/>
    <w:multiLevelType w:val="hybridMultilevel"/>
    <w:lvl w:ilvl="0">
      <w:lvlJc w:val="left"/>
      <w:lvlText w:val="(%1)"/>
      <w:numFmt w:val="lowerLetter"/>
      <w:start w:val="1"/>
    </w:lvl>
  </w:abstractNum>
  <w:abstractNum w:abstractNumId="289">
    <w:nsid w:val="64996E13"/>
    <w:multiLevelType w:val="hybridMultilevel"/>
    <w:lvl w:ilvl="0">
      <w:lvlJc w:val="left"/>
      <w:lvlText w:val="(%1)"/>
      <w:numFmt w:val="lowerLetter"/>
      <w:start w:val="1"/>
    </w:lvl>
  </w:abstractNum>
  <w:abstractNum w:abstractNumId="290">
    <w:nsid w:val="57A37D47"/>
    <w:multiLevelType w:val="hybridMultilevel"/>
    <w:lvl w:ilvl="0">
      <w:lvlJc w:val="left"/>
      <w:lvlText w:val="%1"/>
      <w:numFmt w:val="decimal"/>
      <w:start w:val="39"/>
    </w:lvl>
  </w:abstractNum>
  <w:abstractNum w:abstractNumId="291">
    <w:nsid w:val="74824D54"/>
    <w:multiLevelType w:val="hybridMultilevel"/>
    <w:lvl w:ilvl="0">
      <w:lvlJc w:val="left"/>
      <w:lvlText w:val="(%1)"/>
      <w:numFmt w:val="lowerLetter"/>
      <w:start w:val="1"/>
    </w:lvl>
  </w:abstractNum>
  <w:abstractNum w:abstractNumId="292">
    <w:nsid w:val="6F00529A"/>
    <w:multiLevelType w:val="hybridMultilevel"/>
    <w:lvl w:ilvl="0">
      <w:lvlJc w:val="left"/>
      <w:lvlText w:val="%1"/>
      <w:numFmt w:val="decimal"/>
      <w:start w:val="40"/>
    </w:lvl>
  </w:abstractNum>
  <w:abstractNum w:abstractNumId="293">
    <w:nsid w:val="805B331"/>
    <w:multiLevelType w:val="hybridMultilevel"/>
    <w:lvl w:ilvl="0">
      <w:lvlJc w:val="left"/>
      <w:lvlText w:val="(%1)"/>
      <w:numFmt w:val="lowerLetter"/>
      <w:start w:val="2"/>
    </w:lvl>
  </w:abstractNum>
  <w:abstractNum w:abstractNumId="294">
    <w:nsid w:val="60A1463"/>
    <w:multiLevelType w:val="hybridMultilevel"/>
    <w:lvl w:ilvl="0">
      <w:lvlJc w:val="left"/>
      <w:lvlText w:val="%1"/>
      <w:numFmt w:val="decimal"/>
      <w:start w:val="41"/>
    </w:lvl>
  </w:abstractNum>
  <w:abstractNum w:abstractNumId="295">
    <w:nsid w:val="43773132"/>
    <w:multiLevelType w:val="hybridMultilevel"/>
    <w:lvl w:ilvl="0">
      <w:lvlJc w:val="left"/>
      <w:lvlText w:val="(%1)"/>
      <w:numFmt w:val="lowerLetter"/>
      <w:start w:val="6"/>
    </w:lvl>
    <w:lvl w:ilvl="1">
      <w:lvlJc w:val="left"/>
      <w:lvlText w:val="(%2)"/>
      <w:numFmt w:val="lowerLetter"/>
      <w:start w:val="9"/>
    </w:lvl>
  </w:abstractNum>
  <w:abstractNum w:abstractNumId="296">
    <w:nsid w:val="16AC4B23"/>
    <w:multiLevelType w:val="hybridMultilevel"/>
    <w:lvl w:ilvl="0">
      <w:lvlJc w:val="left"/>
      <w:lvlText w:val="%1"/>
      <w:numFmt w:val="decimal"/>
      <w:start w:val="42"/>
    </w:lvl>
  </w:abstractNum>
  <w:abstractNum w:abstractNumId="297">
    <w:nsid w:val="76C44E4E"/>
    <w:multiLevelType w:val="hybridMultilevel"/>
    <w:lvl w:ilvl="0">
      <w:lvlJc w:val="left"/>
      <w:lvlText w:val="(%1)"/>
      <w:numFmt w:val="lowerLetter"/>
      <w:start w:val="35"/>
    </w:lvl>
    <w:lvl w:ilvl="1">
      <w:lvlJc w:val="left"/>
      <w:lvlText w:val="(%2)"/>
      <w:numFmt w:val="upperLetter"/>
      <w:start w:val="1"/>
    </w:lvl>
    <w:lvl w:ilvl="2">
      <w:lvlJc w:val="left"/>
      <w:lvlText w:val="(%3)"/>
      <w:numFmt w:val="decimal"/>
      <w:start w:val="1"/>
    </w:lvl>
  </w:abstractNum>
  <w:abstractNum w:abstractNumId="298">
    <w:nsid w:val="E04E6CE"/>
    <w:multiLevelType w:val="hybridMultilevel"/>
    <w:lvl w:ilvl="0">
      <w:lvlJc w:val="left"/>
      <w:lvlText w:val="%1"/>
      <w:numFmt w:val="decimal"/>
      <w:start w:val="43"/>
    </w:lvl>
  </w:abstractNum>
  <w:abstractNum w:abstractNumId="299">
    <w:nsid w:val="31A9DB76"/>
    <w:multiLevelType w:val="hybridMultilevel"/>
    <w:lvl w:ilvl="0">
      <w:lvlJc w:val="left"/>
      <w:lvlText w:val="%1"/>
      <w:numFmt w:val="lowerRoman"/>
      <w:start w:val="1"/>
    </w:lvl>
    <w:lvl w:ilvl="1">
      <w:lvlJc w:val="left"/>
      <w:lvlText w:val="(%2)"/>
      <w:numFmt w:val="upperLetter"/>
      <w:start w:val="3"/>
    </w:lvl>
  </w:abstractNum>
  <w:abstractNum w:abstractNumId="300">
    <w:nsid w:val="4C4FFF5B"/>
    <w:multiLevelType w:val="hybridMultilevel"/>
    <w:lvl w:ilvl="0">
      <w:lvlJc w:val="left"/>
      <w:lvlText w:val="(%1)"/>
      <w:numFmt w:val="lowerRoman"/>
      <w:start w:val="3"/>
    </w:lvl>
    <w:lvl w:ilvl="1">
      <w:lvlJc w:val="left"/>
      <w:lvlText w:val="%2"/>
      <w:numFmt w:val="upperLetter"/>
      <w:start w:val="1"/>
    </w:lvl>
  </w:abstractNum>
  <w:abstractNum w:abstractNumId="301">
    <w:nsid w:val="51B76675"/>
    <w:multiLevelType w:val="hybridMultilevel"/>
    <w:lvl w:ilvl="0">
      <w:lvlJc w:val="left"/>
      <w:lvlText w:val="%1"/>
      <w:numFmt w:val="decimal"/>
      <w:start w:val="44"/>
    </w:lvl>
  </w:abstractNum>
  <w:abstractNum w:abstractNumId="302">
    <w:nsid w:val="59A4BA71"/>
    <w:multiLevelType w:val="hybridMultilevel"/>
    <w:lvl w:ilvl="0">
      <w:lvlJc w:val="left"/>
      <w:lvlText w:val="(%1)"/>
      <w:numFmt w:val="lowerLetter"/>
      <w:start w:val="8"/>
    </w:lvl>
  </w:abstractNum>
  <w:abstractNum w:abstractNumId="303">
    <w:nsid w:val="450B7FB6"/>
    <w:multiLevelType w:val="hybridMultilevel"/>
    <w:lvl w:ilvl="0">
      <w:lvlJc w:val="left"/>
      <w:lvlText w:val="(%1)"/>
      <w:numFmt w:val="lowerLetter"/>
      <w:start w:val="1"/>
    </w:lvl>
    <w:lvl w:ilvl="1">
      <w:lvlJc w:val="left"/>
      <w:lvlText w:val="(%2)"/>
      <w:numFmt w:val="lowerLetter"/>
      <w:start w:val="9"/>
    </w:lvl>
  </w:abstractNum>
  <w:abstractNum w:abstractNumId="304">
    <w:nsid w:val="340BF64D"/>
    <w:multiLevelType w:val="hybridMultilevel"/>
    <w:lvl w:ilvl="0">
      <w:lvlJc w:val="left"/>
      <w:lvlText w:val="%1"/>
      <w:numFmt w:val="decimal"/>
      <w:start w:val="45"/>
    </w:lvl>
  </w:abstractNum>
  <w:abstractNum w:abstractNumId="305">
    <w:nsid w:val="69454021"/>
    <w:multiLevelType w:val="hybridMultilevel"/>
    <w:lvl w:ilvl="0">
      <w:lvlJc w:val="left"/>
      <w:lvlText w:val="(%1)"/>
      <w:numFmt w:val="lowerRoman"/>
      <w:start w:val="2"/>
    </w:lvl>
  </w:abstractNum>
  <w:abstractNum w:abstractNumId="306">
    <w:nsid w:val="49F15C6B"/>
    <w:multiLevelType w:val="hybridMultilevel"/>
    <w:lvl w:ilvl="0">
      <w:lvlJc w:val="left"/>
      <w:lvlText w:val="(%1)"/>
      <w:numFmt w:val="lowerLetter"/>
      <w:start w:val="2"/>
    </w:lvl>
  </w:abstractNum>
  <w:abstractNum w:abstractNumId="307">
    <w:nsid w:val="75F56228"/>
    <w:multiLevelType w:val="hybridMultilevel"/>
    <w:lvl w:ilvl="0">
      <w:lvlJc w:val="left"/>
      <w:lvlText w:val="%1"/>
      <w:numFmt w:val="decimal"/>
      <w:start w:val="46"/>
    </w:lvl>
  </w:abstractNum>
  <w:abstractNum w:abstractNumId="308">
    <w:nsid w:val="1C618271"/>
    <w:multiLevelType w:val="hybridMultilevel"/>
    <w:lvl w:ilvl="0">
      <w:lvlJc w:val="left"/>
      <w:lvlText w:val="(%1)"/>
      <w:numFmt w:val="lowerLetter"/>
      <w:start w:val="4"/>
    </w:lvl>
  </w:abstractNum>
  <w:abstractNum w:abstractNumId="309">
    <w:nsid w:val="6505F02E"/>
    <w:multiLevelType w:val="hybridMultilevel"/>
    <w:lvl w:ilvl="0">
      <w:lvlJc w:val="left"/>
      <w:lvlText w:val="%1"/>
      <w:numFmt w:val="decimal"/>
      <w:start w:val="47"/>
    </w:lvl>
  </w:abstractNum>
  <w:abstractNum w:abstractNumId="310">
    <w:nsid w:val="2FE5D025"/>
    <w:multiLevelType w:val="hybridMultilevel"/>
    <w:lvl w:ilvl="0">
      <w:lvlJc w:val="left"/>
      <w:lvlText w:val="(%1)"/>
      <w:numFmt w:val="lowerRoman"/>
      <w:start w:val="1"/>
    </w:lvl>
  </w:abstractNum>
  <w:abstractNum w:abstractNumId="311">
    <w:nsid w:val="30E1B1CF"/>
    <w:multiLevelType w:val="hybridMultilevel"/>
    <w:lvl w:ilvl="0">
      <w:lvlJc w:val="left"/>
      <w:lvlText w:val="%1"/>
      <w:numFmt w:val="lowerLetter"/>
      <w:start w:val="1"/>
    </w:lvl>
    <w:lvl w:ilvl="1">
      <w:lvlJc w:val="left"/>
      <w:lvlText w:val="(%2)"/>
      <w:numFmt w:val="lowerLetter"/>
      <w:start w:val="1"/>
    </w:lvl>
  </w:abstractNum>
  <w:abstractNum w:abstractNumId="312">
    <w:nsid w:val="C7A9237"/>
    <w:multiLevelType w:val="hybridMultilevel"/>
    <w:lvl w:ilvl="0">
      <w:lvlJc w:val="left"/>
      <w:lvlText w:val="(%1)"/>
      <w:numFmt w:val="lowerLetter"/>
      <w:start w:val="61"/>
    </w:lvl>
    <w:lvl w:ilvl="1">
      <w:lvlJc w:val="left"/>
      <w:lvlText w:val="(%2)"/>
      <w:numFmt w:val="lowerLetter"/>
      <w:start w:val="2"/>
    </w:lvl>
  </w:abstractNum>
  <w:abstractNum w:abstractNumId="313">
    <w:nsid w:val="676B3580"/>
    <w:multiLevelType w:val="hybridMultilevel"/>
    <w:lvl w:ilvl="0">
      <w:lvlJc w:val="left"/>
      <w:lvlText w:val="%1"/>
      <w:numFmt w:val="decimal"/>
      <w:start w:val="48"/>
    </w:lvl>
  </w:abstractNum>
  <w:abstractNum w:abstractNumId="314">
    <w:nsid w:val="3193C8F9"/>
    <w:multiLevelType w:val="hybridMultilevel"/>
    <w:lvl w:ilvl="0">
      <w:lvlJc w:val="left"/>
      <w:lvlText w:val="%1"/>
      <w:numFmt w:val="lowerRoman"/>
      <w:start w:val="1"/>
    </w:lvl>
    <w:lvl w:ilvl="1">
      <w:lvlJc w:val="left"/>
      <w:lvlText w:val="(%2)"/>
      <w:numFmt w:val="lowerLetter"/>
      <w:start w:val="1"/>
    </w:lvl>
  </w:abstractNum>
  <w:abstractNum w:abstractNumId="315">
    <w:nsid w:val="5FA6C6DC"/>
    <w:multiLevelType w:val="hybridMultilevel"/>
    <w:lvl w:ilvl="0">
      <w:lvlJc w:val="left"/>
      <w:lvlText w:val="(%1)"/>
      <w:numFmt w:val="lowerRoman"/>
      <w:start w:val="4"/>
    </w:lvl>
    <w:lvl w:ilvl="1">
      <w:lvlJc w:val="left"/>
      <w:lvlText w:val="%2"/>
      <w:numFmt w:val="lowerLetter"/>
      <w:start w:val="1"/>
    </w:lvl>
  </w:abstractNum>
  <w:abstractNum w:abstractNumId="316">
    <w:nsid w:val="77933F62"/>
    <w:multiLevelType w:val="hybridMultilevel"/>
    <w:lvl w:ilvl="0">
      <w:lvlJc w:val="left"/>
      <w:lvlText w:val="%1"/>
      <w:numFmt w:val="decimal"/>
      <w:start w:val="49"/>
    </w:lvl>
  </w:abstractNum>
  <w:abstractNum w:abstractNumId="317">
    <w:nsid w:val="6CB4EE9C"/>
    <w:multiLevelType w:val="hybridMultilevel"/>
    <w:lvl w:ilvl="0">
      <w:lvlJc w:val="left"/>
      <w:lvlText w:val="(%1)"/>
      <w:numFmt w:val="lowerLetter"/>
      <w:start w:val="1"/>
    </w:lvl>
    <w:lvl w:ilvl="1">
      <w:lvlJc w:val="left"/>
      <w:lvlText w:val="(%2)"/>
      <w:numFmt w:val="lowerRoman"/>
      <w:start w:val="1"/>
    </w:lvl>
  </w:abstractNum>
  <w:abstractNum w:abstractNumId="318">
    <w:nsid w:val="6A6D56D7"/>
    <w:multiLevelType w:val="hybridMultilevel"/>
    <w:lvl w:ilvl="0">
      <w:lvlJc w:val="left"/>
      <w:lvlText w:val="%1"/>
      <w:numFmt w:val="decimal"/>
      <w:start w:val="50"/>
    </w:lvl>
  </w:abstractNum>
  <w:abstractNum w:abstractNumId="319">
    <w:nsid w:val="5B727F19"/>
    <w:multiLevelType w:val="hybridMultilevel"/>
    <w:lvl w:ilvl="0">
      <w:lvlJc w:val="left"/>
      <w:lvlText w:val="(%1)"/>
      <w:numFmt w:val="lowerLetter"/>
      <w:start w:val="1"/>
    </w:lvl>
  </w:abstractNum>
  <w:abstractNum w:abstractNumId="320">
    <w:nsid w:val="514E5CB0"/>
    <w:multiLevelType w:val="hybridMultilevel"/>
    <w:lvl w:ilvl="0">
      <w:lvlJc w:val="left"/>
      <w:lvlText w:val="%1"/>
      <w:numFmt w:val="decimal"/>
      <w:start w:val="51"/>
    </w:lvl>
  </w:abstractNum>
  <w:abstractNum w:abstractNumId="321">
    <w:nsid w:val="4210D41E"/>
    <w:multiLevelType w:val="hybridMultilevel"/>
    <w:lvl w:ilvl="0">
      <w:lvlJc w:val="left"/>
      <w:lvlText w:val="."/>
      <w:numFmt w:val="bullet"/>
      <w:start w:val="1"/>
    </w:lvl>
  </w:abstractNum>
  <w:abstractNum w:abstractNumId="322">
    <w:nsid w:val="4FF4CC6D"/>
    <w:multiLevelType w:val="hybridMultilevel"/>
    <w:lvl w:ilvl="0">
      <w:lvlJc w:val="left"/>
      <w:lvlText w:val="."/>
      <w:numFmt w:val="bullet"/>
      <w:start w:val="1"/>
    </w:lvl>
  </w:abstractNum>
  <w:abstractNum w:abstractNumId="323">
    <w:nsid w:val="404EAF4A"/>
    <w:multiLevelType w:val="hybridMultilevel"/>
    <w:lvl w:ilvl="0">
      <w:lvlJc w:val="left"/>
      <w:lvlText w:val="%1"/>
      <w:numFmt w:val="decimal"/>
      <w:start w:val="52"/>
    </w:lvl>
  </w:abstractNum>
  <w:abstractNum w:abstractNumId="324">
    <w:nsid w:val="4A16874F"/>
    <w:multiLevelType w:val="hybridMultilevel"/>
    <w:lvl w:ilvl="0">
      <w:lvlJc w:val="left"/>
      <w:lvlText w:val="."/>
      <w:numFmt w:val="bullet"/>
      <w:start w:val="1"/>
    </w:lvl>
  </w:abstractNum>
  <w:abstractNum w:abstractNumId="325">
    <w:nsid w:val="55FEE0D1"/>
    <w:multiLevelType w:val="hybridMultilevel"/>
    <w:lvl w:ilvl="0">
      <w:lvlJc w:val="left"/>
      <w:lvlText w:val="."/>
      <w:numFmt w:val="bullet"/>
      <w:start w:val="1"/>
    </w:lvl>
    <w:lvl w:ilvl="1">
      <w:lvlJc w:val="left"/>
      <w:lvlText w:val="(%2)"/>
      <w:numFmt w:val="lowerLetter"/>
      <w:start w:val="1"/>
    </w:lvl>
  </w:abstractNum>
  <w:abstractNum w:abstractNumId="326">
    <w:nsid w:val="3C5E07C"/>
    <w:multiLevelType w:val="hybridMultilevel"/>
    <w:lvl w:ilvl="0">
      <w:lvlJc w:val="left"/>
      <w:lvlText w:val="%1"/>
      <w:numFmt w:val="decimal"/>
      <w:start w:val="53"/>
    </w:lvl>
  </w:abstractNum>
  <w:abstractNum w:abstractNumId="327">
    <w:nsid w:val="60C2D273"/>
    <w:multiLevelType w:val="hybridMultilevel"/>
    <w:lvl w:ilvl="0">
      <w:lvlJc w:val="left"/>
      <w:lvlText w:val="(%1)"/>
      <w:numFmt w:val="lowerLetter"/>
      <w:start w:val="4"/>
    </w:lvl>
  </w:abstractNum>
  <w:abstractNum w:abstractNumId="328">
    <w:nsid w:val="4CC32F1F"/>
    <w:multiLevelType w:val="hybridMultilevel"/>
    <w:lvl w:ilvl="0">
      <w:lvlJc w:val="left"/>
      <w:lvlText w:val="%1"/>
      <w:numFmt w:val="decimal"/>
      <w:start w:val="54"/>
    </w:lvl>
  </w:abstractNum>
  <w:abstractNum w:abstractNumId="329">
    <w:nsid w:val="11CAC74A"/>
    <w:multiLevelType w:val="hybridMultilevel"/>
    <w:lvl w:ilvl="0">
      <w:lvlJc w:val="left"/>
      <w:lvlText w:val="."/>
      <w:numFmt w:val="bullet"/>
      <w:start w:val="1"/>
    </w:lvl>
  </w:abstractNum>
  <w:abstractNum w:abstractNumId="330">
    <w:nsid w:val="126CADE9"/>
    <w:multiLevelType w:val="hybridMultilevel"/>
    <w:lvl w:ilvl="0">
      <w:lvlJc w:val="left"/>
      <w:lvlText w:val="%1"/>
      <w:numFmt w:val="decimal"/>
      <w:start w:val="55"/>
    </w:lvl>
  </w:abstractNum>
  <w:abstractNum w:abstractNumId="331">
    <w:nsid w:val="19132E7B"/>
    <w:multiLevelType w:val="hybridMultilevel"/>
    <w:lvl w:ilvl="0">
      <w:lvlJc w:val="left"/>
      <w:lvlText w:val="%1"/>
      <w:numFmt w:val="decimal"/>
      <w:start w:val="56"/>
    </w:lvl>
  </w:abstractNum>
  <w:abstractNum w:abstractNumId="332">
    <w:nsid w:val="63822DC0"/>
    <w:multiLevelType w:val="hybridMultilevel"/>
    <w:lvl w:ilvl="0">
      <w:lvlJc w:val="left"/>
      <w:lvlText w:val="."/>
      <w:numFmt w:val="bullet"/>
      <w:start w:val="1"/>
    </w:lvl>
  </w:abstractNum>
  <w:abstractNum w:abstractNumId="333">
    <w:nsid w:val="6C11685A"/>
    <w:multiLevelType w:val="hybridMultilevel"/>
    <w:lvl w:ilvl="0">
      <w:lvlJc w:val="left"/>
      <w:lvlText w:val="."/>
      <w:numFmt w:val="bullet"/>
      <w:start w:val="1"/>
    </w:lvl>
  </w:abstractNum>
  <w:abstractNum w:abstractNumId="334">
    <w:nsid w:val="5E1EAE31"/>
    <w:multiLevelType w:val="hybridMultilevel"/>
    <w:lvl w:ilvl="0">
      <w:lvlJc w:val="left"/>
      <w:lvlText w:val="."/>
      <w:numFmt w:val="bullet"/>
      <w:start w:val="1"/>
    </w:lvl>
  </w:abstractNum>
  <w:abstractNum w:abstractNumId="335">
    <w:nsid w:val="178E240D"/>
    <w:multiLevelType w:val="hybridMultilevel"/>
    <w:lvl w:ilvl="0">
      <w:lvlJc w:val="left"/>
      <w:lvlText w:val="."/>
      <w:numFmt w:val="bullet"/>
      <w:start w:val="1"/>
    </w:lvl>
  </w:abstractNum>
  <w:abstractNum w:abstractNumId="336">
    <w:nsid w:val="5556A87B"/>
    <w:multiLevelType w:val="hybridMultilevel"/>
    <w:lvl w:ilvl="0">
      <w:lvlJc w:val="left"/>
      <w:lvlText w:val="%1"/>
      <w:numFmt w:val="decimal"/>
      <w:start w:val="57"/>
    </w:lvl>
  </w:abstractNum>
  <w:abstractNum w:abstractNumId="337">
    <w:nsid w:val="28100A9C"/>
    <w:multiLevelType w:val="hybridMultilevel"/>
    <w:lvl w:ilvl="0">
      <w:lvlJc w:val="left"/>
      <w:lvlText w:val="(%1)"/>
      <w:numFmt w:val="lowerLetter"/>
      <w:start w:val="1"/>
    </w:lvl>
  </w:abstractNum>
  <w:abstractNum w:abstractNumId="338">
    <w:nsid w:val="D838636"/>
    <w:multiLevelType w:val="hybridMultilevel"/>
    <w:lvl w:ilvl="0">
      <w:lvlJc w:val="left"/>
      <w:lvlText w:val="."/>
      <w:numFmt w:val="bullet"/>
      <w:start w:val="1"/>
    </w:lvl>
  </w:abstractNum>
  <w:abstractNum w:abstractNumId="339">
    <w:nsid w:val="71B82AED"/>
    <w:multiLevelType w:val="hybridMultilevel"/>
    <w:lvl w:ilvl="0">
      <w:lvlJc w:val="left"/>
      <w:lvlText w:val="%1"/>
      <w:numFmt w:val="decimal"/>
      <w:start w:val="58"/>
    </w:lvl>
  </w:abstractNum>
  <w:abstractNum w:abstractNumId="340">
    <w:nsid w:val="D15FACA"/>
    <w:multiLevelType w:val="hybridMultilevel"/>
    <w:lvl w:ilvl="0">
      <w:lvlJc w:val="left"/>
      <w:lvlText w:val="(%1)"/>
      <w:numFmt w:val="lowerLetter"/>
      <w:start w:val="1"/>
    </w:lvl>
    <w:lvl w:ilvl="1">
      <w:lvlJc w:val="left"/>
      <w:lvlText w:val="(%2)"/>
      <w:numFmt w:val="lowerRoman"/>
      <w:start w:val="1"/>
    </w:lvl>
  </w:abstractNum>
  <w:abstractNum w:abstractNumId="341">
    <w:nsid w:val="3D69565B"/>
    <w:multiLevelType w:val="hybridMultilevel"/>
    <w:lvl w:ilvl="0">
      <w:lvlJc w:val="left"/>
      <w:lvlText w:val="%1"/>
      <w:numFmt w:val="decimal"/>
      <w:start w:val="59"/>
    </w:lvl>
  </w:abstractNum>
  <w:abstractNum w:abstractNumId="342">
    <w:nsid w:val="2299DCBC"/>
    <w:multiLevelType w:val="hybridMultilevel"/>
    <w:lvl w:ilvl="0">
      <w:lvlJc w:val="left"/>
      <w:lvlText w:val="%1"/>
      <w:numFmt w:val="lowerLetter"/>
      <w:start w:val="1"/>
    </w:lvl>
    <w:lvl w:ilvl="1">
      <w:lvlJc w:val="left"/>
      <w:lvlText w:val="(%2)"/>
      <w:numFmt w:val="lowerLetter"/>
      <w:start w:val="3"/>
    </w:lvl>
  </w:abstractNum>
  <w:abstractNum w:abstractNumId="343">
    <w:nsid w:val="19908D02"/>
    <w:multiLevelType w:val="hybridMultilevel"/>
    <w:lvl w:ilvl="0">
      <w:lvlJc w:val="left"/>
      <w:lvlText w:val="(%1)"/>
      <w:numFmt w:val="lowerLetter"/>
      <w:start w:val="35"/>
    </w:lvl>
    <w:lvl w:ilvl="1">
      <w:lvlJc w:val="left"/>
      <w:lvlText w:val="%2"/>
      <w:numFmt w:val="lowerLetter"/>
      <w:start w:val="1"/>
    </w:lvl>
  </w:abstractNum>
  <w:abstractNum w:abstractNumId="344">
    <w:nsid w:val="24D48BDB"/>
    <w:multiLevelType w:val="hybridMultilevel"/>
    <w:lvl w:ilvl="0">
      <w:lvlJc w:val="left"/>
      <w:lvlText w:val="(%1)"/>
      <w:numFmt w:val="lowerLetter"/>
      <w:start w:val="1"/>
    </w:lvl>
    <w:lvl w:ilvl="1">
      <w:lvlJc w:val="left"/>
      <w:lvlText w:val="(%2)"/>
      <w:numFmt w:val="lowerRoman"/>
      <w:start w:val="1"/>
    </w:lvl>
  </w:abstractNum>
  <w:abstractNum w:abstractNumId="345">
    <w:nsid w:val="542DA5B5"/>
    <w:multiLevelType w:val="hybridMultilevel"/>
    <w:lvl w:ilvl="0">
      <w:lvlJc w:val="left"/>
      <w:lvlText w:val="%1"/>
      <w:numFmt w:val="decimal"/>
      <w:start w:val="60"/>
    </w:lvl>
  </w:abstractNum>
  <w:abstractNum w:abstractNumId="346">
    <w:nsid w:val="793753DE"/>
    <w:multiLevelType w:val="hybridMultilevel"/>
    <w:lvl w:ilvl="0">
      <w:lvlJc w:val="left"/>
      <w:lvlText w:val="%1"/>
      <w:numFmt w:val="lowerLetter"/>
      <w:start w:val="1"/>
    </w:lvl>
    <w:lvl w:ilvl="1">
      <w:lvlJc w:val="left"/>
      <w:lvlText w:val="(%2)"/>
      <w:numFmt w:val="lowerRoman"/>
      <w:start w:val="5"/>
    </w:lvl>
  </w:abstractNum>
  <w:abstractNum w:abstractNumId="347">
    <w:nsid w:val="1C67CB3D"/>
    <w:multiLevelType w:val="hybridMultilevel"/>
    <w:lvl w:ilvl="0">
      <w:lvlJc w:val="left"/>
      <w:lvlText w:val="(%1)"/>
      <w:numFmt w:val="lowerLetter"/>
      <w:start w:val="2"/>
    </w:lvl>
    <w:lvl w:ilvl="1">
      <w:lvlJc w:val="left"/>
      <w:lvlText w:val="(%2)"/>
      <w:numFmt w:val="lowerRoman"/>
      <w:start w:val="1"/>
    </w:lvl>
  </w:abstractNum>
  <w:abstractNum w:abstractNumId="348">
    <w:nsid w:val="40E29452"/>
    <w:multiLevelType w:val="hybridMultilevel"/>
    <w:lvl w:ilvl="0">
      <w:lvlJc w:val="left"/>
      <w:lvlText w:val="%1"/>
      <w:numFmt w:val="decimal"/>
      <w:start w:val="61"/>
    </w:lvl>
  </w:abstractNum>
  <w:abstractNum w:abstractNumId="349">
    <w:nsid w:val="63A4AAB6"/>
    <w:multiLevelType w:val="hybridMultilevel"/>
    <w:lvl w:ilvl="0">
      <w:lvlJc w:val="left"/>
      <w:lvlText w:val="%1"/>
      <w:numFmt w:val="lowerLetter"/>
      <w:start w:val="1"/>
    </w:lvl>
    <w:lvl w:ilvl="1">
      <w:lvlJc w:val="left"/>
      <w:lvlText w:val="(%2)"/>
      <w:numFmt w:val="lowerRoman"/>
      <w:start w:val="2"/>
    </w:lvl>
  </w:abstractNum>
  <w:abstractNum w:abstractNumId="350">
    <w:nsid w:val="77DA4A57"/>
    <w:multiLevelType w:val="hybridMultilevel"/>
    <w:lvl w:ilvl="0">
      <w:lvlJc w:val="left"/>
      <w:lvlText w:val="(%1)"/>
      <w:numFmt w:val="lowerLetter"/>
      <w:start w:val="3"/>
    </w:lvl>
    <w:lvl w:ilvl="1">
      <w:lvlJc w:val="left"/>
      <w:lvlText w:val="%2"/>
      <w:numFmt w:val="lowerRoman"/>
      <w:start w:val="1"/>
    </w:lvl>
  </w:abstractNum>
  <w:abstractNum w:abstractNumId="351">
    <w:nsid w:val="1230F102"/>
    <w:multiLevelType w:val="hybridMultilevel"/>
    <w:lvl w:ilvl="0">
      <w:lvlJc w:val="left"/>
      <w:lvlText w:val="(%1)"/>
      <w:numFmt w:val="lowerLetter"/>
      <w:start w:val="1"/>
    </w:lvl>
    <w:lvl w:ilvl="1">
      <w:lvlJc w:val="left"/>
      <w:lvlText w:val="(%2)"/>
      <w:numFmt w:val="lowerRoman"/>
      <w:start w:val="1"/>
    </w:lvl>
  </w:abstractNum>
  <w:abstractNum w:abstractNumId="352">
    <w:nsid w:val="25B57ED4"/>
    <w:multiLevelType w:val="hybridMultilevel"/>
    <w:lvl w:ilvl="0">
      <w:lvlJc w:val="left"/>
      <w:lvlText w:val="%1"/>
      <w:numFmt w:val="decimal"/>
      <w:start w:val="62"/>
    </w:lvl>
  </w:abstractNum>
  <w:abstractNum w:abstractNumId="353">
    <w:nsid w:val="47CF16C4"/>
    <w:multiLevelType w:val="hybridMultilevel"/>
    <w:lvl w:ilvl="0">
      <w:lvlJc w:val="left"/>
      <w:lvlText w:val="(%1)"/>
      <w:numFmt w:val="lowerLetter"/>
      <w:start w:val="3"/>
    </w:lvl>
    <w:lvl w:ilvl="1">
      <w:lvlJc w:val="left"/>
      <w:lvlText w:val="(%2)"/>
      <w:numFmt w:val="lowerRoman"/>
      <w:start w:val="1"/>
    </w:lvl>
  </w:abstractNum>
  <w:abstractNum w:abstractNumId="354">
    <w:nsid w:val="527FA04C"/>
    <w:multiLevelType w:val="hybridMultilevel"/>
    <w:lvl w:ilvl="0">
      <w:lvlJc w:val="left"/>
      <w:lvlText w:val="%1"/>
      <w:numFmt w:val="decimal"/>
      <w:start w:val="63"/>
    </w:lvl>
  </w:abstractNum>
  <w:abstractNum w:abstractNumId="355">
    <w:nsid w:val="6FCC0624"/>
    <w:multiLevelType w:val="hybridMultilevel"/>
    <w:lvl w:ilvl="0">
      <w:lvlJc w:val="left"/>
      <w:lvlText w:val="%1"/>
      <w:numFmt w:val="decimal"/>
      <w:start w:val="64"/>
    </w:lvl>
  </w:abstractNum>
  <w:abstractNum w:abstractNumId="356">
    <w:nsid w:val="1DCDF795"/>
    <w:multiLevelType w:val="hybridMultilevel"/>
    <w:lvl w:ilvl="0">
      <w:lvlJc w:val="left"/>
      <w:lvlText w:val="(%1)"/>
      <w:numFmt w:val="lowerLetter"/>
      <w:start w:val="1"/>
    </w:lvl>
  </w:abstractNum>
  <w:abstractNum w:abstractNumId="357">
    <w:nsid w:val="564580C8"/>
    <w:multiLevelType w:val="hybridMultilevel"/>
    <w:lvl w:ilvl="0">
      <w:lvlJc w:val="left"/>
      <w:lvlText w:val="(%1)"/>
      <w:numFmt w:val="lowerLetter"/>
      <w:start w:val="1"/>
    </w:lvl>
    <w:lvl w:ilvl="1">
      <w:lvlJc w:val="left"/>
      <w:lvlText w:val="(%2)"/>
      <w:numFmt w:val="lowerRoman"/>
      <w:start w:val="1"/>
    </w:lvl>
  </w:abstractNum>
  <w:abstractNum w:abstractNumId="358">
    <w:nsid w:val="508ED897"/>
    <w:multiLevelType w:val="hybridMultilevel"/>
    <w:lvl w:ilvl="0">
      <w:lvlJc w:val="left"/>
      <w:lvlText w:val="%1"/>
      <w:numFmt w:val="decimal"/>
      <w:start w:val="65"/>
    </w:lvl>
  </w:abstractNum>
  <w:abstractNum w:abstractNumId="359">
    <w:nsid w:val="6A9126B5"/>
    <w:multiLevelType w:val="hybridMultilevel"/>
    <w:lvl w:ilvl="0">
      <w:lvlJc w:val="left"/>
      <w:lvlText w:val="(%1)"/>
      <w:numFmt w:val="lowerLetter"/>
      <w:start w:val="3"/>
    </w:lvl>
    <w:lvl w:ilvl="1">
      <w:lvlJc w:val="left"/>
      <w:lvlText w:val="(%2)"/>
      <w:numFmt w:val="lowerRoman"/>
      <w:start w:val="1"/>
    </w:lvl>
  </w:abstractNum>
  <w:abstractNum w:abstractNumId="360">
    <w:nsid w:val="68104812"/>
    <w:multiLevelType w:val="hybridMultilevel"/>
    <w:lvl w:ilvl="0">
      <w:lvlJc w:val="left"/>
      <w:lvlText w:val="%1"/>
      <w:numFmt w:val="decimal"/>
      <w:start w:val="66"/>
    </w:lvl>
  </w:abstractNum>
  <w:abstractNum w:abstractNumId="361">
    <w:nsid w:val="62FB8680"/>
    <w:multiLevelType w:val="hybridMultilevel"/>
    <w:lvl w:ilvl="0">
      <w:lvlJc w:val="left"/>
      <w:lvlText w:val="(%1)"/>
      <w:numFmt w:val="lowerLetter"/>
      <w:start w:val="1"/>
    </w:lvl>
  </w:abstractNum>
  <w:abstractNum w:abstractNumId="362">
    <w:nsid w:val="3A45530"/>
    <w:multiLevelType w:val="hybridMultilevel"/>
    <w:lvl w:ilvl="0">
      <w:lvlJc w:val="left"/>
      <w:lvlText w:val="%1"/>
      <w:numFmt w:val="decimal"/>
      <w:start w:val="67"/>
    </w:lvl>
  </w:abstractNum>
  <w:abstractNum w:abstractNumId="363">
    <w:nsid w:val="4B9275D2"/>
    <w:multiLevelType w:val="hybridMultilevel"/>
    <w:lvl w:ilvl="0">
      <w:lvlJc w:val="left"/>
      <w:lvlText w:val="(%1)"/>
      <w:numFmt w:val="lowerLetter"/>
      <w:start w:val="2"/>
    </w:lvl>
    <w:lvl w:ilvl="1">
      <w:lvlJc w:val="left"/>
      <w:lvlText w:val="(%2)"/>
      <w:numFmt w:val="lowerRoman"/>
      <w:start w:val="1"/>
    </w:lvl>
  </w:abstractNum>
  <w:abstractNum w:abstractNumId="364">
    <w:nsid w:val="4F0CEEDB"/>
    <w:multiLevelType w:val="hybridMultilevel"/>
    <w:lvl w:ilvl="0">
      <w:lvlJc w:val="left"/>
      <w:lvlText w:val="(%1)"/>
      <w:numFmt w:val="lowerLetter"/>
      <w:start w:val="3"/>
    </w:lvl>
  </w:abstractNum>
  <w:abstractNum w:abstractNumId="365">
    <w:nsid w:val="61C30361"/>
    <w:multiLevelType w:val="hybridMultilevel"/>
    <w:lvl w:ilvl="0">
      <w:lvlJc w:val="left"/>
      <w:lvlText w:val="%1"/>
      <w:numFmt w:val="decimal"/>
      <w:start w:val="68"/>
    </w:lvl>
  </w:abstractNum>
  <w:abstractNum w:abstractNumId="366">
    <w:nsid w:val="632099E0"/>
    <w:multiLevelType w:val="hybridMultilevel"/>
    <w:lvl w:ilvl="0">
      <w:lvlJc w:val="left"/>
      <w:lvlText w:val="(%1)"/>
      <w:numFmt w:val="lowerLetter"/>
      <w:start w:val="4"/>
    </w:lvl>
  </w:abstractNum>
  <w:abstractNum w:abstractNumId="367">
    <w:nsid w:val="24639756"/>
    <w:multiLevelType w:val="hybridMultilevel"/>
    <w:lvl w:ilvl="0">
      <w:lvlJc w:val="left"/>
      <w:lvlText w:val="%1"/>
      <w:numFmt w:val="decimal"/>
      <w:start w:val="69"/>
    </w:lvl>
  </w:abstractNum>
  <w:abstractNum w:abstractNumId="368">
    <w:nsid w:val="9D30DFD"/>
    <w:multiLevelType w:val="hybridMultilevel"/>
    <w:lvl w:ilvl="0">
      <w:lvlJc w:val="left"/>
      <w:lvlText w:val="(%1)"/>
      <w:numFmt w:val="lowerLetter"/>
      <w:start w:val="6"/>
    </w:lvl>
  </w:abstractNum>
  <w:abstractNum w:abstractNumId="369">
    <w:nsid w:val="70A42016"/>
    <w:multiLevelType w:val="hybridMultilevel"/>
    <w:lvl w:ilvl="0">
      <w:lvlJc w:val="left"/>
      <w:lvlText w:val="(%1)"/>
      <w:numFmt w:val="lowerLetter"/>
      <w:start w:val="8"/>
    </w:lvl>
  </w:abstractNum>
  <w:abstractNum w:abstractNumId="370">
    <w:nsid w:val="161BC243"/>
    <w:multiLevelType w:val="hybridMultilevel"/>
    <w:lvl w:ilvl="0">
      <w:lvlJc w:val="left"/>
      <w:lvlText w:val="%1"/>
      <w:numFmt w:val="decimal"/>
      <w:start w:val="70"/>
    </w:lvl>
  </w:abstractNum>
  <w:abstractNum w:abstractNumId="371">
    <w:nsid w:val="16E908C8"/>
    <w:multiLevelType w:val="hybridMultilevel"/>
    <w:lvl w:ilvl="0">
      <w:lvlJc w:val="left"/>
      <w:lvlText w:val="%1"/>
      <w:numFmt w:val="lowerRoman"/>
      <w:start w:val="1"/>
    </w:lvl>
    <w:lvl w:ilvl="1">
      <w:lvlJc w:val="left"/>
      <w:lvlText w:val="(%2)"/>
      <w:numFmt w:val="lowerLetter"/>
      <w:start w:val="1"/>
    </w:lvl>
  </w:abstractNum>
  <w:abstractNum w:abstractNumId="372">
    <w:nsid w:val="2E0D7671"/>
    <w:multiLevelType w:val="hybridMultilevel"/>
    <w:lvl w:ilvl="0">
      <w:lvlJc w:val="left"/>
      <w:lvlText w:val="(%1)"/>
      <w:numFmt w:val="lowerRoman"/>
      <w:start w:val="4"/>
    </w:lvl>
    <w:lvl w:ilvl="1">
      <w:lvlJc w:val="left"/>
      <w:lvlText w:val="(%2)"/>
      <w:numFmt w:val="lowerLetter"/>
      <w:start w:val="3"/>
    </w:lvl>
  </w:abstractNum>
  <w:abstractNum w:abstractNumId="373">
    <w:nsid w:val="38B59EFF"/>
    <w:multiLevelType w:val="hybridMultilevel"/>
    <w:lvl w:ilvl="0">
      <w:lvlJc w:val="left"/>
      <w:lvlText w:val="%1"/>
      <w:numFmt w:val="decimal"/>
      <w:start w:val="71"/>
    </w:lvl>
  </w:abstractNum>
  <w:abstractNum w:abstractNumId="374">
    <w:nsid w:val="307995CA"/>
    <w:multiLevelType w:val="hybridMultilevel"/>
    <w:lvl w:ilvl="0">
      <w:lvlJc w:val="left"/>
      <w:lvlText w:val="(%1)"/>
      <w:numFmt w:val="lowerRoman"/>
      <w:start w:val="1"/>
    </w:lvl>
  </w:abstractNum>
  <w:abstractNum w:abstractNumId="375">
    <w:nsid w:val="52E2024D"/>
    <w:multiLevelType w:val="hybridMultilevel"/>
    <w:lvl w:ilvl="0">
      <w:lvlJc w:val="left"/>
      <w:lvlText w:val="(%1)"/>
      <w:numFmt w:val="lowerLetter"/>
      <w:start w:val="5"/>
    </w:lvl>
  </w:abstractNum>
  <w:abstractNum w:abstractNumId="376">
    <w:nsid w:val="CE344B5"/>
    <w:multiLevelType w:val="hybridMultilevel"/>
    <w:lvl w:ilvl="0">
      <w:lvlJc w:val="left"/>
      <w:lvlText w:val="%1"/>
      <w:numFmt w:val="decimal"/>
      <w:start w:val="72"/>
    </w:lvl>
  </w:abstractNum>
  <w:abstractNum w:abstractNumId="377">
    <w:nsid w:val="29B0E9A8"/>
    <w:multiLevelType w:val="hybridMultilevel"/>
    <w:lvl w:ilvl="0">
      <w:lvlJc w:val="left"/>
      <w:lvlText w:val="(%1)"/>
      <w:numFmt w:val="lowerLetter"/>
      <w:start w:val="7"/>
    </w:lvl>
  </w:abstractNum>
  <w:abstractNum w:abstractNumId="378">
    <w:nsid w:val="6F49CD8A"/>
    <w:multiLevelType w:val="hybridMultilevel"/>
    <w:lvl w:ilvl="0">
      <w:lvlJc w:val="left"/>
      <w:lvlText w:val="(%1)"/>
      <w:numFmt w:val="lowerLetter"/>
      <w:start w:val="1"/>
    </w:lvl>
  </w:abstractNum>
  <w:abstractNum w:abstractNumId="379">
    <w:nsid w:val="4DC5D907"/>
    <w:multiLevelType w:val="hybridMultilevel"/>
    <w:lvl w:ilvl="0">
      <w:lvlJc w:val="left"/>
      <w:lvlText w:val="%1"/>
      <w:numFmt w:val="decimal"/>
      <w:start w:val="73"/>
    </w:lvl>
  </w:abstractNum>
  <w:abstractNum w:abstractNumId="380">
    <w:nsid w:val="D55945E"/>
    <w:multiLevelType w:val="hybridMultilevel"/>
    <w:lvl w:ilvl="0">
      <w:lvlJc w:val="left"/>
      <w:lvlText w:val="(%1)"/>
      <w:numFmt w:val="lowerLetter"/>
      <w:start w:val="3"/>
    </w:lvl>
  </w:abstractNum>
  <w:abstractNum w:abstractNumId="381">
    <w:nsid w:val="672417E1"/>
    <w:multiLevelType w:val="hybridMultilevel"/>
    <w:lvl w:ilvl="0">
      <w:lvlJc w:val="left"/>
      <w:lvlText w:val="%1"/>
      <w:numFmt w:val="decimal"/>
      <w:start w:val="74"/>
    </w:lvl>
  </w:abstractNum>
  <w:abstractNum w:abstractNumId="382">
    <w:nsid w:val="5FF6CA09"/>
    <w:multiLevelType w:val="hybridMultilevel"/>
    <w:lvl w:ilvl="0">
      <w:lvlJc w:val="left"/>
      <w:lvlText w:val="(%1)"/>
      <w:numFmt w:val="lowerLetter"/>
      <w:start w:val="25"/>
    </w:lvl>
  </w:abstractNum>
  <w:abstractNum w:abstractNumId="383">
    <w:nsid w:val="330B1333"/>
    <w:multiLevelType w:val="hybridMultilevel"/>
    <w:lvl w:ilvl="0">
      <w:lvlJc w:val="left"/>
      <w:lvlText w:val="%1"/>
      <w:numFmt w:val="decimal"/>
      <w:start w:val="75"/>
    </w:lvl>
  </w:abstractNum>
  <w:abstractNum w:abstractNumId="384">
    <w:nsid w:val="2EF32EA6"/>
    <w:multiLevelType w:val="hybridMultilevel"/>
    <w:lvl w:ilvl="0">
      <w:lvlJc w:val="left"/>
      <w:lvlText w:val="(%1)"/>
      <w:numFmt w:val="decimal"/>
      <w:start w:val="6"/>
    </w:lvl>
  </w:abstractNum>
  <w:abstractNum w:abstractNumId="385">
    <w:nsid w:val="32766A55"/>
    <w:multiLevelType w:val="hybridMultilevel"/>
    <w:lvl w:ilvl="0">
      <w:lvlJc w:val="left"/>
      <w:lvlText w:val="%1"/>
      <w:numFmt w:val="decimal"/>
      <w:start w:val="76"/>
    </w:lvl>
  </w:abstractNum>
  <w:abstractNum w:abstractNumId="386">
    <w:nsid w:val="22D71957"/>
    <w:multiLevelType w:val="hybridMultilevel"/>
    <w:lvl w:ilvl="0">
      <w:lvlJc w:val="left"/>
      <w:lvlText w:val="%1"/>
      <w:numFmt w:val="lowerLetter"/>
      <w:start w:val="1"/>
    </w:lvl>
    <w:lvl w:ilvl="1">
      <w:lvlJc w:val="left"/>
      <w:lvlText w:val="(%2)"/>
      <w:numFmt w:val="lowerLetter"/>
      <w:start w:val="1"/>
    </w:lvl>
  </w:abstractNum>
  <w:abstractNum w:abstractNumId="387">
    <w:nsid w:val="4CC1263B"/>
    <w:multiLevelType w:val="hybridMultilevel"/>
    <w:lvl w:ilvl="0">
      <w:lvlJc w:val="left"/>
      <w:lvlText w:val="(%1)"/>
      <w:numFmt w:val="lowerLetter"/>
      <w:start w:val="9"/>
    </w:lvl>
    <w:lvl w:ilvl="1">
      <w:lvlJc w:val="left"/>
      <w:lvlText w:val="%2"/>
      <w:numFmt w:val="lowerLetter"/>
      <w:start w:val="1"/>
    </w:lvl>
  </w:abstractNum>
  <w:abstractNum w:abstractNumId="388">
    <w:nsid w:val="8BBEB1D"/>
    <w:multiLevelType w:val="hybridMultilevel"/>
    <w:lvl w:ilvl="0">
      <w:lvlJc w:val="left"/>
      <w:lvlText w:val="%1"/>
      <w:numFmt w:val="decimal"/>
      <w:start w:val="77"/>
    </w:lvl>
  </w:abstractNum>
  <w:abstractNum w:abstractNumId="389">
    <w:nsid w:val="7365F1EE"/>
    <w:multiLevelType w:val="hybridMultilevel"/>
    <w:lvl w:ilvl="0">
      <w:lvlJc w:val="left"/>
      <w:lvlText w:val="(%1)"/>
      <w:numFmt w:val="lowerLetter"/>
      <w:start w:val="3"/>
    </w:lvl>
  </w:abstractNum>
  <w:abstractNum w:abstractNumId="390">
    <w:nsid w:val="37524CF0"/>
    <w:multiLevelType w:val="hybridMultilevel"/>
    <w:lvl w:ilvl="0">
      <w:lvlJc w:val="left"/>
      <w:lvlText w:val="%1"/>
      <w:numFmt w:val="decimal"/>
      <w:start w:val="78"/>
    </w:lvl>
  </w:abstractNum>
  <w:abstractNum w:abstractNumId="391">
    <w:nsid w:val="70CC332F"/>
    <w:multiLevelType w:val="hybridMultilevel"/>
    <w:lvl w:ilvl="0">
      <w:lvlJc w:val="left"/>
      <w:lvlText w:val="(%1)"/>
      <w:numFmt w:val="lowerLetter"/>
      <w:start w:val="7"/>
    </w:lvl>
  </w:abstractNum>
  <w:abstractNum w:abstractNumId="392">
    <w:nsid w:val="5661786E"/>
    <w:multiLevelType w:val="hybridMultilevel"/>
    <w:lvl w:ilvl="0">
      <w:lvlJc w:val="left"/>
      <w:lvlText w:val="(%1)"/>
      <w:numFmt w:val="lowerLetter"/>
      <w:start w:val="1"/>
    </w:lvl>
  </w:abstractNum>
  <w:abstractNum w:abstractNumId="393">
    <w:nsid w:val="3AF6A220"/>
    <w:multiLevelType w:val="hybridMultilevel"/>
    <w:lvl w:ilvl="0">
      <w:lvlJc w:val="left"/>
      <w:lvlText w:val="%1"/>
      <w:numFmt w:val="decimal"/>
      <w:start w:val="79"/>
    </w:lvl>
  </w:abstractNum>
  <w:abstractNum w:abstractNumId="394">
    <w:nsid w:val="3C5EA902"/>
    <w:multiLevelType w:val="hybridMultilevel"/>
    <w:lvl w:ilvl="0">
      <w:lvlJc w:val="left"/>
      <w:lvlText w:val="(%1)"/>
      <w:numFmt w:val="lowerRoman"/>
      <w:start w:val="1"/>
    </w:lvl>
  </w:abstractNum>
  <w:abstractNum w:abstractNumId="395">
    <w:nsid w:val="256E6749"/>
    <w:multiLevelType w:val="hybridMultilevel"/>
    <w:lvl w:ilvl="0">
      <w:lvlJc w:val="left"/>
      <w:lvlText w:val="%1"/>
      <w:numFmt w:val="decimal"/>
      <w:start w:val="80"/>
    </w:lvl>
  </w:abstractNum>
  <w:abstractNum w:abstractNumId="396">
    <w:nsid w:val="1CB9A581"/>
    <w:multiLevelType w:val="hybridMultilevel"/>
    <w:lvl w:ilvl="0">
      <w:lvlJc w:val="left"/>
      <w:lvlText w:val="(%1)"/>
      <w:numFmt w:val="lowerLetter"/>
      <w:start w:val="3"/>
    </w:lvl>
  </w:abstractNum>
  <w:abstractNum w:abstractNumId="397">
    <w:nsid w:val="1F7F42E2"/>
    <w:multiLevelType w:val="hybridMultilevel"/>
    <w:lvl w:ilvl="0">
      <w:lvlJc w:val="left"/>
      <w:lvlText w:val="%1"/>
      <w:numFmt w:val="decimal"/>
      <w:start w:val="81"/>
    </w:lvl>
  </w:abstractNum>
  <w:abstractNum w:abstractNumId="398">
    <w:nsid w:val="49D1FEA0"/>
    <w:multiLevelType w:val="hybridMultilevel"/>
    <w:lvl w:ilvl="0">
      <w:lvlJc w:val="left"/>
      <w:lvlText w:val="(%1)"/>
      <w:numFmt w:val="lowerLetter"/>
      <w:start w:val="6"/>
    </w:lvl>
  </w:abstractNum>
  <w:abstractNum w:abstractNumId="399">
    <w:nsid w:val="268CB37F"/>
    <w:multiLevelType w:val="hybridMultilevel"/>
    <w:lvl w:ilvl="0">
      <w:lvlJc w:val="left"/>
      <w:lvlText w:val="%1"/>
      <w:numFmt w:val="decimal"/>
      <w:start w:val="82"/>
    </w:lvl>
  </w:abstractNum>
  <w:abstractNum w:abstractNumId="400">
    <w:nsid w:val="102362F8"/>
    <w:multiLevelType w:val="hybridMultilevel"/>
    <w:lvl w:ilvl="0">
      <w:lvlJc w:val="left"/>
      <w:lvlText w:val="%1"/>
      <w:numFmt w:val="upperLetter"/>
      <w:start w:val="1"/>
    </w:lvl>
    <w:lvl w:ilvl="1">
      <w:lvlJc w:val="left"/>
      <w:lvlText w:val="(%2)"/>
      <w:numFmt w:val="lowerRoman"/>
      <w:start w:val="1"/>
    </w:lvl>
  </w:abstractNum>
  <w:abstractNum w:abstractNumId="401">
    <w:nsid w:val="5FEDC0E3"/>
    <w:multiLevelType w:val="hybridMultilevel"/>
    <w:lvl w:ilvl="0">
      <w:lvlJc w:val="left"/>
      <w:lvlText w:val="(%1)"/>
      <w:numFmt w:val="upperLetter"/>
      <w:start w:val="2"/>
    </w:lvl>
    <w:lvl w:ilvl="1">
      <w:lvlJc w:val="left"/>
      <w:lvlText w:val="(%2)"/>
      <w:numFmt w:val="lowerRoman"/>
      <w:start w:val="2"/>
    </w:lvl>
  </w:abstractNum>
  <w:abstractNum w:abstractNumId="402">
    <w:nsid w:val="3D75BC47"/>
    <w:multiLevelType w:val="hybridMultilevel"/>
    <w:lvl w:ilvl="0">
      <w:lvlJc w:val="left"/>
      <w:lvlText w:val="%1"/>
      <w:numFmt w:val="decimal"/>
      <w:start w:val="83"/>
    </w:lvl>
  </w:abstractNum>
  <w:abstractNum w:abstractNumId="403">
    <w:nsid w:val="3E30D969"/>
    <w:multiLevelType w:val="hybridMultilevel"/>
    <w:lvl w:ilvl="0">
      <w:lvlJc w:val="left"/>
      <w:lvlText w:val="%1"/>
      <w:numFmt w:val="upperLetter"/>
      <w:start w:val="1"/>
    </w:lvl>
    <w:lvl w:ilvl="1">
      <w:lvlJc w:val="left"/>
      <w:lvlText w:val="(%2)"/>
      <w:numFmt w:val="lowerRoman"/>
      <w:start w:val="3"/>
    </w:lvl>
  </w:abstractNum>
  <w:abstractNum w:abstractNumId="404">
    <w:nsid w:val="18A35FE3"/>
    <w:multiLevelType w:val="hybridMultilevel"/>
    <w:lvl w:ilvl="0">
      <w:lvlJc w:val="left"/>
      <w:lvlText w:val="(%1)"/>
      <w:numFmt w:val="upperLetter"/>
      <w:start w:val="1"/>
    </w:lvl>
    <w:lvl w:ilvl="1">
      <w:lvlJc w:val="left"/>
      <w:lvlText w:val="(%2)"/>
      <w:numFmt w:val="lowerRoman"/>
      <w:start w:val="4"/>
    </w:lvl>
  </w:abstractNum>
  <w:abstractNum w:abstractNumId="405">
    <w:nsid w:val="6DEF5211"/>
    <w:multiLevelType w:val="hybridMultilevel"/>
    <w:lvl w:ilvl="0">
      <w:lvlJc w:val="left"/>
      <w:lvlText w:val="%1"/>
      <w:numFmt w:val="decimal"/>
      <w:start w:val="84"/>
    </w:lvl>
  </w:abstractNum>
  <w:abstractNum w:abstractNumId="406">
    <w:nsid w:val="1112DBB6"/>
    <w:multiLevelType w:val="hybridMultilevel"/>
    <w:lvl w:ilvl="0">
      <w:lvlJc w:val="left"/>
      <w:lvlText w:val="(%1)"/>
      <w:numFmt w:val="lowerLetter"/>
      <w:start w:val="1"/>
    </w:lvl>
  </w:abstractNum>
  <w:abstractNum w:abstractNumId="407">
    <w:nsid w:val="2586A498"/>
    <w:multiLevelType w:val="hybridMultilevel"/>
    <w:lvl w:ilvl="0">
      <w:lvlJc w:val="left"/>
      <w:lvlText w:val="%1"/>
      <w:numFmt w:val="decimal"/>
      <w:start w:val="85"/>
    </w:lvl>
  </w:abstractNum>
  <w:abstractNum w:abstractNumId="408">
    <w:nsid w:val="17A03BB9"/>
    <w:multiLevelType w:val="hybridMultilevel"/>
    <w:lvl w:ilvl="0">
      <w:lvlJc w:val="left"/>
      <w:lvlText w:val="(%1)"/>
      <w:numFmt w:val="lowerRoman"/>
      <w:start w:val="7"/>
    </w:lvl>
  </w:abstractNum>
  <w:abstractNum w:abstractNumId="409">
    <w:nsid w:val="5CA941"/>
    <w:multiLevelType w:val="hybridMultilevel"/>
    <w:lvl w:ilvl="0">
      <w:lvlJc w:val="left"/>
      <w:lvlText w:val="(%1)"/>
      <w:numFmt w:val="lowerLetter"/>
      <w:start w:val="1"/>
    </w:lvl>
  </w:abstractNum>
  <w:abstractNum w:abstractNumId="410">
    <w:nsid w:val="734C7D9F"/>
    <w:multiLevelType w:val="hybridMultilevel"/>
    <w:lvl w:ilvl="0">
      <w:lvlJc w:val="left"/>
      <w:lvlText w:val="%1"/>
      <w:numFmt w:val="decimal"/>
      <w:start w:val="86"/>
    </w:lvl>
  </w:abstractNum>
  <w:abstractNum w:abstractNumId="411">
    <w:nsid w:val="24F5D018"/>
    <w:multiLevelType w:val="hybridMultilevel"/>
    <w:lvl w:ilvl="0">
      <w:lvlJc w:val="left"/>
      <w:lvlText w:val="(%1)"/>
      <w:numFmt w:val="lowerLetter"/>
      <w:start w:val="2"/>
    </w:lvl>
  </w:abstractNum>
  <w:abstractNum w:abstractNumId="412">
    <w:nsid w:val="6780C122"/>
    <w:multiLevelType w:val="hybridMultilevel"/>
    <w:lvl w:ilvl="0">
      <w:lvlJc w:val="left"/>
      <w:lvlText w:val="(%1)"/>
      <w:numFmt w:val="lowerRoman"/>
      <w:start w:val="1"/>
    </w:lvl>
  </w:abstractNum>
  <w:abstractNum w:abstractNumId="413">
    <w:nsid w:val="534347A8"/>
    <w:multiLevelType w:val="hybridMultilevel"/>
    <w:lvl w:ilvl="0">
      <w:lvlJc w:val="left"/>
      <w:lvlText w:val="%1"/>
      <w:numFmt w:val="decimal"/>
      <w:start w:val="87"/>
    </w:lvl>
  </w:abstractNum>
  <w:abstractNum w:abstractNumId="414">
    <w:nsid w:val="5800E34B"/>
    <w:multiLevelType w:val="hybridMultilevel"/>
    <w:lvl w:ilvl="0">
      <w:lvlJc w:val="left"/>
      <w:lvlText w:val="%1"/>
      <w:numFmt w:val="decimal"/>
      <w:start w:val="88"/>
    </w:lvl>
  </w:abstractNum>
  <w:abstractNum w:abstractNumId="415">
    <w:nsid w:val="1673EFC8"/>
    <w:multiLevelType w:val="hybridMultilevel"/>
    <w:lvl w:ilvl="0">
      <w:lvlJc w:val="left"/>
      <w:lvlText w:val="(%1)"/>
      <w:numFmt w:val="lowerRoman"/>
      <w:start w:val="3"/>
    </w:lvl>
  </w:abstractNum>
  <w:abstractNum w:abstractNumId="416">
    <w:nsid w:val="5B9B1FD"/>
    <w:multiLevelType w:val="hybridMultilevel"/>
    <w:lvl w:ilvl="0">
      <w:lvlJc w:val="left"/>
      <w:lvlText w:val="(%1)"/>
      <w:numFmt w:val="lowerRoman"/>
      <w:start w:val="5"/>
    </w:lvl>
  </w:abstractNum>
  <w:abstractNum w:abstractNumId="417">
    <w:nsid w:val="7AD7FCA2"/>
    <w:multiLevelType w:val="hybridMultilevel"/>
    <w:lvl w:ilvl="0">
      <w:lvlJc w:val="left"/>
      <w:lvlText w:val="(%1)"/>
      <w:numFmt w:val="lowerLetter"/>
      <w:start w:val="1"/>
    </w:lvl>
  </w:abstractNum>
  <w:abstractNum w:abstractNumId="418">
    <w:nsid w:val="63351604"/>
    <w:multiLevelType w:val="hybridMultilevel"/>
    <w:lvl w:ilvl="0">
      <w:lvlJc w:val="left"/>
      <w:lvlText w:val="(%1)"/>
      <w:numFmt w:val="lowerLetter"/>
      <w:start w:val="1"/>
    </w:lvl>
  </w:abstractNum>
  <w:abstractNum w:abstractNumId="419">
    <w:nsid w:val="E759D1A"/>
    <w:multiLevelType w:val="hybridMultilevel"/>
    <w:lvl w:ilvl="0">
      <w:lvlJc w:val="left"/>
      <w:lvlText w:val="(%1)"/>
      <w:numFmt w:val="lowerLetter"/>
      <w:start w:val="1"/>
    </w:lvl>
  </w:abstractNum>
  <w:abstractNum w:abstractNumId="420">
    <w:nsid w:val="6E3DEE90"/>
    <w:multiLevelType w:val="hybridMultilevel"/>
    <w:lvl w:ilvl="0">
      <w:lvlJc w:val="left"/>
      <w:lvlText w:val="(%1)"/>
      <w:numFmt w:val="lowerLetter"/>
      <w:start w:val="1"/>
    </w:lvl>
  </w:abstractNum>
  <w:abstractNum w:abstractNumId="421">
    <w:nsid w:val="1A8762F4"/>
    <w:multiLevelType w:val="hybridMultilevel"/>
    <w:lvl w:ilvl="0">
      <w:lvlJc w:val="left"/>
      <w:lvlText w:val="(%1)"/>
      <w:numFmt w:val="lowerLetter"/>
      <w:start w:val="3"/>
    </w:lvl>
  </w:abstractNum>
  <w:abstractNum w:abstractNumId="422">
    <w:nsid w:val="7F41D049"/>
    <w:multiLevelType w:val="hybridMultilevel"/>
    <w:lvl w:ilvl="0">
      <w:lvlJc w:val="left"/>
      <w:lvlText w:val="(%1)"/>
      <w:numFmt w:val="lowerRoman"/>
      <w:start w:val="1"/>
    </w:lvl>
  </w:abstractNum>
  <w:abstractNum w:abstractNumId="423">
    <w:nsid w:val="449F66FE"/>
    <w:multiLevelType w:val="hybridMultilevel"/>
    <w:lvl w:ilvl="0">
      <w:lvlJc w:val="left"/>
      <w:lvlText w:val="(%1)"/>
      <w:numFmt w:val="lowerLetter"/>
      <w:start w:val="1"/>
    </w:lvl>
  </w:abstractNum>
  <w:abstractNum w:abstractNumId="424">
    <w:nsid w:val="557E0515"/>
    <w:multiLevelType w:val="hybridMultilevel"/>
    <w:lvl w:ilvl="0">
      <w:lvlJc w:val="left"/>
      <w:lvlText w:val="(%1)"/>
      <w:numFmt w:val="lowerLetter"/>
      <w:start w:val="2"/>
    </w:lvl>
  </w:abstractNum>
  <w:abstractNum w:abstractNumId="425">
    <w:nsid w:val="3BA0794B"/>
    <w:multiLevelType w:val="hybridMultilevel"/>
    <w:lvl w:ilvl="0">
      <w:lvlJc w:val="left"/>
      <w:lvlText w:val="(%1)"/>
      <w:numFmt w:val="lowerLetter"/>
      <w:start w:val="1"/>
    </w:lvl>
  </w:abstractNum>
  <w:abstractNum w:abstractNumId="426">
    <w:nsid w:val="6A0DCE48"/>
    <w:multiLevelType w:val="hybridMultilevel"/>
    <w:lvl w:ilvl="0">
      <w:lvlJc w:val="left"/>
      <w:lvlText w:val="(%1)"/>
      <w:numFmt w:val="lowerLetter"/>
      <w:start w:val="2"/>
    </w:lvl>
  </w:abstractNum>
  <w:abstractNum w:abstractNumId="427">
    <w:nsid w:val="7237AA96"/>
    <w:multiLevelType w:val="hybridMultilevel"/>
    <w:lvl w:ilvl="0">
      <w:lvlJc w:val="left"/>
      <w:lvlText w:val="(%1)"/>
      <w:numFmt w:val="lowerRoman"/>
      <w:start w:val="1"/>
    </w:lvl>
  </w:abstractNum>
  <w:abstractNum w:abstractNumId="428">
    <w:nsid w:val="5B1FBC2D"/>
    <w:multiLevelType w:val="hybridMultilevel"/>
    <w:lvl w:ilvl="0">
      <w:lvlJc w:val="left"/>
      <w:lvlText w:val="(%1)"/>
      <w:numFmt w:val="lowerLetter"/>
      <w:start w:val="1"/>
    </w:lvl>
  </w:abstractNum>
  <w:abstractNum w:abstractNumId="429">
    <w:nsid w:val="33DFCCE8"/>
    <w:multiLevelType w:val="hybridMultilevel"/>
    <w:lvl w:ilvl="0">
      <w:lvlJc w:val="left"/>
      <w:lvlText w:val="(%1)"/>
      <w:numFmt w:val="lowerLetter"/>
      <w:start w:val="1"/>
    </w:lvl>
  </w:abstractNum>
  <w:abstractNum w:abstractNumId="430">
    <w:nsid w:val="18C45E15"/>
    <w:multiLevelType w:val="hybridMultilevel"/>
    <w:lvl w:ilvl="0">
      <w:lvlJc w:val="left"/>
      <w:lvlText w:val="(%1)"/>
      <w:numFmt w:val="lowerLetter"/>
      <w:start w:val="1"/>
    </w:lvl>
  </w:abstractNum>
  <w:abstractNum w:abstractNumId="431">
    <w:nsid w:val="6B431F25"/>
    <w:multiLevelType w:val="hybridMultilevel"/>
    <w:lvl w:ilvl="0">
      <w:lvlJc w:val="left"/>
      <w:lvlText w:val="(%1)"/>
      <w:numFmt w:val="lowerLetter"/>
      <w:start w:val="1"/>
    </w:lvl>
  </w:abstractNum>
  <w:abstractNum w:abstractNumId="432">
    <w:nsid w:val="13CD8DCB"/>
    <w:multiLevelType w:val="hybridMultilevel"/>
    <w:lvl w:ilvl="0">
      <w:lvlJc w:val="left"/>
      <w:lvlText w:val="%1."/>
      <w:numFmt w:val="decimal"/>
      <w:start w:val="2"/>
    </w:lvl>
  </w:abstractNum>
  <w:abstractNum w:abstractNumId="433">
    <w:nsid w:val="563A1A5C"/>
    <w:multiLevelType w:val="hybridMultilevel"/>
    <w:lvl w:ilvl="0">
      <w:lvlJc w:val="left"/>
      <w:lvlText w:val="(%1)"/>
      <w:numFmt w:val="lowerLetter"/>
      <w:start w:val="1"/>
    </w:lvl>
    <w:lvl w:ilvl="1">
      <w:lvlJc w:val="left"/>
      <w:lvlText w:val="(%2)"/>
      <w:numFmt w:val="lowerRoman"/>
      <w:start w:val="1"/>
    </w:lvl>
  </w:abstractNum>
  <w:abstractNum w:abstractNumId="434">
    <w:nsid w:val="2973F88F"/>
    <w:multiLevelType w:val="hybridMultilevel"/>
    <w:lvl w:ilvl="0">
      <w:lvlJc w:val="left"/>
      <w:lvlText w:val="%1"/>
      <w:numFmt w:val="lowerLetter"/>
      <w:start w:val="1"/>
    </w:lvl>
    <w:lvl w:ilvl="1">
      <w:lvlJc w:val="left"/>
      <w:lvlText w:val="(%2)"/>
      <w:numFmt w:val="lowerRoman"/>
      <w:start w:val="13"/>
    </w:lvl>
  </w:abstractNum>
  <w:abstractNum w:abstractNumId="435">
    <w:nsid w:val="2C70EDAE"/>
    <w:multiLevelType w:val="hybridMultilevel"/>
    <w:lvl w:ilvl="0">
      <w:lvlJc w:val="left"/>
      <w:lvlText w:val="(%1)"/>
      <w:numFmt w:val="lowerLetter"/>
      <w:start w:val="2"/>
    </w:lvl>
    <w:lvl w:ilvl="1">
      <w:lvlJc w:val="left"/>
      <w:lvlText w:val="%2"/>
      <w:numFmt w:val="lowerRoman"/>
      <w:start w:val="1"/>
    </w:lvl>
  </w:abstractNum>
  <w:abstractNum w:abstractNumId="436">
    <w:nsid w:val="44296C6D"/>
    <w:multiLevelType w:val="hybridMultilevel"/>
    <w:lvl w:ilvl="0">
      <w:lvlJc w:val="left"/>
      <w:lvlText w:val="(%1)"/>
      <w:numFmt w:val="lowerLetter"/>
      <w:start w:val="1"/>
    </w:lvl>
  </w:abstractNum>
  <w:abstractNum w:abstractNumId="437">
    <w:nsid w:val="3A86D445"/>
    <w:multiLevelType w:val="hybridMultilevel"/>
    <w:lvl w:ilvl="0">
      <w:lvlJc w:val="left"/>
      <w:lvlText w:val="%1."/>
      <w:numFmt w:val="decimal"/>
      <w:start w:val="1"/>
    </w:lvl>
  </w:abstractNum>
  <w:abstractNum w:abstractNumId="438">
    <w:nsid w:val="51F79246"/>
    <w:multiLevelType w:val="hybridMultilevel"/>
    <w:lvl w:ilvl="0">
      <w:lvlJc w:val="left"/>
      <w:lvlText w:val="(%1)"/>
      <w:numFmt w:val="lowerLetter"/>
      <w:start w:val="1"/>
    </w:lvl>
  </w:abstractNum>
  <w:abstractNum w:abstractNumId="439">
    <w:nsid w:val="5BC9A827"/>
    <w:multiLevelType w:val="hybridMultilevel"/>
    <w:lvl w:ilvl="0">
      <w:lvlJc w:val="left"/>
      <w:lvlText w:val="(%1)"/>
      <w:numFmt w:val="lowerLetter"/>
      <w:start w:val="1"/>
    </w:lvl>
  </w:abstractNum>
  <w:abstractNum w:abstractNumId="440">
    <w:nsid w:val="3AE37D86"/>
    <w:multiLevelType w:val="hybridMultilevel"/>
    <w:lvl w:ilvl="0">
      <w:lvlJc w:val="left"/>
      <w:lvlText w:val="(%1)"/>
      <w:numFmt w:val="lowerLetter"/>
      <w:start w:val="1"/>
    </w:lvl>
  </w:abstractNum>
  <w:abstractNum w:abstractNumId="441">
    <w:nsid w:val="45440FE5"/>
    <w:multiLevelType w:val="hybridMultilevel"/>
    <w:lvl w:ilvl="0">
      <w:lvlJc w:val="left"/>
      <w:lvlText w:val="(%1)"/>
      <w:numFmt w:val="lowerLetter"/>
      <w:start w:val="9"/>
    </w:lvl>
  </w:abstractNum>
  <w:abstractNum w:abstractNumId="442">
    <w:nsid w:val="BF783F"/>
    <w:multiLevelType w:val="hybridMultilevel"/>
    <w:lvl w:ilvl="0">
      <w:lvlJc w:val="left"/>
      <w:lvlText w:val="(%1)"/>
      <w:numFmt w:val="lowerLetter"/>
      <w:start w:val="1"/>
    </w:lvl>
    <w:lvl w:ilvl="1">
      <w:lvlJc w:val="left"/>
      <w:lvlText w:val="(%2)"/>
      <w:numFmt w:val="lowerRoman"/>
      <w:start w:val="1"/>
    </w:lvl>
  </w:abstractNum>
  <w:abstractNum w:abstractNumId="443">
    <w:nsid w:val="22643EA9"/>
    <w:multiLevelType w:val="hybridMultilevel"/>
    <w:lvl w:ilvl="0">
      <w:lvlJc w:val="left"/>
      <w:lvlText w:val="(%1)"/>
      <w:numFmt w:val="lowerLetter"/>
      <w:start w:val="1"/>
    </w:lvl>
  </w:abstractNum>
  <w:abstractNum w:abstractNumId="444">
    <w:nsid w:val="1887578D"/>
    <w:multiLevelType w:val="hybridMultilevel"/>
    <w:lvl w:ilvl="0">
      <w:lvlJc w:val="left"/>
      <w:lvlText w:val="(%1)"/>
      <w:numFmt w:val="lowerLetter"/>
      <w:start w:val="1"/>
    </w:lvl>
  </w:abstractNum>
  <w:abstractNum w:abstractNumId="445">
    <w:nsid w:val="58C05B8A"/>
    <w:multiLevelType w:val="hybridMultilevel"/>
    <w:lvl w:ilvl="0">
      <w:lvlJc w:val="left"/>
      <w:lvlText w:val="(%1)"/>
      <w:numFmt w:val="lowerLetter"/>
      <w:start w:val="1"/>
    </w:lvl>
  </w:abstractNum>
  <w:abstractNum w:abstractNumId="446">
    <w:nsid w:val="38D82E71"/>
    <w:multiLevelType w:val="hybridMultilevel"/>
    <w:lvl w:ilvl="0">
      <w:lvlJc w:val="left"/>
      <w:lvlText w:val="(%1)"/>
      <w:numFmt w:val="lowerLetter"/>
      <w:start w:val="2"/>
    </w:lvl>
    <w:lvl w:ilvl="1">
      <w:lvlJc w:val="left"/>
      <w:lvlText w:val="(%2)"/>
      <w:numFmt w:val="lowerRoman"/>
      <w:start w:val="1"/>
    </w:lvl>
  </w:abstractNum>
  <w:abstractNum w:abstractNumId="447">
    <w:nsid w:val="1E41098A"/>
    <w:multiLevelType w:val="hybridMultilevel"/>
    <w:lvl w:ilvl="0">
      <w:lvlJc w:val="left"/>
      <w:lvlText w:val="(%1)"/>
      <w:numFmt w:val="lowerLetter"/>
      <w:start w:val="3"/>
    </w:lvl>
  </w:abstractNum>
  <w:abstractNum w:abstractNumId="448">
    <w:nsid w:val="5398582C"/>
    <w:multiLevelType w:val="hybridMultilevel"/>
    <w:lvl w:ilvl="0">
      <w:lvlJc w:val="left"/>
      <w:lvlText w:val="(%1)"/>
      <w:numFmt w:val="lowerRoman"/>
      <w:start w:val="1"/>
    </w:lvl>
  </w:abstractNum>
  <w:abstractNum w:abstractNumId="449">
    <w:nsid w:val="1C0D4475"/>
    <w:multiLevelType w:val="hybridMultilevel"/>
    <w:lvl w:ilvl="0">
      <w:lvlJc w:val="left"/>
      <w:lvlText w:val="(%1)"/>
      <w:numFmt w:val="lowerRoman"/>
      <w:start w:val="5"/>
    </w:lvl>
  </w:abstractNum>
  <w:abstractNum w:abstractNumId="450">
    <w:nsid w:val="2CB6A6A4"/>
    <w:multiLevelType w:val="hybridMultilevel"/>
    <w:lvl w:ilvl="0">
      <w:lvlJc w:val="left"/>
      <w:lvlText w:val="(%1)"/>
      <w:numFmt w:val="lowerLetter"/>
      <w:start w:val="1"/>
    </w:lvl>
  </w:abstractNum>
  <w:abstractNum w:abstractNumId="451">
    <w:nsid w:val="41D646BC"/>
    <w:multiLevelType w:val="hybridMultilevel"/>
    <w:lvl w:ilvl="0">
      <w:lvlJc w:val="left"/>
      <w:lvlText w:val="(%1)"/>
      <w:numFmt w:val="lowerLetter"/>
      <w:start w:val="1"/>
    </w:lvl>
  </w:abstractNum>
  <w:abstractNum w:abstractNumId="452">
    <w:nsid w:val="3694A76A"/>
    <w:multiLevelType w:val="hybridMultilevel"/>
    <w:lvl w:ilvl="0">
      <w:lvlJc w:val="left"/>
      <w:lvlText w:val="(%1)"/>
      <w:numFmt w:val="lowerRoman"/>
      <w:start w:val="1"/>
    </w:lvl>
    <w:lvl w:ilvl="1">
      <w:lvlJc w:val="left"/>
      <w:lvlText w:val="(%2)"/>
      <w:numFmt w:val="upperLetter"/>
      <w:start w:val="1"/>
    </w:lvl>
  </w:abstractNum>
  <w:abstractNum w:abstractNumId="453">
    <w:nsid w:val="2BF876EE"/>
    <w:multiLevelType w:val="hybridMultilevel"/>
    <w:lvl w:ilvl="0">
      <w:lvlJc w:val="left"/>
      <w:lvlText w:val="(%1)"/>
      <w:numFmt w:val="lowerRoman"/>
      <w:start w:val="3"/>
    </w:lvl>
  </w:abstractNum>
  <w:abstractNum w:abstractNumId="454">
    <w:nsid w:val="675ADBA"/>
    <w:multiLevelType w:val="hybridMultilevel"/>
    <w:lvl w:ilvl="0">
      <w:lvlJc w:val="left"/>
      <w:lvlText w:val="(%1)"/>
      <w:numFmt w:val="lowerLetter"/>
      <w:start w:val="2"/>
    </w:lvl>
    <w:lvl w:ilvl="1">
      <w:lvlJc w:val="left"/>
      <w:lvlText w:val="(%2)"/>
      <w:numFmt w:val="lowerLetter"/>
      <w:start w:val="9"/>
    </w:lvl>
  </w:abstractNum>
  <w:abstractNum w:abstractNumId="455">
    <w:nsid w:val="C12AC7F"/>
    <w:multiLevelType w:val="hybridMultilevel"/>
    <w:lvl w:ilvl="0">
      <w:lvlJc w:val="left"/>
      <w:lvlText w:val="(%1)"/>
      <w:numFmt w:val="upperLetter"/>
      <w:start w:val="1"/>
    </w:lvl>
  </w:abstractNum>
  <w:abstractNum w:abstractNumId="456">
    <w:nsid w:val="6798F03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57">
    <w:nsid w:val="70837C0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58">
    <w:nsid w:val="7E4A5715"/>
    <w:multiLevelType w:val="hybridMultilevel"/>
    <w:lvl w:ilvl="0">
      <w:lvlJc w:val="left"/>
      <w:lvlText w:val="(%1)"/>
      <w:numFmt w:val="lowerRoman"/>
      <w:start w:val="4"/>
    </w:lvl>
    <w:lvl w:ilvl="1">
      <w:lvlJc w:val="left"/>
      <w:lvlText w:val="(%2)"/>
      <w:numFmt w:val="upperLetter"/>
      <w:start w:val="1"/>
    </w:lvl>
  </w:abstractNum>
  <w:abstractNum w:abstractNumId="459">
    <w:nsid w:val="42B8AC67"/>
    <w:multiLevelType w:val="hybridMultilevel"/>
    <w:lvl w:ilvl="0">
      <w:lvlJc w:val="left"/>
      <w:lvlText w:val="(%1)"/>
      <w:numFmt w:val="lowerLetter"/>
      <w:start w:val="1"/>
    </w:lvl>
  </w:abstractNum>
  <w:abstractNum w:abstractNumId="460">
    <w:nsid w:val="246348EA"/>
    <w:multiLevelType w:val="hybridMultilevel"/>
    <w:lvl w:ilvl="0">
      <w:lvlJc w:val="left"/>
      <w:lvlText w:val="(%1)"/>
      <w:numFmt w:val="lowerRoman"/>
      <w:start w:val="1"/>
    </w:lvl>
    <w:lvl w:ilvl="1">
      <w:lvlJc w:val="left"/>
      <w:lvlText w:val="(%2)"/>
      <w:numFmt w:val="upperLetter"/>
      <w:start w:val="1"/>
    </w:lvl>
  </w:abstractNum>
  <w:abstractNum w:abstractNumId="461">
    <w:nsid w:val="170EB52B"/>
    <w:multiLevelType w:val="hybridMultilevel"/>
    <w:lvl w:ilvl="0">
      <w:lvlJc w:val="left"/>
      <w:lvlText w:val="%1"/>
      <w:numFmt w:val="lowerLetter"/>
      <w:start w:val="1"/>
    </w:lvl>
    <w:lvl w:ilvl="1">
      <w:lvlJc w:val="left"/>
      <w:lvlText w:val="(%2)"/>
      <w:numFmt w:val="lowerRoman"/>
      <w:start w:val="3"/>
    </w:lvl>
  </w:abstractNum>
  <w:abstractNum w:abstractNumId="462">
    <w:nsid w:val="2DFBCB8C"/>
    <w:multiLevelType w:val="hybridMultilevel"/>
    <w:lvl w:ilvl="0">
      <w:lvlJc w:val="left"/>
      <w:lvlText w:val="(%1)"/>
      <w:numFmt w:val="lowerLetter"/>
      <w:start w:val="5"/>
    </w:lvl>
    <w:lvl w:ilvl="1">
      <w:lvlJc w:val="left"/>
      <w:lvlText w:val="%2"/>
      <w:numFmt w:val="lowerRoman"/>
      <w:start w:val="1"/>
    </w:lvl>
  </w:abstractNum>
  <w:abstractNum w:abstractNumId="463">
    <w:nsid w:val="3830D6B6"/>
    <w:multiLevelType w:val="hybridMultilevel"/>
    <w:lvl w:ilvl="0">
      <w:lvlJc w:val="left"/>
      <w:lvlText w:val="%1"/>
      <w:numFmt w:val="decimal"/>
      <w:start w:val="1"/>
    </w:lvl>
    <w:lvl w:ilvl="1">
      <w:lvlJc w:val="left"/>
      <w:lvlText w:val="(%2)"/>
      <w:numFmt w:val="lowerLetter"/>
      <w:start w:val="6"/>
    </w:lvl>
  </w:abstractNum>
  <w:abstractNum w:abstractNumId="464">
    <w:nsid w:val="6D48CF87"/>
    <w:multiLevelType w:val="hybridMultilevel"/>
    <w:lvl w:ilvl="0">
      <w:lvlJc w:val="left"/>
      <w:lvlText w:val="%1."/>
      <w:numFmt w:val="decimal"/>
      <w:start w:val="3"/>
    </w:lvl>
    <w:lvl w:ilvl="1">
      <w:lvlJc w:val="left"/>
      <w:lvlText w:val="%2"/>
      <w:numFmt w:val="lowerLetter"/>
      <w:start w:val="1"/>
    </w:lvl>
  </w:abstractNum>
  <w:abstractNum w:abstractNumId="465">
    <w:nsid w:val="576FC41B"/>
    <w:multiLevelType w:val="hybridMultilevel"/>
    <w:lvl w:ilvl="0">
      <w:lvlJc w:val="left"/>
      <w:lvlText w:val="(%1)"/>
      <w:numFmt w:val="lowerLetter"/>
      <w:start w:val="1"/>
    </w:lvl>
  </w:abstractNum>
  <w:abstractNum w:abstractNumId="466">
    <w:nsid w:val="64A1C464"/>
    <w:multiLevelType w:val="hybridMultilevel"/>
    <w:lvl w:ilvl="0">
      <w:lvlJc w:val="left"/>
      <w:lvlText w:val="(%1)"/>
      <w:numFmt w:val="lowerLetter"/>
      <w:start w:val="1"/>
    </w:lvl>
  </w:abstractNum>
  <w:abstractNum w:abstractNumId="467">
    <w:nsid w:val="31723BF5"/>
    <w:multiLevelType w:val="hybridMultilevel"/>
    <w:lvl w:ilvl="0">
      <w:lvlJc w:val="left"/>
      <w:lvlText w:val="(%1)"/>
      <w:numFmt w:val="lowerLetter"/>
      <w:start w:val="1"/>
    </w:lvl>
  </w:abstractNum>
  <w:abstractNum w:abstractNumId="468">
    <w:nsid w:val="11F69861"/>
    <w:multiLevelType w:val="hybridMultilevel"/>
    <w:lvl w:ilvl="0">
      <w:lvlJc w:val="left"/>
      <w:lvlText w:val="(%1)"/>
      <w:numFmt w:val="lowerLetter"/>
      <w:start w:val="1"/>
    </w:lvl>
  </w:abstractNum>
  <w:abstractNum w:abstractNumId="469">
    <w:nsid w:val="369956AB"/>
    <w:multiLevelType w:val="hybridMultilevel"/>
    <w:lvl w:ilvl="0">
      <w:lvlJc w:val="left"/>
      <w:lvlText w:val="(%1)"/>
      <w:numFmt w:val="lowerLetter"/>
      <w:start w:val="4"/>
    </w:lvl>
  </w:abstractNum>
  <w:abstractNum w:abstractNumId="470">
    <w:nsid w:val="D3BE41C"/>
    <w:multiLevelType w:val="hybridMultilevel"/>
    <w:lvl w:ilvl="0">
      <w:lvlJc w:val="left"/>
      <w:lvlText w:val="(%1)"/>
      <w:numFmt w:val="lowerLetter"/>
      <w:start w:val="1"/>
    </w:lvl>
  </w:abstractNum>
  <w:abstractNum w:abstractNumId="471">
    <w:nsid w:val="4CDA15E7"/>
    <w:multiLevelType w:val="hybridMultilevel"/>
    <w:lvl w:ilvl="0">
      <w:lvlJc w:val="left"/>
      <w:lvlText w:val="(%1)"/>
      <w:numFmt w:val="lowerLetter"/>
      <w:start w:val="2"/>
    </w:lvl>
  </w:abstractNum>
  <w:abstractNum w:abstractNumId="472">
    <w:nsid w:val="7BDD6690"/>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473">
    <w:nsid w:val="DFB5C5B"/>
    <w:multiLevelType w:val="hybridMultilevel"/>
    <w:lvl w:ilvl="0">
      <w:lvlJc w:val="left"/>
      <w:lvlText w:val="%1"/>
      <w:numFmt w:val="lowerRoman"/>
      <w:start w:val="1"/>
    </w:lvl>
    <w:lvl w:ilvl="1">
      <w:lvlJc w:val="left"/>
      <w:lvlText w:val="(%2)"/>
      <w:numFmt w:val="upperLetter"/>
      <w:start w:val="4"/>
    </w:lvl>
  </w:abstractNum>
  <w:abstractNum w:abstractNumId="474">
    <w:nsid w:val="6F3E5490"/>
    <w:multiLevelType w:val="hybridMultilevel"/>
    <w:lvl w:ilvl="0">
      <w:lvlJc w:val="left"/>
      <w:lvlText w:val="(%1)"/>
      <w:numFmt w:val="lowerRoman"/>
      <w:start w:val="2"/>
    </w:lvl>
    <w:lvl w:ilvl="1">
      <w:lvlJc w:val="left"/>
      <w:lvlText w:val="%2"/>
      <w:numFmt w:val="upperLetter"/>
      <w:start w:val="1"/>
    </w:lvl>
  </w:abstractNum>
  <w:abstractNum w:abstractNumId="475">
    <w:nsid w:val="1464BE1E"/>
    <w:multiLevelType w:val="hybridMultilevel"/>
    <w:lvl w:ilvl="0">
      <w:lvlJc w:val="left"/>
      <w:lvlText w:val="%1"/>
      <w:numFmt w:val="lowerRoman"/>
      <w:start w:val="1"/>
    </w:lvl>
    <w:lvl w:ilvl="1">
      <w:lvlJc w:val="left"/>
      <w:lvlText w:val="(%2)"/>
      <w:numFmt w:val="lowerRoman"/>
      <w:start w:val="2"/>
    </w:lvl>
  </w:abstractNum>
  <w:abstractNum w:abstractNumId="476">
    <w:nsid w:val="66BBB7E5"/>
    <w:multiLevelType w:val="hybridMultilevel"/>
    <w:lvl w:ilvl="0">
      <w:lvlJc w:val="left"/>
      <w:lvlText w:val="%1"/>
      <w:numFmt w:val="lowerRoman"/>
      <w:start w:val="1"/>
    </w:lvl>
    <w:lvl w:ilvl="1">
      <w:lvlJc w:val="left"/>
      <w:lvlText w:val="(%2)"/>
      <w:numFmt w:val="lowerRoman"/>
      <w:start w:val="4"/>
    </w:lvl>
  </w:abstractNum>
  <w:abstractNum w:abstractNumId="477">
    <w:nsid w:val="28168302"/>
    <w:multiLevelType w:val="hybridMultilevel"/>
    <w:lvl w:ilvl="0">
      <w:lvlJc w:val="left"/>
      <w:lvlText w:val="(%1)"/>
      <w:numFmt w:val="lowerRoman"/>
      <w:start w:val="4"/>
    </w:lvl>
    <w:lvl w:ilvl="1">
      <w:lvlJc w:val="left"/>
      <w:lvlText w:val="%2"/>
      <w:numFmt w:val="lowerRoman"/>
      <w:start w:val="1"/>
    </w:lvl>
  </w:abstractNum>
  <w:abstractNum w:abstractNumId="478">
    <w:nsid w:val="32A5C7A8"/>
    <w:multiLevelType w:val="hybridMultilevel"/>
    <w:lvl w:ilvl="0">
      <w:lvlJc w:val="left"/>
      <w:lvlText w:val="(%1)"/>
      <w:numFmt w:val="lowerRoman"/>
      <w:start w:val="8"/>
    </w:lvl>
    <w:lvl w:ilvl="1">
      <w:lvlJc w:val="left"/>
      <w:lvlText w:val="(%2)"/>
      <w:numFmt w:val="upperLetter"/>
      <w:start w:val="1"/>
    </w:lvl>
  </w:abstractNum>
  <w:abstractNum w:abstractNumId="479">
    <w:nsid w:val="3A541011"/>
    <w:multiLevelType w:val="hybridMultilevel"/>
    <w:lvl w:ilvl="0">
      <w:lvlJc w:val="left"/>
      <w:lvlText w:val="(%1)"/>
      <w:numFmt w:val="lowerRoman"/>
      <w:start w:val="10"/>
    </w:lvl>
  </w:abstractNum>
  <w:abstractNum w:abstractNumId="480">
    <w:nsid w:val="4423C777"/>
    <w:multiLevelType w:val="hybridMultilevel"/>
    <w:lvl w:ilvl="0">
      <w:lvlJc w:val="left"/>
      <w:lvlText w:val="(%1)"/>
      <w:numFmt w:val="lowerRoman"/>
      <w:start w:val="18"/>
    </w:lvl>
    <w:lvl w:ilvl="1">
      <w:lvlJc w:val="left"/>
      <w:lvlText w:val="(%2)"/>
      <w:numFmt w:val="lowerRoman"/>
      <w:start w:val="1"/>
    </w:lvl>
  </w:abstractNum>
  <w:abstractNum w:abstractNumId="481">
    <w:nsid w:val="5F5C6E4D"/>
    <w:multiLevelType w:val="hybridMultilevel"/>
    <w:lvl w:ilvl="0">
      <w:lvlJc w:val="left"/>
      <w:lvlText w:val="(%1)"/>
      <w:numFmt w:val="lowerRoman"/>
      <w:start w:val="19"/>
    </w:lvl>
    <w:lvl w:ilvl="1">
      <w:lvlJc w:val="left"/>
      <w:lvlText w:val="(%2)"/>
      <w:numFmt w:val="upperLetter"/>
      <w:start w:val="1"/>
    </w:lvl>
  </w:abstractNum>
  <w:abstractNum w:abstractNumId="482">
    <w:nsid w:val="7C2A56C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8"/>
    </w:lvl>
  </w:abstractNum>
  <w:abstractNum w:abstractNumId="483">
    <w:nsid w:val="7AB86EE1"/>
    <w:multiLevelType w:val="hybridMultilevel"/>
    <w:lvl w:ilvl="0">
      <w:lvlJc w:val="left"/>
      <w:lvlText w:val="%1"/>
      <w:numFmt w:val="lowerLetter"/>
      <w:start w:val="1"/>
    </w:lvl>
    <w:lvl w:ilvl="1">
      <w:lvlJc w:val="left"/>
      <w:lvlText w:val="(%2)"/>
      <w:numFmt w:val="lowerLetter"/>
      <w:start w:val="50"/>
    </w:lvl>
    <w:lvl w:ilvl="2">
      <w:lvlJc w:val="left"/>
      <w:lvlText w:val="%3"/>
      <w:numFmt w:val="upperLetter"/>
      <w:start w:val="1"/>
    </w:lvl>
  </w:abstractNum>
  <w:abstractNum w:abstractNumId="484">
    <w:nsid w:val="B54E53B"/>
    <w:multiLevelType w:val="hybridMultilevel"/>
    <w:lvl w:ilvl="0">
      <w:lvlJc w:val="left"/>
      <w:lvlText w:val="(%1)"/>
      <w:numFmt w:val="lowerLetter"/>
      <w:start w:val="12"/>
    </w:lvl>
    <w:lvl w:ilvl="1">
      <w:lvlJc w:val="left"/>
      <w:lvlText w:val="(%2)"/>
      <w:numFmt w:val="lowerLetter"/>
      <w:start w:val="9"/>
    </w:lvl>
    <w:lvl w:ilvl="2">
      <w:lvlJc w:val="left"/>
      <w:lvlText w:val="%3"/>
      <w:numFmt w:val="upperLetter"/>
      <w:start w:val="1"/>
    </w:lvl>
  </w:abstractNum>
  <w:abstractNum w:abstractNumId="485">
    <w:nsid w:val="2A00487"/>
    <w:multiLevelType w:val="hybridMultilevel"/>
    <w:lvl w:ilvl="0">
      <w:lvlJc w:val="left"/>
      <w:lvlText w:val="(%1)"/>
      <w:numFmt w:val="lowerRoman"/>
      <w:start w:val="2"/>
    </w:lvl>
  </w:abstractNum>
  <w:abstractNum w:abstractNumId="486">
    <w:nsid w:val="6CB1B60"/>
    <w:multiLevelType w:val="hybridMultilevel"/>
    <w:lvl w:ilvl="0">
      <w:lvlJc w:val="left"/>
      <w:lvlText w:val="(%1)"/>
      <w:numFmt w:val="lowerLetter"/>
      <w:start w:val="1"/>
    </w:lvl>
  </w:abstractNum>
  <w:abstractNum w:abstractNumId="487">
    <w:nsid w:val="72EDD574"/>
    <w:multiLevelType w:val="hybridMultilevel"/>
    <w:lvl w:ilvl="0">
      <w:lvlJc w:val="left"/>
      <w:lvlText w:val="(%1)"/>
      <w:numFmt w:val="lowerLetter"/>
      <w:start w:val="1"/>
    </w:lvl>
  </w:abstractNum>
  <w:abstractNum w:abstractNumId="488">
    <w:nsid w:val="7323808A"/>
    <w:multiLevelType w:val="hybridMultilevel"/>
    <w:lvl w:ilvl="0">
      <w:lvlJc w:val="left"/>
      <w:lvlText w:val="(%1)"/>
      <w:numFmt w:val="lowerLetter"/>
      <w:start w:val="4"/>
    </w:lvl>
    <w:lvl w:ilvl="1">
      <w:lvlJc w:val="left"/>
      <w:lvlText w:val="(%2)"/>
      <w:numFmt w:val="lowerRoman"/>
      <w:start w:val="1"/>
    </w:lvl>
  </w:abstractNum>
  <w:abstractNum w:abstractNumId="489">
    <w:nsid w:val="5157276"/>
    <w:multiLevelType w:val="hybridMultilevel"/>
    <w:lvl w:ilvl="0">
      <w:lvlJc w:val="left"/>
      <w:lvlText w:val="(%1)"/>
      <w:numFmt w:val="lowerLetter"/>
      <w:start w:val="1"/>
    </w:lvl>
  </w:abstractNum>
  <w:abstractNum w:abstractNumId="490">
    <w:nsid w:val="35A681DB"/>
    <w:multiLevelType w:val="hybridMultilevel"/>
    <w:lvl w:ilvl="0">
      <w:lvlJc w:val="left"/>
      <w:lvlText w:val="(%1)"/>
      <w:numFmt w:val="lowerLetter"/>
      <w:start w:val="2"/>
    </w:lvl>
    <w:lvl w:ilvl="1">
      <w:lvlJc w:val="left"/>
      <w:lvlText w:val="(%2)"/>
      <w:numFmt w:val="lowerRoman"/>
      <w:start w:val="1"/>
    </w:lvl>
  </w:abstractNum>
  <w:abstractNum w:abstractNumId="491">
    <w:nsid w:val="1786C974"/>
    <w:multiLevelType w:val="hybridMultilevel"/>
    <w:lvl w:ilvl="0">
      <w:lvlJc w:val="left"/>
      <w:lvlText w:val="(%1)"/>
      <w:numFmt w:val="lowerLetter"/>
      <w:start w:val="1"/>
    </w:lvl>
  </w:abstractNum>
  <w:abstractNum w:abstractNumId="492">
    <w:nsid w:val="1C2427A1"/>
    <w:multiLevelType w:val="hybridMultilevel"/>
    <w:lvl w:ilvl="0">
      <w:lvlJc w:val="left"/>
      <w:lvlText w:val="(%1)"/>
      <w:numFmt w:val="lowerRoman"/>
      <w:start w:val="1"/>
    </w:lvl>
  </w:abstractNum>
  <w:abstractNum w:abstractNumId="493">
    <w:nsid w:val="63A24D68"/>
    <w:multiLevelType w:val="hybridMultilevel"/>
    <w:lvl w:ilvl="0">
      <w:lvlJc w:val="left"/>
      <w:lvlText w:val="(%1)"/>
      <w:numFmt w:val="lowerLetter"/>
      <w:start w:val="2"/>
    </w:lvl>
    <w:lvl w:ilvl="1">
      <w:lvlJc w:val="left"/>
      <w:lvlText w:val="(%2)"/>
      <w:numFmt w:val="lowerRoman"/>
      <w:start w:val="1"/>
    </w:lvl>
  </w:abstractNum>
  <w:abstractNum w:abstractNumId="494">
    <w:nsid w:val="4FB7A02A"/>
    <w:multiLevelType w:val="hybridMultilevel"/>
    <w:lvl w:ilvl="0">
      <w:lvlJc w:val="left"/>
      <w:lvlText w:val="(%1)"/>
      <w:numFmt w:val="lowerRoman"/>
      <w:start w:val="3"/>
    </w:lvl>
  </w:abstractNum>
  <w:abstractNum w:abstractNumId="495">
    <w:nsid w:val="96CF728"/>
    <w:multiLevelType w:val="hybridMultilevel"/>
    <w:lvl w:ilvl="0">
      <w:lvlJc w:val="left"/>
      <w:lvlText w:val="(%1)"/>
      <w:numFmt w:val="lowerLetter"/>
      <w:start w:val="3"/>
    </w:lvl>
    <w:lvl w:ilvl="1">
      <w:lvlJc w:val="left"/>
      <w:lvlText w:val="(%2)"/>
      <w:numFmt w:val="lowerRoman"/>
      <w:start w:val="1"/>
    </w:lvl>
  </w:abstractNum>
  <w:abstractNum w:abstractNumId="496">
    <w:nsid w:val="3B121183"/>
    <w:multiLevelType w:val="hybridMultilevel"/>
    <w:lvl w:ilvl="0">
      <w:lvlJc w:val="left"/>
      <w:lvlText w:val="(%1)"/>
      <w:numFmt w:val="lowerLetter"/>
      <w:start w:val="1"/>
    </w:lvl>
  </w:abstractNum>
  <w:abstractNum w:abstractNumId="497">
    <w:nsid w:val="3459648F"/>
    <w:multiLevelType w:val="hybridMultilevel"/>
    <w:lvl w:ilvl="0">
      <w:lvlJc w:val="left"/>
      <w:lvlText w:val="(%1)"/>
      <w:numFmt w:val="lowerLetter"/>
      <w:start w:val="2"/>
    </w:lvl>
  </w:abstractNum>
  <w:abstractNum w:abstractNumId="498">
    <w:nsid w:val="3ADF331D"/>
    <w:multiLevelType w:val="hybridMultilevel"/>
    <w:lvl w:ilvl="0">
      <w:lvlJc w:val="left"/>
      <w:lvlText w:val="(%1)"/>
      <w:numFmt w:val="lowerLetter"/>
      <w:start w:val="1"/>
    </w:lvl>
  </w:abstractNum>
  <w:abstractNum w:abstractNumId="499">
    <w:nsid w:val="4D08A9E4"/>
    <w:multiLevelType w:val="hybridMultilevel"/>
    <w:lvl w:ilvl="0">
      <w:lvlJc w:val="left"/>
      <w:lvlText w:val="(%1)"/>
      <w:numFmt w:val="lowerLetter"/>
      <w:start w:val="1"/>
    </w:lvl>
  </w:abstractNum>
  <w:abstractNum w:abstractNumId="500">
    <w:nsid w:val="6AF2BB3A"/>
    <w:multiLevelType w:val="hybridMultilevel"/>
    <w:lvl w:ilvl="0">
      <w:lvlJc w:val="left"/>
      <w:lvlText w:val="(%1)"/>
      <w:numFmt w:val="lowerLetter"/>
      <w:start w:val="2"/>
    </w:lvl>
  </w:abstractNum>
  <w:abstractNum w:abstractNumId="501">
    <w:nsid w:val="481B1739"/>
    <w:multiLevelType w:val="hybridMultilevel"/>
    <w:lvl w:ilvl="0">
      <w:lvlJc w:val="left"/>
      <w:lvlText w:val="(%1)"/>
      <w:numFmt w:val="lowerLetter"/>
      <w:start w:val="1"/>
    </w:lvl>
  </w:abstractNum>
  <w:abstractNum w:abstractNumId="502">
    <w:nsid w:val="19E2BFCC"/>
    <w:multiLevelType w:val="hybridMultilevel"/>
    <w:lvl w:ilvl="0">
      <w:lvlJc w:val="left"/>
      <w:lvlText w:val="(%1)"/>
      <w:numFmt w:val="lowerLetter"/>
      <w:start w:val="1"/>
    </w:lvl>
  </w:abstractNum>
  <w:abstractNum w:abstractNumId="503">
    <w:nsid w:val="66D021CA"/>
    <w:multiLevelType w:val="hybridMultilevel"/>
    <w:lvl w:ilvl="0">
      <w:lvlJc w:val="left"/>
      <w:lvlText w:val="(%1)"/>
      <w:numFmt w:val="lowerLetter"/>
      <w:start w:val="1"/>
    </w:lvl>
  </w:abstractNum>
  <w:abstractNum w:abstractNumId="504">
    <w:nsid w:val="56167394"/>
    <w:multiLevelType w:val="hybridMultilevel"/>
    <w:lvl w:ilvl="0">
      <w:lvlJc w:val="left"/>
      <w:lvlText w:val="(%1)"/>
      <w:numFmt w:val="lowerLetter"/>
      <w:start w:val="2"/>
    </w:lvl>
  </w:abstractNum>
  <w:abstractNum w:abstractNumId="505">
    <w:nsid w:val="921145C"/>
    <w:multiLevelType w:val="hybridMultilevel"/>
    <w:lvl w:ilvl="0">
      <w:lvlJc w:val="left"/>
      <w:lvlText w:val="(%1)"/>
      <w:numFmt w:val="lowerLetter"/>
      <w:start w:val="1"/>
    </w:lvl>
  </w:abstractNum>
  <w:abstractNum w:abstractNumId="506">
    <w:nsid w:val="7B34DFE8"/>
    <w:multiLevelType w:val="hybridMultilevel"/>
    <w:lvl w:ilvl="0">
      <w:lvlJc w:val="left"/>
      <w:lvlText w:val="(%1)"/>
      <w:numFmt w:val="lowerLetter"/>
      <w:start w:val="7"/>
    </w:lvl>
    <w:lvl w:ilvl="1">
      <w:lvlJc w:val="left"/>
      <w:lvlText w:val="(%2)"/>
      <w:numFmt w:val="lowerLetter"/>
      <w:start w:val="61"/>
    </w:lvl>
  </w:abstractNum>
  <w:abstractNum w:abstractNumId="507">
    <w:nsid w:val="3CD22B79"/>
    <w:multiLevelType w:val="hybridMultilevel"/>
    <w:lvl w:ilvl="0">
      <w:lvlJc w:val="left"/>
      <w:lvlText w:val="(%1)"/>
      <w:numFmt w:val="lowerLetter"/>
      <w:start w:val="1"/>
    </w:lvl>
  </w:abstractNum>
  <w:abstractNum w:abstractNumId="508">
    <w:nsid w:val="3137975E"/>
    <w:multiLevelType w:val="hybridMultilevel"/>
    <w:lvl w:ilvl="0">
      <w:lvlJc w:val="left"/>
      <w:lvlText w:val="(%1)"/>
      <w:numFmt w:val="lowerLetter"/>
      <w:start w:val="1"/>
    </w:lvl>
    <w:lvl w:ilvl="1">
      <w:lvlJc w:val="left"/>
      <w:lvlText w:val="(%2)"/>
      <w:numFmt w:val="lowerRoman"/>
      <w:start w:val="1"/>
    </w:lvl>
  </w:abstractNum>
  <w:abstractNum w:abstractNumId="509">
    <w:nsid w:val="2DDAA791"/>
    <w:multiLevelType w:val="hybridMultilevel"/>
    <w:lvl w:ilvl="0">
      <w:lvlJc w:val="left"/>
      <w:lvlText w:val="(%1)"/>
      <w:numFmt w:val="lowerLetter"/>
      <w:start w:val="4"/>
    </w:lvl>
  </w:abstractNum>
  <w:abstractNum w:abstractNumId="510">
    <w:nsid w:val="77263B8A"/>
    <w:multiLevelType w:val="hybridMultilevel"/>
    <w:lvl w:ilvl="0">
      <w:lvlJc w:val="left"/>
      <w:lvlText w:val="(%1)"/>
      <w:numFmt w:val="lowerLetter"/>
      <w:start w:val="1"/>
    </w:lvl>
  </w:abstractNum>
  <w:abstractNum w:abstractNumId="511">
    <w:nsid w:val="755B5ED6"/>
    <w:multiLevelType w:val="hybridMultilevel"/>
    <w:lvl w:ilvl="0">
      <w:lvlJc w:val="left"/>
      <w:lvlText w:val="(%1)"/>
      <w:numFmt w:val="lowerLetter"/>
      <w:start w:val="5"/>
    </w:lvl>
  </w:abstractNum>
  <w:abstractNum w:abstractNumId="512">
    <w:nsid w:val="D3715DE"/>
    <w:multiLevelType w:val="hybridMultilevel"/>
    <w:lvl w:ilvl="0">
      <w:lvlJc w:val="left"/>
      <w:lvlText w:val="(%1)"/>
      <w:numFmt w:val="lowerLetter"/>
      <w:start w:val="1"/>
    </w:lvl>
  </w:abstractNum>
  <w:abstractNum w:abstractNumId="513">
    <w:nsid w:val="73509257"/>
    <w:multiLevelType w:val="hybridMultilevel"/>
    <w:lvl w:ilvl="0">
      <w:lvlJc w:val="left"/>
      <w:lvlText w:val="(%1)"/>
      <w:numFmt w:val="lowerLetter"/>
      <w:start w:val="4"/>
    </w:lvl>
  </w:abstractNum>
  <w:abstractNum w:abstractNumId="514">
    <w:nsid w:val="7013CDB7"/>
    <w:multiLevelType w:val="hybridMultilevel"/>
    <w:lvl w:ilvl="0">
      <w:lvlJc w:val="left"/>
      <w:lvlText w:val="(%1)"/>
      <w:numFmt w:val="lowerLetter"/>
      <w:start w:val="1"/>
    </w:lvl>
    <w:lvl w:ilvl="1">
      <w:lvlJc w:val="left"/>
      <w:lvlText w:val="(%2)"/>
      <w:numFmt w:val="lowerRoman"/>
      <w:start w:val="1"/>
    </w:lvl>
  </w:abstractNum>
  <w:abstractNum w:abstractNumId="515">
    <w:nsid w:val="188BFB19"/>
    <w:multiLevelType w:val="hybridMultilevel"/>
    <w:lvl w:ilvl="0">
      <w:lvlJc w:val="left"/>
      <w:lvlText w:val="(%1)"/>
      <w:numFmt w:val="lowerLetter"/>
      <w:start w:val="5"/>
    </w:lvl>
  </w:abstractNum>
  <w:abstractNum w:abstractNumId="516">
    <w:nsid w:val="75F096DF"/>
    <w:multiLevelType w:val="hybridMultilevel"/>
    <w:lvl w:ilvl="0">
      <w:lvlJc w:val="left"/>
      <w:lvlText w:val="(%1)"/>
      <w:numFmt w:val="lowerLetter"/>
      <w:start w:val="1"/>
    </w:lvl>
  </w:abstractNum>
  <w:abstractNum w:abstractNumId="517">
    <w:nsid w:val="76DEE918"/>
    <w:multiLevelType w:val="hybridMultilevel"/>
    <w:lvl w:ilvl="0">
      <w:lvlJc w:val="left"/>
      <w:lvlText w:val="(%1)"/>
      <w:numFmt w:val="lowerLetter"/>
      <w:start w:val="1"/>
    </w:lvl>
    <w:lvl w:ilvl="1">
      <w:lvlJc w:val="left"/>
      <w:lvlText w:val="(%2)"/>
      <w:numFmt w:val="lowerRoman"/>
      <w:start w:val="1"/>
    </w:lvl>
  </w:abstractNum>
  <w:abstractNum w:abstractNumId="518">
    <w:nsid w:val="B79D08D"/>
    <w:multiLevelType w:val="hybridMultilevel"/>
    <w:lvl w:ilvl="0">
      <w:lvlJc w:val="left"/>
      <w:lvlText w:val="(%1)"/>
      <w:numFmt w:val="lowerLetter"/>
      <w:start w:val="3"/>
    </w:lvl>
  </w:abstractNum>
  <w:abstractNum w:abstractNumId="519">
    <w:nsid w:val="69141769"/>
    <w:multiLevelType w:val="hybridMultilevel"/>
    <w:lvl w:ilvl="0">
      <w:lvlJc w:val="left"/>
      <w:lvlText w:val="(%1)"/>
      <w:numFmt w:val="lowerLetter"/>
      <w:start w:val="5"/>
    </w:lvl>
  </w:abstractNum>
  <w:abstractNum w:abstractNumId="520">
    <w:nsid w:val="7BF45B8E"/>
    <w:multiLevelType w:val="hybridMultilevel"/>
    <w:lvl w:ilvl="0">
      <w:lvlJc w:val="left"/>
      <w:lvlText w:val="(%1)"/>
      <w:numFmt w:val="lowerLetter"/>
      <w:start w:val="1"/>
    </w:lvl>
  </w:abstractNum>
  <w:abstractNum w:abstractNumId="521">
    <w:nsid w:val="41205269"/>
    <w:multiLevelType w:val="hybridMultilevel"/>
    <w:lvl w:ilvl="0">
      <w:lvlJc w:val="left"/>
      <w:lvlText w:val="(%1)"/>
      <w:numFmt w:val="lowerLetter"/>
      <w:start w:val="1"/>
    </w:lvl>
  </w:abstractNum>
  <w:abstractNum w:abstractNumId="522">
    <w:nsid w:val="9AE0DD"/>
    <w:multiLevelType w:val="hybridMultilevel"/>
    <w:lvl w:ilvl="0">
      <w:lvlJc w:val="left"/>
      <w:lvlText w:val="(%1)"/>
      <w:numFmt w:val="lowerLetter"/>
      <w:start w:val="1"/>
    </w:lvl>
  </w:abstractNum>
  <w:abstractNum w:abstractNumId="523">
    <w:nsid w:val="1818832F"/>
    <w:multiLevelType w:val="hybridMultilevel"/>
    <w:lvl w:ilvl="0">
      <w:lvlJc w:val="left"/>
      <w:lvlText w:val="(%1)"/>
      <w:numFmt w:val="lowerRoman"/>
      <w:start w:val="1"/>
    </w:lvl>
  </w:abstractNum>
  <w:abstractNum w:abstractNumId="524">
    <w:nsid w:val="24C29FD1"/>
    <w:multiLevelType w:val="hybridMultilevel"/>
    <w:lvl w:ilvl="0">
      <w:lvlJc w:val="left"/>
      <w:lvlText w:val="%1"/>
      <w:numFmt w:val="lowerLetter"/>
      <w:start w:val="1"/>
    </w:lvl>
    <w:lvl w:ilvl="1">
      <w:lvlJc w:val="left"/>
      <w:lvlText w:val="(%2)"/>
      <w:numFmt w:val="upperLetter"/>
      <w:start w:val="1"/>
    </w:lvl>
  </w:abstractNum>
  <w:abstractNum w:abstractNumId="525">
    <w:nsid w:val="50528108"/>
    <w:multiLevelType w:val="hybridMultilevel"/>
    <w:lvl w:ilvl="0">
      <w:lvlJc w:val="left"/>
      <w:lvlText w:val="(%1)"/>
      <w:numFmt w:val="lowerLetter"/>
      <w:start w:val="2"/>
    </w:lvl>
    <w:lvl w:ilvl="1">
      <w:lvlJc w:val="left"/>
      <w:lvlText w:val="%2"/>
      <w:numFmt w:val="upperLetter"/>
      <w:start w:val="1"/>
    </w:lvl>
  </w:abstractNum>
  <w:abstractNum w:abstractNumId="526">
    <w:nsid w:val="21857A57"/>
    <w:multiLevelType w:val="hybridMultilevel"/>
    <w:lvl w:ilvl="0">
      <w:lvlJc w:val="left"/>
      <w:lvlText w:val="(%1)"/>
      <w:numFmt w:val="lowerLetter"/>
      <w:start w:val="1"/>
    </w:lvl>
  </w:abstractNum>
  <w:abstractNum w:abstractNumId="527">
    <w:nsid w:val="5FD4B154"/>
    <w:multiLevelType w:val="hybridMultilevel"/>
    <w:lvl w:ilvl="0">
      <w:lvlJc w:val="left"/>
      <w:lvlText w:val="(%1)"/>
      <w:numFmt w:val="lowerLetter"/>
      <w:start w:val="1"/>
    </w:lvl>
    <w:lvl w:ilvl="1">
      <w:lvlJc w:val="left"/>
      <w:lvlText w:val="(%2)"/>
      <w:numFmt w:val="lowerRoman"/>
      <w:start w:val="1"/>
    </w:lvl>
  </w:abstractNum>
  <w:abstractNum w:abstractNumId="528">
    <w:nsid w:val="4ABE597"/>
    <w:multiLevelType w:val="hybridMultilevel"/>
    <w:lvl w:ilvl="0">
      <w:lvlJc w:val="left"/>
      <w:lvlText w:val="(%1)"/>
      <w:numFmt w:val="lowerLetter"/>
      <w:start w:val="2"/>
    </w:lvl>
  </w:abstractNum>
  <w:abstractNum w:abstractNumId="529">
    <w:nsid w:val="5C64AD75"/>
    <w:multiLevelType w:val="hybridMultilevel"/>
    <w:lvl w:ilvl="0">
      <w:lvlJc w:val="left"/>
      <w:lvlText w:val="(%1)"/>
      <w:numFmt w:val="lowerLetter"/>
      <w:start w:val="1"/>
    </w:lvl>
    <w:lvl w:ilvl="1">
      <w:lvlJc w:val="left"/>
      <w:lvlText w:val="(%2)"/>
      <w:numFmt w:val="lowerRoman"/>
      <w:start w:val="1"/>
    </w:lvl>
  </w:abstractNum>
  <w:abstractNum w:abstractNumId="530">
    <w:nsid w:val="2CDD5B39"/>
    <w:multiLevelType w:val="hybridMultilevel"/>
    <w:lvl w:ilvl="0">
      <w:lvlJc w:val="left"/>
      <w:lvlText w:val="(%1)"/>
      <w:numFmt w:val="lowerLetter"/>
      <w:start w:val="3"/>
    </w:lvl>
  </w:abstractNum>
  <w:abstractNum w:abstractNumId="531">
    <w:nsid w:val="6F9EA0D1"/>
    <w:multiLevelType w:val="hybridMultilevel"/>
    <w:lvl w:ilvl="0">
      <w:lvlJc w:val="left"/>
      <w:lvlText w:val="(%1)"/>
      <w:numFmt w:val="lowerLetter"/>
      <w:start w:val="1"/>
    </w:lvl>
  </w:abstractNum>
  <w:abstractNum w:abstractNumId="532">
    <w:nsid w:val="247FC4AE"/>
    <w:multiLevelType w:val="hybridMultilevel"/>
    <w:lvl w:ilvl="0">
      <w:lvlJc w:val="left"/>
      <w:lvlText w:val="(%1)"/>
      <w:numFmt w:val="lowerLetter"/>
      <w:start w:val="1"/>
    </w:lvl>
  </w:abstractNum>
  <w:abstractNum w:abstractNumId="533">
    <w:nsid w:val="46C01B05"/>
    <w:multiLevelType w:val="hybridMultilevel"/>
    <w:lvl w:ilvl="0">
      <w:lvlJc w:val="left"/>
      <w:lvlText w:val="(%1)"/>
      <w:numFmt w:val="lowerLetter"/>
      <w:start w:val="1"/>
    </w:lvl>
  </w:abstractNum>
  <w:abstractNum w:abstractNumId="534">
    <w:nsid w:val="566EC29B"/>
    <w:multiLevelType w:val="hybridMultilevel"/>
    <w:lvl w:ilvl="0">
      <w:lvlJc w:val="left"/>
      <w:lvlText w:val="(%1)"/>
      <w:numFmt w:val="lowerLetter"/>
      <w:start w:val="4"/>
    </w:lvl>
  </w:abstractNum>
  <w:abstractNum w:abstractNumId="535">
    <w:nsid w:val="7A963843"/>
    <w:multiLevelType w:val="hybridMultilevel"/>
    <w:lvl w:ilvl="0">
      <w:lvlJc w:val="left"/>
      <w:lvlText w:val="(%1)"/>
      <w:numFmt w:val="lowerLetter"/>
      <w:start w:val="1"/>
    </w:lvl>
  </w:abstractNum>
  <w:abstractNum w:abstractNumId="536">
    <w:nsid w:val="4FE12F61"/>
    <w:multiLevelType w:val="hybridMultilevel"/>
    <w:lvl w:ilvl="0">
      <w:lvlJc w:val="left"/>
      <w:lvlText w:val="1"/>
      <w:numFmt w:val="bullet"/>
      <w:start w:val="1"/>
    </w:lvl>
  </w:abstractNum>
  <w:abstractNum w:abstractNumId="537">
    <w:nsid w:val="51A3A284"/>
    <w:multiLevelType w:val="hybridMultilevel"/>
    <w:lvl w:ilvl="0">
      <w:lvlJc w:val="left"/>
      <w:lvlText w:val="☐"/>
      <w:numFmt w:val="bullet"/>
      <w:start w:val="1"/>
    </w:lvl>
  </w:abstractNum>
  <w:abstractNum w:abstractNumId="538">
    <w:nsid w:val="376863BC"/>
    <w:multiLevelType w:val="hybridMultilevel"/>
    <w:lvl w:ilvl="0">
      <w:lvlJc w:val="left"/>
      <w:lvlText w:val="☐"/>
      <w:numFmt w:val="bullet"/>
      <w:start w:val="1"/>
    </w:lvl>
  </w:abstractNum>
  <w:abstractNum w:abstractNumId="539">
    <w:nsid w:val="118C6C0"/>
    <w:multiLevelType w:val="hybridMultilevel"/>
    <w:lvl w:ilvl="0">
      <w:lvlJc w:val="left"/>
      <w:lvlText w:val="☐"/>
      <w:numFmt w:val="bullet"/>
      <w:start w:val="1"/>
    </w:lvl>
  </w:abstractNum>
  <w:abstractNum w:abstractNumId="540">
    <w:nsid w:val="7F7E4A15"/>
    <w:multiLevelType w:val="hybridMultilevel"/>
    <w:lvl w:ilvl="0">
      <w:lvlJc w:val="left"/>
      <w:lvlText w:val="☐"/>
      <w:numFmt w:val="bullet"/>
      <w:start w:val="1"/>
    </w:lvl>
  </w:abstractNum>
  <w:abstractNum w:abstractNumId="541">
    <w:nsid w:val="2E8E9F47"/>
    <w:multiLevelType w:val="hybridMultilevel"/>
    <w:lvl w:ilvl="0">
      <w:lvlJc w:val="left"/>
      <w:lvlText w:val="☐"/>
      <w:numFmt w:val="bullet"/>
      <w:start w:val="1"/>
    </w:lvl>
  </w:abstractNum>
  <w:abstractNum w:abstractNumId="542">
    <w:nsid w:val="76742596"/>
    <w:multiLevelType w:val="hybridMultilevel"/>
    <w:lvl w:ilvl="0">
      <w:lvlJc w:val="left"/>
      <w:lvlText w:val="☐"/>
      <w:numFmt w:val="bullet"/>
      <w:start w:val="1"/>
    </w:lvl>
    <w:lvl w:ilvl="1">
      <w:lvlJc w:val="left"/>
      <w:lvlText w:val="☐"/>
      <w:numFmt w:val="bullet"/>
      <w:start w:val="1"/>
    </w:lvl>
  </w:abstractNum>
  <w:abstractNum w:abstractNumId="543">
    <w:nsid w:val="CB55FF3"/>
    <w:multiLevelType w:val="hybridMultilevel"/>
    <w:lvl w:ilvl="0">
      <w:lvlJc w:val="left"/>
      <w:lvlText w:val="☐"/>
      <w:numFmt w:val="bullet"/>
      <w:start w:val="1"/>
    </w:lvl>
  </w:abstractNum>
  <w:abstractNum w:abstractNumId="544">
    <w:nsid w:val="21DF319E"/>
    <w:multiLevelType w:val="hybridMultilevel"/>
    <w:lvl w:ilvl="0">
      <w:lvlJc w:val="left"/>
      <w:lvlText w:val="☐"/>
      <w:numFmt w:val="bullet"/>
      <w:start w:val="1"/>
    </w:lvl>
  </w:abstractNum>
  <w:abstractNum w:abstractNumId="545">
    <w:nsid w:val="6687F34D"/>
    <w:multiLevelType w:val="hybridMultilevel"/>
    <w:lvl w:ilvl="0">
      <w:lvlJc w:val="left"/>
      <w:lvlText w:val="☐"/>
      <w:numFmt w:val="bullet"/>
      <w:start w:val="1"/>
    </w:lvl>
  </w:abstractNum>
  <w:abstractNum w:abstractNumId="546">
    <w:nsid w:val="25415B0C"/>
    <w:multiLevelType w:val="hybridMultilevel"/>
    <w:lvl w:ilvl="0">
      <w:lvlJc w:val="left"/>
      <w:lvlText w:val="(%1)"/>
      <w:numFmt w:val="lowerLetter"/>
      <w:start w:val="1"/>
    </w:lvl>
  </w:abstractNum>
  <w:abstractNum w:abstractNumId="547">
    <w:nsid w:val="17CFC87D"/>
    <w:multiLevelType w:val="hybridMultilevel"/>
    <w:lvl w:ilvl="0">
      <w:lvlJc w:val="left"/>
      <w:lvlText w:val="(%1)"/>
      <w:numFmt w:val="lowerRoman"/>
      <w:start w:val="1"/>
    </w:lvl>
  </w:abstractNum>
  <w:abstractNum w:abstractNumId="548">
    <w:nsid w:val="5D66DC65"/>
    <w:multiLevelType w:val="hybridMultilevel"/>
    <w:lvl w:ilvl="0">
      <w:lvlJc w:val="left"/>
      <w:lvlText w:val="(%1)"/>
      <w:numFmt w:val="lowerRoman"/>
      <w:start w:val="4"/>
    </w:lvl>
  </w:abstractNum>
  <w:abstractNum w:abstractNumId="549">
    <w:nsid w:val="30BB2B99"/>
    <w:multiLevelType w:val="hybridMultilevel"/>
    <w:lvl w:ilvl="0">
      <w:lvlJc w:val="left"/>
      <w:lvlText w:val="%1"/>
      <w:numFmt w:val="lowerLetter"/>
      <w:start w:val="1"/>
    </w:lvl>
    <w:lvl w:ilvl="1">
      <w:lvlJc w:val="left"/>
      <w:lvlText w:val="(%2)"/>
      <w:numFmt w:val="lowerRoman"/>
      <w:start w:val="12"/>
    </w:lvl>
  </w:abstractNum>
  <w:abstractNum w:abstractNumId="550">
    <w:nsid w:val="E3DFE6"/>
    <w:multiLevelType w:val="hybridMultilevel"/>
    <w:lvl w:ilvl="0">
      <w:lvlJc w:val="left"/>
      <w:lvlText w:val="(%1)"/>
      <w:numFmt w:val="lowerLetter"/>
      <w:start w:val="2"/>
    </w:lvl>
    <w:lvl w:ilvl="1">
      <w:lvlJc w:val="left"/>
      <w:lvlText w:val="%2"/>
      <w:numFmt w:val="lowerRoman"/>
      <w:start w:val="1"/>
    </w:lvl>
  </w:abstractNum>
  <w:abstractNum w:abstractNumId="551">
    <w:nsid w:val="595B37F3"/>
    <w:multiLevelType w:val="hybridMultilevel"/>
    <w:lvl w:ilvl="0">
      <w:lvlJc w:val="left"/>
      <w:lvlText w:val="(%1)"/>
      <w:numFmt w:val="lowerLetter"/>
      <w:start w:val="2"/>
    </w:lvl>
    <w:lvl w:ilvl="1">
      <w:lvlJc w:val="left"/>
      <w:lvlText w:val="(%2)"/>
      <w:numFmt w:val="lowerRoman"/>
      <w:start w:val="1"/>
    </w:lvl>
  </w:abstractNum>
  <w:abstractNum w:abstractNumId="552">
    <w:nsid w:val="71DB7E02"/>
    <w:multiLevelType w:val="hybridMultilevel"/>
    <w:lvl w:ilvl="0">
      <w:lvlJc w:val="left"/>
      <w:lvlText w:val="(%1)"/>
      <w:numFmt w:val="lowerLetter"/>
      <w:start w:val="3"/>
    </w:lvl>
  </w:abstractNum>
  <w:abstractNum w:abstractNumId="553">
    <w:nsid w:val="17EC0C4"/>
    <w:multiLevelType w:val="hybridMultilevel"/>
    <w:lvl w:ilvl="0">
      <w:lvlJc w:val="left"/>
      <w:lvlText w:val="(%1)"/>
      <w:numFmt w:val="lowerLetter"/>
      <w:start w:val="2"/>
    </w:lvl>
  </w:abstractNum>
  <w:abstractNum w:abstractNumId="554">
    <w:nsid w:val="7173BB22"/>
    <w:multiLevelType w:val="hybridMultilevel"/>
    <w:lvl w:ilvl="0">
      <w:lvlJc w:val="left"/>
      <w:lvlText w:val="(%1)"/>
      <w:numFmt w:val="lowerLetter"/>
      <w:start w:val="3"/>
    </w:lvl>
  </w:abstractNum>
  <w:abstractNum w:abstractNumId="555">
    <w:nsid w:val="169E1DD3"/>
    <w:multiLevelType w:val="hybridMultilevel"/>
    <w:lvl w:ilvl="0">
      <w:lvlJc w:val="left"/>
      <w:lvlText w:val="(%1)"/>
      <w:numFmt w:val="lowerLetter"/>
      <w:start w:val="1"/>
    </w:lvl>
  </w:abstractNum>
  <w:abstractNum w:abstractNumId="556">
    <w:nsid w:val="51D141CC"/>
    <w:multiLevelType w:val="hybridMultilevel"/>
    <w:lvl w:ilvl="0">
      <w:lvlJc w:val="left"/>
      <w:lvlText w:val="(%1)"/>
      <w:numFmt w:val="upperLetter"/>
      <w:start w:val="4"/>
    </w:lvl>
  </w:abstractNum>
  <w:abstractNum w:abstractNumId="557">
    <w:nsid w:val="12F9357A"/>
    <w:multiLevelType w:val="hybridMultilevel"/>
    <w:lvl w:ilvl="0">
      <w:lvlJc w:val="left"/>
      <w:lvlText w:val="(%1)"/>
      <w:numFmt w:val="upperLetter"/>
      <w:start w:val="1"/>
    </w:lvl>
  </w:abstractNum>
  <w:abstractNum w:abstractNumId="558">
    <w:nsid w:val="7672CF28"/>
    <w:multiLevelType w:val="hybridMultilevel"/>
    <w:lvl w:ilvl="0">
      <w:lvlJc w:val="left"/>
      <w:lvlText w:val="(%1)"/>
      <w:numFmt w:val="lowerRoman"/>
      <w:start w:val="2"/>
    </w:lvl>
  </w:abstractNum>
  <w:abstractNum w:abstractNumId="559">
    <w:nsid w:val="567D2763"/>
    <w:multiLevelType w:val="hybridMultilevel"/>
    <w:lvl w:ilvl="0">
      <w:lvlJc w:val="left"/>
      <w:lvlText w:val="%1."/>
      <w:numFmt w:val="decimal"/>
      <w:start w:val="1"/>
    </w:lvl>
    <w:lvl w:ilvl="1">
      <w:lvlJc w:val="left"/>
      <w:lvlText w:val="%2)"/>
      <w:numFmt w:val="lowerLetter"/>
      <w:start w:val="1"/>
    </w:lvl>
  </w:abstractNum>
  <w:abstractNum w:abstractNumId="560">
    <w:nsid w:val="6F5DE2EF"/>
    <w:multiLevelType w:val="hybridMultilevel"/>
    <w:lvl w:ilvl="0">
      <w:lvlJc w:val="left"/>
      <w:lvlText w:val="%1."/>
      <w:numFmt w:val="decimal"/>
      <w:start w:val="1"/>
    </w:lvl>
    <w:lvl w:ilvl="1">
      <w:lvlJc w:val="left"/>
      <w:lvlText w:val="%2)"/>
      <w:numFmt w:val="lowerLetter"/>
      <w:start w:val="1"/>
    </w:lvl>
  </w:abstractNum>
  <w:abstractNum w:abstractNumId="561">
    <w:nsid w:val="23502A61"/>
    <w:multiLevelType w:val="hybridMultilevel"/>
    <w:lvl w:ilvl="0">
      <w:lvlJc w:val="left"/>
      <w:lvlText w:val="(%1)"/>
      <w:numFmt w:val="decimal"/>
      <w:start w:val="1"/>
    </w:lvl>
  </w:abstractNum>
  <w:abstractNum w:abstractNumId="562">
    <w:nsid w:val="461BC8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jpeg"/><Relationship Id="rId96" Type="http://schemas.openxmlformats.org/officeDocument/2006/relationships/image" Target="media/image80.jpeg"/><Relationship Id="rId97" Type="http://schemas.openxmlformats.org/officeDocument/2006/relationships/image" Target="media/image81.jpeg"/><Relationship Id="rId98" Type="http://schemas.openxmlformats.org/officeDocument/2006/relationships/image" Target="media/image82.jpeg"/><Relationship Id="rId99" Type="http://schemas.openxmlformats.org/officeDocument/2006/relationships/image" Target="media/image83.jpeg"/><Relationship Id="rId100" Type="http://schemas.openxmlformats.org/officeDocument/2006/relationships/image" Target="media/image84.jpe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jpeg"/><Relationship Id="rId105" Type="http://schemas.openxmlformats.org/officeDocument/2006/relationships/image" Target="media/image89.jpeg"/><Relationship Id="rId106" Type="http://schemas.openxmlformats.org/officeDocument/2006/relationships/image" Target="media/image90.png"/><Relationship Id="rId107" Type="http://schemas.openxmlformats.org/officeDocument/2006/relationships/image" Target="media/image91.jpeg"/><Relationship Id="rId108" Type="http://schemas.openxmlformats.org/officeDocument/2006/relationships/image" Target="media/image92.jpeg"/><Relationship Id="rId109" Type="http://schemas.openxmlformats.org/officeDocument/2006/relationships/image" Target="media/image93.jpeg"/><Relationship Id="rId110" Type="http://schemas.openxmlformats.org/officeDocument/2006/relationships/image" Target="media/image94.jpeg"/><Relationship Id="rId111" Type="http://schemas.openxmlformats.org/officeDocument/2006/relationships/image" Target="media/image95.jpeg"/><Relationship Id="rId112" Type="http://schemas.openxmlformats.org/officeDocument/2006/relationships/image" Target="media/image96.jpeg"/><Relationship Id="rId113" Type="http://schemas.openxmlformats.org/officeDocument/2006/relationships/image" Target="media/image97.jpeg"/><Relationship Id="rId114" Type="http://schemas.openxmlformats.org/officeDocument/2006/relationships/image" Target="media/image98.jpeg"/><Relationship Id="rId115" Type="http://schemas.openxmlformats.org/officeDocument/2006/relationships/image" Target="media/image99.jpeg"/><Relationship Id="rId116" Type="http://schemas.openxmlformats.org/officeDocument/2006/relationships/image" Target="media/image100.jpeg"/><Relationship Id="rId117" Type="http://schemas.openxmlformats.org/officeDocument/2006/relationships/image" Target="media/image101.jpeg"/><Relationship Id="rId118" Type="http://schemas.openxmlformats.org/officeDocument/2006/relationships/image" Target="media/image102.jpeg"/><Relationship Id="rId119" Type="http://schemas.openxmlformats.org/officeDocument/2006/relationships/image" Target="media/image103.jpeg"/><Relationship Id="rId120" Type="http://schemas.openxmlformats.org/officeDocument/2006/relationships/image" Target="media/image104.jpe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jpeg"/><Relationship Id="rId126" Type="http://schemas.openxmlformats.org/officeDocument/2006/relationships/image" Target="media/image110.jpeg"/><Relationship Id="rId127" Type="http://schemas.openxmlformats.org/officeDocument/2006/relationships/image" Target="media/image111.jpe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jpeg"/><Relationship Id="rId132" Type="http://schemas.openxmlformats.org/officeDocument/2006/relationships/image" Target="media/image116.jpeg"/><Relationship Id="rId133" Type="http://schemas.openxmlformats.org/officeDocument/2006/relationships/image" Target="media/image117.jpeg"/><Relationship Id="rId134" Type="http://schemas.openxmlformats.org/officeDocument/2006/relationships/image" Target="media/image118.jpeg"/><Relationship Id="rId135" Type="http://schemas.openxmlformats.org/officeDocument/2006/relationships/image" Target="media/image119.jpeg"/><Relationship Id="rId136" Type="http://schemas.openxmlformats.org/officeDocument/2006/relationships/image" Target="media/image120.jpeg"/><Relationship Id="rId137" Type="http://schemas.openxmlformats.org/officeDocument/2006/relationships/image" Target="media/image121.jpe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jpeg"/><Relationship Id="rId141" Type="http://schemas.openxmlformats.org/officeDocument/2006/relationships/image" Target="media/image125.jpe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jpeg"/><Relationship Id="rId146" Type="http://schemas.openxmlformats.org/officeDocument/2006/relationships/image" Target="media/image130.jpeg"/><Relationship Id="rId147" Type="http://schemas.openxmlformats.org/officeDocument/2006/relationships/image" Target="media/image131.jpeg"/><Relationship Id="rId148" Type="http://schemas.openxmlformats.org/officeDocument/2006/relationships/image" Target="media/image132.jpeg"/><Relationship Id="rId149" Type="http://schemas.openxmlformats.org/officeDocument/2006/relationships/image" Target="media/image133.jpeg"/><Relationship Id="rId150" Type="http://schemas.openxmlformats.org/officeDocument/2006/relationships/image" Target="media/image134.jpeg"/><Relationship Id="rId151" Type="http://schemas.openxmlformats.org/officeDocument/2006/relationships/image" Target="media/image135.jpe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57" Type="http://schemas.openxmlformats.org/officeDocument/2006/relationships/hyperlink" Target="http://www.sec.gov/Archives/edgar/data/1612720/000121390017008018/f8k072417ex3i_nextdecade.htm" TargetMode="External"/><Relationship Id="rId58" Type="http://schemas.openxmlformats.org/officeDocument/2006/relationships/hyperlink" Target="http://www.sec.gov/Archives/edgar/data/1612720/000143774922015895/ex_389213.htm" TargetMode="External"/><Relationship Id="rId59" Type="http://schemas.openxmlformats.org/officeDocument/2006/relationships/hyperlink" Target="http://www.sec.gov/Archives/edgar/data/1612720/000155837018009764/ex-4d3.htm" TargetMode="External"/><Relationship Id="rId60" Type="http://schemas.openxmlformats.org/officeDocument/2006/relationships/hyperlink" Target="http://www.sec.gov/Archives/edgar/data/1612720/000155837018009175/next-20180930ex346f6b8bc.htm" TargetMode="External"/><Relationship Id="rId63" Type="http://schemas.openxmlformats.org/officeDocument/2006/relationships/hyperlink" Target="http://www.sec.gov/Archives/edgar/data/1612720/000143774921006394/ex_234721.htm" TargetMode="External"/><Relationship Id="rId64" Type="http://schemas.openxmlformats.org/officeDocument/2006/relationships/hyperlink" Target="http://www.sec.gov/Archives/edgar/data/1612720/000161272019000027/next-20190712ex31ef147fc.htm" TargetMode="External"/><Relationship Id="rId65" Type="http://schemas.openxmlformats.org/officeDocument/2006/relationships/hyperlink" Target="http://www.sec.gov/Archives/edgar/data/1612720/000161272019000027/next-20190712ex329d611d6.htm" TargetMode="External"/><Relationship Id="rId66" Type="http://schemas.openxmlformats.org/officeDocument/2006/relationships/hyperlink" Target="http://www.sec.gov/Archives/edgar/data/1612720/000155837019007245/next-20190630ex373d0be0b.htm" TargetMode="External"/><Relationship Id="rId67" Type="http://schemas.openxmlformats.org/officeDocument/2006/relationships/hyperlink" Target="http://www.sec.gov/Archives/edgar/data/1612720/000155837019007245/next-20190630ex38be484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2024-05-09T17:08:09Z</dcterms:created>
  <dcterms:modified xsi:type="dcterms:W3CDTF">2024-05-09T17:08:09Z</dcterms:modified>
</cp:coreProperties>
</file>